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E438F4" w14:textId="4E9356C9" w:rsidR="00607B50" w:rsidRDefault="00607B50" w:rsidP="00607B50">
      <w:pPr>
        <w:jc w:val="center"/>
        <w:rPr>
          <w:rFonts w:ascii="Baskerville Old Face" w:hAnsi="Baskerville Old Face"/>
          <w:b/>
          <w:bCs/>
        </w:rPr>
      </w:pPr>
      <w:bookmarkStart w:id="0" w:name="_GoBack"/>
      <w:bookmarkEnd w:id="0"/>
      <w:r w:rsidRPr="00607B50">
        <w:rPr>
          <w:rFonts w:ascii="Baskerville Old Face" w:hAnsi="Baskerville Old Face"/>
          <w:b/>
          <w:bCs/>
        </w:rPr>
        <w:t>AIR (ANALISI DI IMPATTO DELLA REGOLAMENTAZIONE)</w:t>
      </w:r>
    </w:p>
    <w:p w14:paraId="05753CEF" w14:textId="3C15F111" w:rsidR="00607B50" w:rsidRPr="00607B50" w:rsidRDefault="00607B50" w:rsidP="00607B50">
      <w:pPr>
        <w:jc w:val="center"/>
        <w:rPr>
          <w:rFonts w:ascii="Baskerville Old Face" w:hAnsi="Baskerville Old Face"/>
        </w:rPr>
      </w:pPr>
      <w:r w:rsidRPr="00607B50">
        <w:rPr>
          <w:rFonts w:ascii="Baskerville Old Face" w:hAnsi="Baskerville Old Face"/>
        </w:rPr>
        <w:t>(all. “2” alla Direttiva P.C.M. 16 febbraio 2018)</w:t>
      </w:r>
      <w:r w:rsidRPr="00607B50">
        <w:rPr>
          <w:rFonts w:ascii="Baskerville Old Face" w:hAnsi="Baskerville Old Face"/>
        </w:rPr>
        <w:cr/>
      </w:r>
    </w:p>
    <w:p w14:paraId="3269C9F9" w14:textId="77777777" w:rsidR="00607B50" w:rsidRPr="00607B50" w:rsidRDefault="00607B50" w:rsidP="00607B50">
      <w:pPr>
        <w:jc w:val="both"/>
        <w:rPr>
          <w:rFonts w:ascii="Baskerville Old Face" w:hAnsi="Baskerville Old Face"/>
        </w:rPr>
      </w:pPr>
      <w:r w:rsidRPr="00607B50">
        <w:rPr>
          <w:rFonts w:ascii="Baskerville Old Face" w:hAnsi="Baskerville Old Face"/>
          <w:b/>
          <w:bCs/>
        </w:rPr>
        <w:t>Provvedimento</w:t>
      </w:r>
      <w:r w:rsidRPr="00607B50">
        <w:rPr>
          <w:rFonts w:ascii="Baskerville Old Face" w:hAnsi="Baskerville Old Face"/>
        </w:rPr>
        <w:t>: Regolamento recante disciplina della cessazione della qualifica di rifiuto dei rifiuti inerti da costruzione e demolizione e di altri rifiuti inerti di origine minerale, ai sensi dell’articolo 184-ter, comma 2, del decreto legislativo 3 aprile 2006, n. 152.</w:t>
      </w:r>
    </w:p>
    <w:p w14:paraId="6569EF39" w14:textId="77777777" w:rsidR="00607B50" w:rsidRDefault="00607B50" w:rsidP="00607B50">
      <w:pPr>
        <w:jc w:val="both"/>
        <w:rPr>
          <w:rFonts w:ascii="Baskerville Old Face" w:hAnsi="Baskerville Old Face"/>
        </w:rPr>
      </w:pPr>
      <w:r w:rsidRPr="00607B50">
        <w:rPr>
          <w:rFonts w:ascii="Baskerville Old Face" w:hAnsi="Baskerville Old Face"/>
          <w:b/>
          <w:bCs/>
        </w:rPr>
        <w:t>Amministrazione competente</w:t>
      </w:r>
      <w:r w:rsidRPr="00607B50">
        <w:rPr>
          <w:rFonts w:ascii="Baskerville Old Face" w:hAnsi="Baskerville Old Face"/>
        </w:rPr>
        <w:t xml:space="preserve">: Ministero della Transizione Ecologica, </w:t>
      </w:r>
    </w:p>
    <w:p w14:paraId="1F762D6D" w14:textId="652F06A0" w:rsidR="00607B50" w:rsidRPr="00607B50" w:rsidRDefault="00607B50" w:rsidP="00607B50">
      <w:pPr>
        <w:jc w:val="both"/>
        <w:rPr>
          <w:rFonts w:ascii="Baskerville Old Face" w:hAnsi="Baskerville Old Face"/>
        </w:rPr>
      </w:pPr>
      <w:r w:rsidRPr="00607B50">
        <w:rPr>
          <w:rFonts w:ascii="Baskerville Old Face" w:hAnsi="Baskerville Old Face"/>
          <w:b/>
          <w:bCs/>
        </w:rPr>
        <w:t>Referente dell’Amministrazione competente</w:t>
      </w:r>
      <w:r w:rsidRPr="00607B50">
        <w:rPr>
          <w:rFonts w:ascii="Baskerville Old Face" w:hAnsi="Baskerville Old Face"/>
        </w:rPr>
        <w:t xml:space="preserve">: Direzione generale </w:t>
      </w:r>
      <w:r w:rsidR="00492F74">
        <w:rPr>
          <w:rFonts w:ascii="Baskerville Old Face" w:hAnsi="Baskerville Old Face"/>
        </w:rPr>
        <w:t>Economia Circolare</w:t>
      </w:r>
    </w:p>
    <w:p w14:paraId="46479D0E" w14:textId="77777777" w:rsidR="00607B50" w:rsidRDefault="00607B50" w:rsidP="00607B50">
      <w:pPr>
        <w:jc w:val="both"/>
        <w:rPr>
          <w:rFonts w:ascii="Baskerville Old Face" w:hAnsi="Baskerville Old Face"/>
          <w:b/>
          <w:bCs/>
        </w:rPr>
      </w:pPr>
    </w:p>
    <w:p w14:paraId="13B96B84" w14:textId="2C0B3D9E" w:rsidR="00607B50" w:rsidRPr="00607B50" w:rsidRDefault="00607B50" w:rsidP="00607B50">
      <w:pPr>
        <w:jc w:val="both"/>
        <w:rPr>
          <w:rFonts w:ascii="Baskerville Old Face" w:hAnsi="Baskerville Old Face"/>
          <w:b/>
          <w:bCs/>
        </w:rPr>
      </w:pPr>
      <w:r w:rsidRPr="00607B50">
        <w:rPr>
          <w:rFonts w:ascii="Baskerville Old Face" w:hAnsi="Baskerville Old Face"/>
          <w:b/>
          <w:bCs/>
        </w:rPr>
        <w:t>SINTESI DELL’AIR E PRINCIPALI CONCLUSIONI</w:t>
      </w:r>
    </w:p>
    <w:p w14:paraId="019FB305" w14:textId="77777777" w:rsidR="00607B50" w:rsidRPr="00607B50" w:rsidRDefault="00607B50" w:rsidP="00607B50">
      <w:pPr>
        <w:jc w:val="both"/>
        <w:rPr>
          <w:rFonts w:ascii="Baskerville Old Face" w:hAnsi="Baskerville Old Face"/>
        </w:rPr>
      </w:pPr>
      <w:r w:rsidRPr="00607B50">
        <w:rPr>
          <w:rFonts w:ascii="Baskerville Old Face" w:hAnsi="Baskerville Old Face"/>
        </w:rPr>
        <w:t>Il presente decreto è finalizzato ad attuare quanto previsto ai sensi dell’art. 184-ter del decreto legislativo 3 aprile 2006, n. 152, introdotto nell’ordinamento italiano – in conformità all’art. 6, comma 4, della direttiva 2008/98/CE – con il decreto legislativo 3 dicembre 2010, n. 205, con cui è stata recepita la predetta direttiva. In generale, si rileva che dal trattamento di rifiuti inerti da costruzione e demolizione e da rifiuti inerti di origine minerale esitano aggregati di recupero di varia granulometria con prestazioni analoghe a quelli provenienti da cave.</w:t>
      </w:r>
    </w:p>
    <w:p w14:paraId="66A37785" w14:textId="77777777" w:rsidR="00607B50" w:rsidRPr="00607B50" w:rsidRDefault="00607B50" w:rsidP="00607B50">
      <w:pPr>
        <w:jc w:val="both"/>
        <w:rPr>
          <w:rFonts w:ascii="Baskerville Old Face" w:hAnsi="Baskerville Old Face"/>
        </w:rPr>
      </w:pPr>
      <w:r w:rsidRPr="00607B50">
        <w:rPr>
          <w:rFonts w:ascii="Baskerville Old Face" w:hAnsi="Baskerville Old Face"/>
        </w:rPr>
        <w:t>Dall’istruttoria effettuata emerge chiaramente che le condizioni che l’art. 184-ter richiede ai fini della cessazione di qualifica di rifiuto e che qui di seguito si riportano, nel caso di specie sono completamente soddisfatte:</w:t>
      </w:r>
    </w:p>
    <w:p w14:paraId="282D05B5" w14:textId="5F8D009B" w:rsidR="00607B50" w:rsidRPr="00202041" w:rsidRDefault="00607B50" w:rsidP="00202041">
      <w:pPr>
        <w:pStyle w:val="Paragrafoelenco"/>
        <w:numPr>
          <w:ilvl w:val="0"/>
          <w:numId w:val="3"/>
        </w:numPr>
        <w:ind w:left="567" w:hanging="283"/>
        <w:jc w:val="both"/>
        <w:rPr>
          <w:rFonts w:ascii="Baskerville Old Face" w:hAnsi="Baskerville Old Face"/>
        </w:rPr>
      </w:pPr>
      <w:r w:rsidRPr="00202041">
        <w:rPr>
          <w:rFonts w:ascii="Baskerville Old Face" w:hAnsi="Baskerville Old Face"/>
        </w:rPr>
        <w:t>la sostanza o l'oggetto è comunemente utilizzato per scopi specifici;</w:t>
      </w:r>
    </w:p>
    <w:p w14:paraId="6240AE45" w14:textId="3F5D2036" w:rsidR="00607B50" w:rsidRPr="00202041" w:rsidRDefault="00607B50" w:rsidP="00202041">
      <w:pPr>
        <w:pStyle w:val="Paragrafoelenco"/>
        <w:numPr>
          <w:ilvl w:val="0"/>
          <w:numId w:val="3"/>
        </w:numPr>
        <w:ind w:left="567" w:hanging="283"/>
        <w:jc w:val="both"/>
        <w:rPr>
          <w:rFonts w:ascii="Baskerville Old Face" w:hAnsi="Baskerville Old Face"/>
        </w:rPr>
      </w:pPr>
      <w:r w:rsidRPr="00202041">
        <w:rPr>
          <w:rFonts w:ascii="Baskerville Old Face" w:hAnsi="Baskerville Old Face"/>
        </w:rPr>
        <w:t>esiste un mercato o una domanda per tale sostanza od oggetto;</w:t>
      </w:r>
    </w:p>
    <w:p w14:paraId="666A6BC6" w14:textId="72A992A7" w:rsidR="00607B50" w:rsidRPr="00202041" w:rsidRDefault="00607B50" w:rsidP="00202041">
      <w:pPr>
        <w:pStyle w:val="Paragrafoelenco"/>
        <w:numPr>
          <w:ilvl w:val="0"/>
          <w:numId w:val="3"/>
        </w:numPr>
        <w:ind w:left="567" w:hanging="283"/>
        <w:jc w:val="both"/>
        <w:rPr>
          <w:rFonts w:ascii="Baskerville Old Face" w:hAnsi="Baskerville Old Face"/>
        </w:rPr>
      </w:pPr>
      <w:r w:rsidRPr="00202041">
        <w:rPr>
          <w:rFonts w:ascii="Baskerville Old Face" w:hAnsi="Baskerville Old Face"/>
        </w:rPr>
        <w:t>la sostanza o l'oggetto soddisfa i requisiti tecnici per gli scopi specifici e rispetta la normativa e gli standard esistenti applicabili ai prodotti;</w:t>
      </w:r>
    </w:p>
    <w:p w14:paraId="1BB57B8D" w14:textId="6E6C051B" w:rsidR="00607B50" w:rsidRPr="00202041" w:rsidRDefault="00607B50" w:rsidP="00202041">
      <w:pPr>
        <w:pStyle w:val="Paragrafoelenco"/>
        <w:numPr>
          <w:ilvl w:val="0"/>
          <w:numId w:val="3"/>
        </w:numPr>
        <w:ind w:left="567" w:hanging="283"/>
        <w:jc w:val="both"/>
        <w:rPr>
          <w:rFonts w:ascii="Baskerville Old Face" w:hAnsi="Baskerville Old Face"/>
        </w:rPr>
      </w:pPr>
      <w:r w:rsidRPr="00202041">
        <w:rPr>
          <w:rFonts w:ascii="Baskerville Old Face" w:hAnsi="Baskerville Old Face"/>
        </w:rPr>
        <w:t>l'utilizzo della sostanza o dell'oggetto non porterà a impatti complessivi negativi sull'ambiente o sulla salute umana.</w:t>
      </w:r>
    </w:p>
    <w:p w14:paraId="1C5183ED" w14:textId="77777777" w:rsidR="00607B50" w:rsidRPr="00607B50" w:rsidRDefault="00607B50" w:rsidP="00607B50">
      <w:pPr>
        <w:jc w:val="both"/>
        <w:rPr>
          <w:rFonts w:ascii="Baskerville Old Face" w:hAnsi="Baskerville Old Face"/>
        </w:rPr>
      </w:pPr>
      <w:r w:rsidRPr="00607B50">
        <w:rPr>
          <w:rFonts w:ascii="Baskerville Old Face" w:hAnsi="Baskerville Old Face"/>
        </w:rPr>
        <w:t>In relazione al punto a) l’aggregato recuperato, che è analogo per prestazioni e composizione chimica, a quello proveniente da cava, trova normalmente applicazione in campo edile. Questa condizione soddisfa anche il punto b) poiché gli aggregati sono comunemente oggetto di transazioni commerciali.</w:t>
      </w:r>
    </w:p>
    <w:p w14:paraId="7E3EDB4F" w14:textId="77777777" w:rsidR="00607B50" w:rsidRPr="00607B50" w:rsidRDefault="00607B50" w:rsidP="00607B50">
      <w:pPr>
        <w:jc w:val="both"/>
        <w:rPr>
          <w:rFonts w:ascii="Baskerville Old Face" w:hAnsi="Baskerville Old Face"/>
        </w:rPr>
      </w:pPr>
      <w:r w:rsidRPr="00607B50">
        <w:rPr>
          <w:rFonts w:ascii="Baskerville Old Face" w:hAnsi="Baskerville Old Face"/>
        </w:rPr>
        <w:t>In ordine al punto c) i requisiti tecnici sono fissati da norme armonizzate così come gli standard e le regole tecniche.</w:t>
      </w:r>
    </w:p>
    <w:p w14:paraId="4C705917" w14:textId="77777777" w:rsidR="00607B50" w:rsidRPr="00607B50" w:rsidRDefault="00607B50" w:rsidP="00607B50">
      <w:pPr>
        <w:jc w:val="both"/>
        <w:rPr>
          <w:rFonts w:ascii="Baskerville Old Face" w:hAnsi="Baskerville Old Face"/>
        </w:rPr>
      </w:pPr>
      <w:r w:rsidRPr="00607B50">
        <w:rPr>
          <w:rFonts w:ascii="Baskerville Old Face" w:hAnsi="Baskerville Old Face"/>
        </w:rPr>
        <w:t>Infine, la tutela della salute umana e dell’ambiente avviene grazie al rispetto dei limiti e dei controlli previsti.</w:t>
      </w:r>
    </w:p>
    <w:p w14:paraId="0D1696B5" w14:textId="77777777" w:rsidR="00607B50" w:rsidRPr="00607B50" w:rsidRDefault="00607B50" w:rsidP="00607B50">
      <w:pPr>
        <w:jc w:val="both"/>
        <w:rPr>
          <w:rFonts w:ascii="Baskerville Old Face" w:hAnsi="Baskerville Old Face"/>
        </w:rPr>
      </w:pPr>
      <w:r w:rsidRPr="00607B50">
        <w:rPr>
          <w:rFonts w:ascii="Baskerville Old Face" w:hAnsi="Baskerville Old Face"/>
        </w:rPr>
        <w:t>Si rappresenta che allo stato attuale esiste la possibilità di ottenere prodotti o materie prime o di materie prime secondarie con caratteristiche merceologiche conformi alla normativa tecnica di settore o, comunque, nelle forme usualmente commercializzate con limiti quantitativi che vengono richiamati nelle autorizzazioni mediante il D. M. 5 febbraio 1998. Tuttavia, è possibile solo per le procedure semplificate e per quantitativi limitati a fronte dei 70 milioni di tonnellate annue prodotti.</w:t>
      </w:r>
    </w:p>
    <w:p w14:paraId="36A05EF1" w14:textId="77777777" w:rsidR="00607B50" w:rsidRPr="00607B50" w:rsidRDefault="00607B50" w:rsidP="00607B50">
      <w:pPr>
        <w:jc w:val="both"/>
        <w:rPr>
          <w:rFonts w:ascii="Baskerville Old Face" w:hAnsi="Baskerville Old Face"/>
        </w:rPr>
      </w:pPr>
      <w:r w:rsidRPr="00607B50">
        <w:rPr>
          <w:rFonts w:ascii="Baskerville Old Face" w:hAnsi="Baskerville Old Face"/>
        </w:rPr>
        <w:t>Pertanto sottrarre la maggior parte di tali rifiuti alla discarica, comporterebbe il riutilizzo di materiali riciclati in luogo di quelli vergini, con evidenti benefici ambientali ed economici sull’intero sistema produttivo.</w:t>
      </w:r>
    </w:p>
    <w:p w14:paraId="595411C2" w14:textId="77777777" w:rsidR="00607B50" w:rsidRDefault="00607B50" w:rsidP="00607B50">
      <w:pPr>
        <w:jc w:val="both"/>
        <w:rPr>
          <w:rFonts w:ascii="Baskerville Old Face" w:hAnsi="Baskerville Old Face"/>
          <w:b/>
          <w:bCs/>
        </w:rPr>
      </w:pPr>
    </w:p>
    <w:p w14:paraId="41671E70" w14:textId="446106F1" w:rsidR="00607B50" w:rsidRPr="00607B50" w:rsidRDefault="00607B50" w:rsidP="00607B50">
      <w:pPr>
        <w:jc w:val="both"/>
        <w:rPr>
          <w:rFonts w:ascii="Baskerville Old Face" w:hAnsi="Baskerville Old Face"/>
          <w:b/>
          <w:bCs/>
        </w:rPr>
      </w:pPr>
      <w:r w:rsidRPr="00607B50">
        <w:rPr>
          <w:rFonts w:ascii="Baskerville Old Face" w:hAnsi="Baskerville Old Face"/>
          <w:b/>
          <w:bCs/>
        </w:rPr>
        <w:t>1. CONTESTO E PROBLEMI DA AFFRONTARE</w:t>
      </w:r>
    </w:p>
    <w:p w14:paraId="39F33EDC" w14:textId="77777777" w:rsidR="00607B50" w:rsidRPr="00607B50" w:rsidRDefault="00607B50" w:rsidP="00607B50">
      <w:pPr>
        <w:jc w:val="both"/>
        <w:rPr>
          <w:rFonts w:ascii="Baskerville Old Face" w:hAnsi="Baskerville Old Face"/>
        </w:rPr>
      </w:pPr>
      <w:r w:rsidRPr="00607B50">
        <w:rPr>
          <w:rFonts w:ascii="Baskerville Old Face" w:hAnsi="Baskerville Old Face"/>
        </w:rPr>
        <w:t>In Italia, l’analisi dei dati di produzione relativi al 2019 conferma che il maggior contributo alla produzione complessiva dei rifiuti speciali è dato dal settore delle costruzioni e demolizioni, con una percentuale pari al 45,5% del totale, corrispondente a oltre 70 milioni di tonnellate.</w:t>
      </w:r>
    </w:p>
    <w:p w14:paraId="43BF5164" w14:textId="77777777" w:rsidR="00607B50" w:rsidRPr="00607B50" w:rsidRDefault="00607B50" w:rsidP="00607B50">
      <w:pPr>
        <w:jc w:val="both"/>
        <w:rPr>
          <w:rFonts w:ascii="Baskerville Old Face" w:hAnsi="Baskerville Old Face"/>
        </w:rPr>
      </w:pPr>
      <w:r w:rsidRPr="00607B50">
        <w:rPr>
          <w:rFonts w:ascii="Baskerville Old Face" w:hAnsi="Baskerville Old Face"/>
        </w:rPr>
        <w:lastRenderedPageBreak/>
        <w:t>Nello stesso anno, i quantitativi di rifiuti del settore delle costruzioni e demolizioni smaltiti in discarica sono stati pari a circa 3,2 milioni di tonnellate, corrispondente al 26,4% dei rifiuti complessivamente smaltiti a livello nazionale .  In media, la loro composizione è data per il 10% del loro peso da calcestruzzo (CLS) non armato, per il 20% da calcestruzzo (CLS) armato, per il 50% in laterizio, per il 5% in asfalti, per il 6% in scavi, per il 3 % in metallo, per il 2,5% in legno, carta e plastica e per il 3,5% da altri materiali.</w:t>
      </w:r>
    </w:p>
    <w:p w14:paraId="1DA25082" w14:textId="77777777" w:rsidR="00607B50" w:rsidRPr="00202041" w:rsidRDefault="00607B50" w:rsidP="00607B50">
      <w:pPr>
        <w:jc w:val="both"/>
        <w:rPr>
          <w:rFonts w:ascii="Baskerville Old Face" w:hAnsi="Baskerville Old Face"/>
        </w:rPr>
      </w:pPr>
      <w:r w:rsidRPr="00202041">
        <w:rPr>
          <w:rFonts w:ascii="Baskerville Old Face" w:hAnsi="Baskerville Old Face"/>
        </w:rPr>
        <w:t xml:space="preserve">Rispetto al 2018, l’incremento di rifiuti prodotti è stato del 29,1%, cifra che è destinata ad aumentare in quanto negli ultimi anni forme di bonus e incentivi per l’efficientamento energetico degli edifici e la ristrutturazione, come il Superbonus 110%, hanno generato una crescita straordinaria delle attività di ristrutturazione nel Paese, e conseguentemente, dei volumi di rifiuti inerti da costruzione e demolizione prodotti e smaltiti e la richiesta di sempre maggiori quantità di materie prime. </w:t>
      </w:r>
    </w:p>
    <w:p w14:paraId="76F74345" w14:textId="77777777" w:rsidR="00607B50" w:rsidRPr="00607B50" w:rsidRDefault="00607B50" w:rsidP="00607B50">
      <w:pPr>
        <w:jc w:val="both"/>
        <w:rPr>
          <w:rFonts w:ascii="Baskerville Old Face" w:hAnsi="Baskerville Old Face"/>
        </w:rPr>
      </w:pPr>
      <w:r w:rsidRPr="00202041">
        <w:rPr>
          <w:rFonts w:ascii="Baskerville Old Face" w:hAnsi="Baskerville Old Face"/>
        </w:rPr>
        <w:t xml:space="preserve">Mediante il recupero dei rifiuti da costruzione e demolizione e dei rifiuti inerti di origine minerale è tuttavia possibile produrre un materiale in grado di sostituire la materia prima vergine sia in forma sciolta o non legata che in forma legata mediante l’uso di leganti idraulici. Invero, dal trattamento di rifiuti da costruzione e demolizione e da rifiuti inerti di origine minerale esitano aggregati di recupero di varia granulometria con prestazioni analoghe a quelli provenienti da cave. Circostanza che agevolerebbe il recupero di materia e il miglioramento della qualità del prodotto esitante dal trattamento, riducendo i rifiuti prodotti </w:t>
      </w:r>
      <w:r w:rsidRPr="00607B50">
        <w:rPr>
          <w:rFonts w:ascii="Baskerville Old Face" w:hAnsi="Baskerville Old Face"/>
        </w:rPr>
        <w:t>e smaltiti e la quantità di materie prime vergini necessarie.</w:t>
      </w:r>
    </w:p>
    <w:p w14:paraId="06DCA92D" w14:textId="77777777" w:rsidR="00607B50" w:rsidRPr="00607B50" w:rsidRDefault="00607B50" w:rsidP="00607B50">
      <w:pPr>
        <w:jc w:val="both"/>
        <w:rPr>
          <w:rFonts w:ascii="Baskerville Old Face" w:hAnsi="Baskerville Old Face"/>
        </w:rPr>
      </w:pPr>
      <w:r w:rsidRPr="00607B50">
        <w:rPr>
          <w:rFonts w:ascii="Baskerville Old Face" w:hAnsi="Baskerville Old Face"/>
        </w:rPr>
        <w:t xml:space="preserve">Di qui la necessità di fissare una regolamentazione nell’ambito dell’ordinamento in grado di favorire il recupero dei rifiuti inerti e la sostituzione degli inerti da cava con aggregati riciclati. </w:t>
      </w:r>
    </w:p>
    <w:p w14:paraId="5A52E79B" w14:textId="77777777" w:rsidR="00607B50" w:rsidRPr="00607B50" w:rsidRDefault="00607B50" w:rsidP="00607B50">
      <w:pPr>
        <w:jc w:val="both"/>
        <w:rPr>
          <w:rFonts w:ascii="Baskerville Old Face" w:hAnsi="Baskerville Old Face"/>
        </w:rPr>
      </w:pPr>
      <w:r w:rsidRPr="00607B50">
        <w:rPr>
          <w:rFonts w:ascii="Baskerville Old Face" w:hAnsi="Baskerville Old Face"/>
        </w:rPr>
        <w:t>Si specifica che, allo stato attuale, il d.m. 5 febbraio 1998 “Individuazione dei rifiuti non pericolosi sottoposti alle procedure semplificate di recupero ai sensi degli articoli 31 e 33 del decreto legislativo 5 febbraio 1997, n. 22” disciplina le attività, i procedimenti e i metodi di riciclaggio e di recupero di materia che garantiscono l'ottenimento di prodotti o di materie prime o di materie prime secondarie con caratteristiche merceologiche conformi alla normativa tecnica di settore o, comunque, nelle forme usualmente commercializzate con limiti quantitativi che vengono richiamati nelle autorizzazioni.</w:t>
      </w:r>
    </w:p>
    <w:p w14:paraId="398C115B" w14:textId="77777777" w:rsidR="00607B50" w:rsidRPr="00607B50" w:rsidRDefault="00607B50" w:rsidP="00607B50">
      <w:pPr>
        <w:jc w:val="both"/>
        <w:rPr>
          <w:rFonts w:ascii="Baskerville Old Face" w:hAnsi="Baskerville Old Face"/>
        </w:rPr>
      </w:pPr>
      <w:r w:rsidRPr="00607B50">
        <w:rPr>
          <w:rFonts w:ascii="Baskerville Old Face" w:hAnsi="Baskerville Old Face"/>
        </w:rPr>
        <w:t>Al capitolo 7 “Rifiuti ceramici e inerti” del d.m. in parola, sono elencati, per ciascun sottocapitolo, la tipologia di rifiuti ammessi e relativi codici EER, la provenienza di tali rifiuti, le loro caratteristiche fisiche, le attività di recupero a cui tali rifiuti possono essere sottoposti ed infine, le caratteristiche delle materie prime e/o dei prodotti ottenuti.</w:t>
      </w:r>
    </w:p>
    <w:p w14:paraId="4D82A70D" w14:textId="77777777" w:rsidR="00607B50" w:rsidRPr="00607B50" w:rsidRDefault="00607B50" w:rsidP="00607B50">
      <w:pPr>
        <w:jc w:val="both"/>
        <w:rPr>
          <w:rFonts w:ascii="Baskerville Old Face" w:hAnsi="Baskerville Old Face"/>
        </w:rPr>
      </w:pPr>
      <w:r w:rsidRPr="00607B50">
        <w:rPr>
          <w:rFonts w:ascii="Baskerville Old Face" w:hAnsi="Baskerville Old Face"/>
        </w:rPr>
        <w:t>La cessazione della qualifica di rifiuto - End of Waste (EoW) costituisce un tassello, indispensabile per la valorizzazione del potenziale dei rifiuti e, ove recepito in modo corretto, può dare un forte contributo allo sviluppo delle potenzialità del settore di riciclo e recupero dei rifiuti. L’EoW rappresenta, quindi, una misura concreta per realizzare, come deciso da tutti gli stati dell’UE, una società del riciclo e del recupero, che diventa reale nel momento in cui i materiali, risultato di un riciclaggio o recupero di alta qualità, possono nuovamente essere introdotti sul mercato ed essere in grado di competere con le materie prime vergini, consentendo una riduzione del consumo di risorse naturali e materie prime.</w:t>
      </w:r>
    </w:p>
    <w:p w14:paraId="284F7325" w14:textId="77777777" w:rsidR="00607B50" w:rsidRPr="00607B50" w:rsidRDefault="00607B50" w:rsidP="00607B50">
      <w:pPr>
        <w:jc w:val="both"/>
        <w:rPr>
          <w:rFonts w:ascii="Baskerville Old Face" w:hAnsi="Baskerville Old Face"/>
        </w:rPr>
      </w:pPr>
      <w:r w:rsidRPr="00607B50">
        <w:rPr>
          <w:rFonts w:ascii="Baskerville Old Face" w:hAnsi="Baskerville Old Face"/>
        </w:rPr>
        <w:t>Al valore e al vantaggio ambientale si accompagna anche la valenza economica dell’EoW, che sussiste non solo per il singolo soggetto, ma anche per la collettività generando, pertanto, anche benefici sociali. Il beneficio è dato dal fatto di disporre, all’esito di opportune operazioni di riciclo e recupero, non più di un rifiuto ma di un prodotto che, in quanto tale, avrà un mercato e quindi un valore economico. Il rifiuto diventa risorsa e contribuisce a ridurre l’utilizzo di materia prima e il quantitativo di rifiuti da destinare allo smaltimento.</w:t>
      </w:r>
    </w:p>
    <w:p w14:paraId="160C5D0A" w14:textId="77777777" w:rsidR="00607B50" w:rsidRDefault="00607B50" w:rsidP="00607B50">
      <w:pPr>
        <w:jc w:val="both"/>
        <w:rPr>
          <w:rFonts w:ascii="Baskerville Old Face" w:hAnsi="Baskerville Old Face"/>
          <w:b/>
          <w:bCs/>
        </w:rPr>
      </w:pPr>
    </w:p>
    <w:p w14:paraId="0B01089E" w14:textId="093A20E3" w:rsidR="00607B50" w:rsidRPr="00607B50" w:rsidRDefault="00607B50" w:rsidP="00607B50">
      <w:pPr>
        <w:jc w:val="both"/>
        <w:rPr>
          <w:rFonts w:ascii="Baskerville Old Face" w:hAnsi="Baskerville Old Face"/>
          <w:b/>
          <w:bCs/>
        </w:rPr>
      </w:pPr>
      <w:r w:rsidRPr="00607B50">
        <w:rPr>
          <w:rFonts w:ascii="Baskerville Old Face" w:hAnsi="Baskerville Old Face"/>
          <w:b/>
          <w:bCs/>
        </w:rPr>
        <w:t>2. OBIETTIVI DELL’INTERVENTO E RELATIVI INDICATORI</w:t>
      </w:r>
    </w:p>
    <w:p w14:paraId="3E3C9573"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 xml:space="preserve">2.1 Obiettivi generali e specifici </w:t>
      </w:r>
    </w:p>
    <w:p w14:paraId="353E387E" w14:textId="77777777" w:rsidR="00607B50" w:rsidRPr="00202041" w:rsidRDefault="00607B50" w:rsidP="00607B50">
      <w:pPr>
        <w:jc w:val="both"/>
        <w:rPr>
          <w:rFonts w:ascii="Baskerville Old Face" w:hAnsi="Baskerville Old Face"/>
        </w:rPr>
      </w:pPr>
      <w:r w:rsidRPr="00202041">
        <w:rPr>
          <w:rFonts w:ascii="Baskerville Old Face" w:hAnsi="Baskerville Old Face"/>
        </w:rPr>
        <w:t xml:space="preserve">L’obiettivo prioritario perseguito con il presente intervento normativo è stato la definizione di criteri tecnici affinché la produzione di aggregati di recupero derivante dal trattamento di rifiuti da costruzione e demolizione </w:t>
      </w:r>
      <w:r w:rsidRPr="00202041">
        <w:rPr>
          <w:rFonts w:ascii="Baskerville Old Face" w:hAnsi="Baskerville Old Face"/>
        </w:rPr>
        <w:lastRenderedPageBreak/>
        <w:t xml:space="preserve">(C&amp;D) e di rifiuti inerti di origine minerale, avvenga senza pericolo per la salute dell’uomo e senza pregiudizio per l’ambiente e, in particolare, senza creare rischi per l’acqua, l’aria, il suolo e per la fauna e la flora, causare inconvenienti da rumori e odori, danneggiare il paesaggio e i siti di particolare interesse, tutelati in base alla normativa vigente. I benefici ambientali ed economici raggiungibili attraverso il recupero dei rifiuti inerti possono essere riassunti come segue: </w:t>
      </w:r>
    </w:p>
    <w:p w14:paraId="2F09F9D7" w14:textId="2945F029"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maggior ricorso alle operazioni di recupero e minor ricorso allo smaltimento nelle discariche anche in funzione degli obiettivi della nuova direttiva europea in tema di discariche che riduce la percentuale di rifiuti in discarica al 10%,</w:t>
      </w:r>
    </w:p>
    <w:p w14:paraId="2CC26C32" w14:textId="6E4751E8"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riduzione delle emissioni di CO2, in linea con il Green Deal europeo e la Legge europea sul Clima (Reg. UE/1119/2021);</w:t>
      </w:r>
    </w:p>
    <w:p w14:paraId="39BD91C2" w14:textId="17B0F2A1"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istituzione di una gestione efficace dei rifiuti, in grado di contribuire a fornire delle soluzioni ambientalmente ed economicamente valide per risolvere la situazione di emergenza rifiuti in molte regioni italiane. La valorizzazione dei rifiuti dovrebbe tradursi per il cittadino in un concreto vantaggio in termini di riduzione della tassa sullo smaltimento dei rifiuti;</w:t>
      </w:r>
    </w:p>
    <w:p w14:paraId="388D7FEA" w14:textId="2E6BDB57"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utilizzo del valore economico ed ambientale intrinseco degli aggregati di recupero che saranno reinseriti, previa effettuazione di operazioni di recupero condotte nel rispetto di elevati standard ambientali, nel circuito economico, in linea con l’obiettivo dell’Unione europea di creare una società del riciclo (cfr. Thematic Strategy on the Prevention and Recycling of Waste);</w:t>
      </w:r>
    </w:p>
    <w:p w14:paraId="277115F1" w14:textId="701BF8C9"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promozione dello sviluppo di un’industria del recupero di alta qualità in grado di competere, anche sui mercati esteri, con i concorrenti stranieri e generare una maggiore confidenza del mercato nella qualità del materiale recuperato;</w:t>
      </w:r>
    </w:p>
    <w:p w14:paraId="3863818A" w14:textId="62801947" w:rsidR="00607B50" w:rsidRPr="00202041" w:rsidRDefault="00607B50" w:rsidP="00607B50">
      <w:pPr>
        <w:pStyle w:val="Paragrafoelenco"/>
        <w:numPr>
          <w:ilvl w:val="0"/>
          <w:numId w:val="1"/>
        </w:numPr>
        <w:jc w:val="both"/>
        <w:rPr>
          <w:rFonts w:ascii="Baskerville Old Face" w:hAnsi="Baskerville Old Face"/>
        </w:rPr>
      </w:pPr>
      <w:r w:rsidRPr="00202041">
        <w:rPr>
          <w:rFonts w:ascii="Baskerville Old Face" w:hAnsi="Baskerville Old Face"/>
        </w:rPr>
        <w:t>riduzione del consumo di risorse naturali attraverso l’utilizzo di aggregati di recupero in sostituzione degli analoghi materiali vergini, in conformità con la Thematic Strategy on the Prevention and Recycling of Waste.</w:t>
      </w:r>
    </w:p>
    <w:p w14:paraId="5C6D4D71" w14:textId="77777777" w:rsidR="00607B50" w:rsidRPr="00607B50" w:rsidRDefault="00607B50" w:rsidP="00607B50">
      <w:pPr>
        <w:jc w:val="both"/>
        <w:rPr>
          <w:rFonts w:ascii="Baskerville Old Face" w:hAnsi="Baskerville Old Face"/>
        </w:rPr>
      </w:pPr>
    </w:p>
    <w:p w14:paraId="6840DEBC"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 xml:space="preserve">2.2 Indicatori e valori di riferimento </w:t>
      </w:r>
    </w:p>
    <w:p w14:paraId="1BADC7B6" w14:textId="3195CA10" w:rsidR="00607B50" w:rsidRPr="00607B50" w:rsidRDefault="00607B50" w:rsidP="00607B50">
      <w:pPr>
        <w:jc w:val="both"/>
        <w:rPr>
          <w:rFonts w:ascii="Baskerville Old Face" w:hAnsi="Baskerville Old Face"/>
        </w:rPr>
      </w:pPr>
      <w:r w:rsidRPr="00607B50">
        <w:rPr>
          <w:rFonts w:ascii="Baskerville Old Face" w:hAnsi="Baskerville Old Face"/>
        </w:rPr>
        <w:t>Gli indicatori scelti discendono dall’analisi dei MUD che, ai sensi della normativa vigente, il produttore è tenuto a trasmettere ogni anno. Nel Modello di dichiarazione infatti sono contenute le informazioni inerenti alla tipologia e alle quantità di rifiuti da C&amp;D e di rifiuti inerti di origine minerale in ingresso all’impianto, alla tipologia e alle quantità di aggregato recuperato prodotta dall’impianto, alla tipologia e alle quantità di rifiuti derivanti dal processo di produzione</w:t>
      </w:r>
      <w:r w:rsidR="00501D9E">
        <w:rPr>
          <w:rFonts w:ascii="Baskerville Old Face" w:hAnsi="Baskerville Old Face"/>
        </w:rPr>
        <w:t xml:space="preserve"> </w:t>
      </w:r>
      <w:r w:rsidRPr="00607B50">
        <w:rPr>
          <w:rFonts w:ascii="Baskerville Old Face" w:hAnsi="Baskerville Old Face"/>
        </w:rPr>
        <w:t>e</w:t>
      </w:r>
      <w:r w:rsidR="00501D9E">
        <w:rPr>
          <w:rFonts w:ascii="Baskerville Old Face" w:hAnsi="Baskerville Old Face"/>
        </w:rPr>
        <w:t>,</w:t>
      </w:r>
      <w:r w:rsidRPr="00607B50">
        <w:rPr>
          <w:rFonts w:ascii="Baskerville Old Face" w:hAnsi="Baskerville Old Face"/>
        </w:rPr>
        <w:t xml:space="preserve"> in caso di scarti, le relative quantità conferite.</w:t>
      </w:r>
    </w:p>
    <w:p w14:paraId="1A2DCA45" w14:textId="77777777" w:rsidR="00607B50" w:rsidRDefault="00607B50" w:rsidP="00607B50">
      <w:pPr>
        <w:jc w:val="both"/>
        <w:rPr>
          <w:rFonts w:ascii="Baskerville Old Face" w:hAnsi="Baskerville Old Face"/>
        </w:rPr>
      </w:pPr>
    </w:p>
    <w:p w14:paraId="74D35CCB" w14:textId="15207B7B" w:rsidR="00607B50" w:rsidRPr="00607B50" w:rsidRDefault="00607B50" w:rsidP="00607B50">
      <w:pPr>
        <w:jc w:val="both"/>
        <w:rPr>
          <w:rFonts w:ascii="Baskerville Old Face" w:hAnsi="Baskerville Old Face"/>
          <w:b/>
          <w:bCs/>
        </w:rPr>
      </w:pPr>
      <w:r w:rsidRPr="00607B50">
        <w:rPr>
          <w:rFonts w:ascii="Baskerville Old Face" w:hAnsi="Baskerville Old Face"/>
          <w:b/>
          <w:bCs/>
        </w:rPr>
        <w:t>3. OPZIONI DI INTERVENTO E VALUTAZIONE PRELIMINARE</w:t>
      </w:r>
    </w:p>
    <w:p w14:paraId="51993AFA" w14:textId="77777777" w:rsidR="00607B50" w:rsidRPr="00607B50" w:rsidRDefault="00607B50" w:rsidP="00607B50">
      <w:pPr>
        <w:jc w:val="both"/>
        <w:rPr>
          <w:rFonts w:ascii="Baskerville Old Face" w:hAnsi="Baskerville Old Face"/>
        </w:rPr>
      </w:pPr>
      <w:r w:rsidRPr="00607B50">
        <w:rPr>
          <w:rFonts w:ascii="Baskerville Old Face" w:hAnsi="Baskerville Old Face"/>
        </w:rPr>
        <w:t>Tenuto conto della particolare specificità, quantità e natura dei rifiuti da costruzione e demolizione (C&amp;D) e di rifiuti inerti di origine minerale qualificati quale rifiuto, la migliore possibilità di recupero del materiale stesso è costituita dal processo di cessazione della qualifica di rifiuto (end of waste).</w:t>
      </w:r>
    </w:p>
    <w:p w14:paraId="7E786401" w14:textId="77777777" w:rsidR="00607B50" w:rsidRPr="00607B50" w:rsidRDefault="00607B50" w:rsidP="00607B50">
      <w:pPr>
        <w:jc w:val="both"/>
        <w:rPr>
          <w:rFonts w:ascii="Baskerville Old Face" w:hAnsi="Baskerville Old Face"/>
        </w:rPr>
      </w:pPr>
      <w:r w:rsidRPr="00607B50">
        <w:rPr>
          <w:rFonts w:ascii="Baskerville Old Face" w:hAnsi="Baskerville Old Face"/>
        </w:rPr>
        <w:t>Non sono state valutate, pertanto, opzioni alternative dovendosi ritenere l’intervento regolatorio in parola vincolato alla stregua della previsione di cui all’articolo 184-ter, del decreto legislativo 3 aprile 2006, n. 152.</w:t>
      </w:r>
    </w:p>
    <w:p w14:paraId="6BA17CBC" w14:textId="77777777" w:rsidR="00607B50" w:rsidRPr="00607B50" w:rsidRDefault="00607B50" w:rsidP="00607B50">
      <w:pPr>
        <w:jc w:val="both"/>
        <w:rPr>
          <w:rFonts w:ascii="Baskerville Old Face" w:hAnsi="Baskerville Old Face"/>
        </w:rPr>
      </w:pPr>
      <w:r w:rsidRPr="00607B50">
        <w:rPr>
          <w:rFonts w:ascii="Baskerville Old Face" w:hAnsi="Baskerville Old Face"/>
        </w:rPr>
        <w:t>L’opzione di non intervento non è stata presa in considerazione in quanto la disciplina proposta con il regolamento in questione contiene disposizioni relative alla “cessazione della qualifica di rifiuto” ovvero la realizzazione di un processo attraverso il quale il materiale risultante da un’operazione di recupero potrà nuovamente essere introdotto sul mercato ed essere in grado di competere con le materie prime vergini.</w:t>
      </w:r>
    </w:p>
    <w:p w14:paraId="2D3B3A99" w14:textId="77777777" w:rsidR="00607B50" w:rsidRPr="00607B50" w:rsidRDefault="00607B50" w:rsidP="00607B50">
      <w:pPr>
        <w:jc w:val="both"/>
        <w:rPr>
          <w:rFonts w:ascii="Baskerville Old Face" w:hAnsi="Baskerville Old Face"/>
        </w:rPr>
      </w:pPr>
      <w:r w:rsidRPr="00607B50">
        <w:rPr>
          <w:rFonts w:ascii="Baskerville Old Face" w:hAnsi="Baskerville Old Face"/>
        </w:rPr>
        <w:t xml:space="preserve">Inoltre, nel procedimento di valutazione dell’opzione di non intervento è stata evidenziata la valenza ambientale dell’EoW data dal fatto che esso rappresenta una misura concreta per realizzare, come vuole l’Europa, una società del riciclo e recupero, ossia un’economia circolare. La cessazione della qualifica di rifiuto consentirebbe, </w:t>
      </w:r>
      <w:r w:rsidRPr="00607B50">
        <w:rPr>
          <w:rFonts w:ascii="Baskerville Old Face" w:hAnsi="Baskerville Old Face"/>
        </w:rPr>
        <w:lastRenderedPageBreak/>
        <w:t>altresì, di ridurre in modo consistente il conferimento in discarica di tale tipologia di rifiuto che, allo attuale, rappresenta la destinazione finale principale.</w:t>
      </w:r>
    </w:p>
    <w:p w14:paraId="7081FD1F" w14:textId="77777777" w:rsidR="00607B50" w:rsidRDefault="00607B50" w:rsidP="00607B50">
      <w:pPr>
        <w:jc w:val="both"/>
        <w:rPr>
          <w:rFonts w:ascii="Baskerville Old Face" w:hAnsi="Baskerville Old Face"/>
        </w:rPr>
      </w:pPr>
    </w:p>
    <w:p w14:paraId="5443D4A0" w14:textId="69B56F76" w:rsidR="00607B50" w:rsidRPr="00607B50" w:rsidRDefault="00607B50" w:rsidP="00607B50">
      <w:pPr>
        <w:jc w:val="both"/>
        <w:rPr>
          <w:rFonts w:ascii="Baskerville Old Face" w:hAnsi="Baskerville Old Face"/>
          <w:b/>
          <w:bCs/>
        </w:rPr>
      </w:pPr>
      <w:r w:rsidRPr="00607B50">
        <w:rPr>
          <w:rFonts w:ascii="Baskerville Old Face" w:hAnsi="Baskerville Old Face"/>
          <w:b/>
          <w:bCs/>
        </w:rPr>
        <w:t>4. COMPARAZIONE DELLE OPZIONI E MOTIVAZIONE DELL’OPZIONE PREFERITA</w:t>
      </w:r>
    </w:p>
    <w:p w14:paraId="589885AB"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4.1 Impatti economici, sociali ed ambientali per categoria di destinatari</w:t>
      </w:r>
    </w:p>
    <w:p w14:paraId="6E4CCDBB" w14:textId="5FFBA9F9" w:rsidR="00607B50" w:rsidRPr="00E8479C" w:rsidRDefault="00607B50" w:rsidP="00607B50">
      <w:pPr>
        <w:jc w:val="both"/>
        <w:rPr>
          <w:rFonts w:ascii="Baskerville Old Face" w:hAnsi="Baskerville Old Face"/>
          <w:b/>
          <w:color w:val="FF0000"/>
        </w:rPr>
      </w:pPr>
      <w:r w:rsidRPr="00501D9E">
        <w:rPr>
          <w:rFonts w:ascii="Baskerville Old Face" w:hAnsi="Baskerville Old Face"/>
        </w:rPr>
        <w:t>L’intervento è frutto di un’attenta valutazione delle conseguenze che vengono a porsi anche sotto un profilo pratico. Allo stato attuale,</w:t>
      </w:r>
      <w:r w:rsidR="006D5BF2" w:rsidRPr="00501D9E">
        <w:rPr>
          <w:rFonts w:ascii="Baskerville Old Face" w:hAnsi="Baskerville Old Face"/>
        </w:rPr>
        <w:t xml:space="preserve"> nonostante </w:t>
      </w:r>
      <w:r w:rsidR="005D3E89" w:rsidRPr="00501D9E">
        <w:rPr>
          <w:rFonts w:ascii="Baskerville Old Face" w:hAnsi="Baskerville Old Face"/>
        </w:rPr>
        <w:t xml:space="preserve">una parte considerevole </w:t>
      </w:r>
      <w:r w:rsidRPr="00501D9E">
        <w:rPr>
          <w:rFonts w:ascii="Baskerville Old Face" w:hAnsi="Baskerville Old Face"/>
        </w:rPr>
        <w:t>dei rifiuti da costruzione e demolizione (C&amp;D) e di rifiuti inerti di origine minerale</w:t>
      </w:r>
      <w:r w:rsidR="005D3E89" w:rsidRPr="00501D9E">
        <w:rPr>
          <w:rFonts w:ascii="Baskerville Old Face" w:hAnsi="Baskerville Old Face"/>
        </w:rPr>
        <w:t xml:space="preserve"> sia avviata a recupero, è necessario intercettare </w:t>
      </w:r>
      <w:r w:rsidR="00202041" w:rsidRPr="00501D9E">
        <w:rPr>
          <w:rFonts w:ascii="Baskerville Old Face" w:hAnsi="Baskerville Old Face"/>
        </w:rPr>
        <w:t xml:space="preserve">ulteriori </w:t>
      </w:r>
      <w:r w:rsidR="005D3E89" w:rsidRPr="00501D9E">
        <w:rPr>
          <w:rFonts w:ascii="Baskerville Old Face" w:hAnsi="Baskerville Old Face"/>
        </w:rPr>
        <w:t>quantitativi avviati a smaltimento</w:t>
      </w:r>
      <w:r w:rsidRPr="00501D9E">
        <w:rPr>
          <w:rFonts w:ascii="Baskerville Old Face" w:hAnsi="Baskerville Old Face"/>
        </w:rPr>
        <w:t xml:space="preserve">. L’intervento regolatorio </w:t>
      </w:r>
      <w:r w:rsidR="00202041" w:rsidRPr="00501D9E">
        <w:rPr>
          <w:rFonts w:ascii="Baskerville Old Face" w:hAnsi="Baskerville Old Face"/>
        </w:rPr>
        <w:t xml:space="preserve">contribuirà </w:t>
      </w:r>
      <w:r w:rsidR="005D3E89" w:rsidRPr="00501D9E">
        <w:rPr>
          <w:rFonts w:ascii="Baskerville Old Face" w:hAnsi="Baskerville Old Face"/>
        </w:rPr>
        <w:t xml:space="preserve">dunque </w:t>
      </w:r>
      <w:r w:rsidRPr="00501D9E">
        <w:rPr>
          <w:rFonts w:ascii="Baskerville Old Face" w:hAnsi="Baskerville Old Face"/>
        </w:rPr>
        <w:t xml:space="preserve">all’aumento </w:t>
      </w:r>
      <w:r w:rsidR="00202041" w:rsidRPr="00501D9E">
        <w:rPr>
          <w:rFonts w:ascii="Baskerville Old Face" w:hAnsi="Baskerville Old Face"/>
        </w:rPr>
        <w:t xml:space="preserve">dei rifiuti avviati a recupero e all’incremento delle </w:t>
      </w:r>
      <w:r w:rsidR="00501D9E" w:rsidRPr="00501D9E">
        <w:rPr>
          <w:rFonts w:ascii="Baskerville Old Face" w:hAnsi="Baskerville Old Face"/>
        </w:rPr>
        <w:t>percentuali di</w:t>
      </w:r>
      <w:r w:rsidRPr="00501D9E">
        <w:rPr>
          <w:rFonts w:ascii="Baskerville Old Face" w:hAnsi="Baskerville Old Face"/>
        </w:rPr>
        <w:t xml:space="preserve"> recupero e riciclaggio</w:t>
      </w:r>
      <w:r w:rsidRPr="00E8479C">
        <w:rPr>
          <w:rFonts w:ascii="Baskerville Old Face" w:hAnsi="Baskerville Old Face"/>
          <w:b/>
          <w:color w:val="FF0000"/>
        </w:rPr>
        <w:t>.</w:t>
      </w:r>
    </w:p>
    <w:p w14:paraId="137D6C42" w14:textId="50EB8C43" w:rsidR="00607B50" w:rsidRPr="00E8479C" w:rsidRDefault="00607B50" w:rsidP="00607B50">
      <w:pPr>
        <w:jc w:val="both"/>
        <w:rPr>
          <w:rFonts w:ascii="Baskerville Old Face" w:hAnsi="Baskerville Old Face"/>
          <w:b/>
          <w:color w:val="FF0000"/>
        </w:rPr>
      </w:pPr>
      <w:r w:rsidRPr="00607B50">
        <w:rPr>
          <w:rFonts w:ascii="Baskerville Old Face" w:hAnsi="Baskerville Old Face"/>
        </w:rPr>
        <w:t xml:space="preserve">Non risultano svantaggi dall’opzione prescelta, al contrario, a condizione che ne vengano rispettati i criteri stabiliti, l’intervento normativo porterà i materiali ad uscire dallo status giuridico di rifiuto e, pertanto, contribuirà non solo a creare l’auspicata società del riciclo e perseguire gli obiettivi dell’economia circolare, ma consentirà di ridurre il consumo di risorse naturali e materie prime. A tali aspetti va a sommarsi il fatto </w:t>
      </w:r>
      <w:r w:rsidR="00501D9E">
        <w:rPr>
          <w:rFonts w:ascii="Baskerville Old Face" w:hAnsi="Baskerville Old Face"/>
        </w:rPr>
        <w:t xml:space="preserve">che </w:t>
      </w:r>
      <w:r w:rsidRPr="00501D9E">
        <w:rPr>
          <w:rFonts w:ascii="Baskerville Old Face" w:hAnsi="Baskerville Old Face"/>
          <w:bCs/>
        </w:rPr>
        <w:t xml:space="preserve">una </w:t>
      </w:r>
      <w:r w:rsidR="00790E9F" w:rsidRPr="00501D9E">
        <w:rPr>
          <w:rFonts w:ascii="Baskerville Old Face" w:hAnsi="Baskerville Old Face"/>
          <w:bCs/>
        </w:rPr>
        <w:t>ulteriore quantità</w:t>
      </w:r>
      <w:r w:rsidRPr="00501D9E">
        <w:rPr>
          <w:rFonts w:ascii="Baskerville Old Face" w:hAnsi="Baskerville Old Face"/>
          <w:bCs/>
        </w:rPr>
        <w:t xml:space="preserve"> dei 70 milioni di tonnellate prodotte </w:t>
      </w:r>
      <w:r w:rsidR="00790E9F" w:rsidRPr="00501D9E">
        <w:rPr>
          <w:rFonts w:ascii="Baskerville Old Face" w:hAnsi="Baskerville Old Face"/>
          <w:bCs/>
        </w:rPr>
        <w:t xml:space="preserve">sarà sottratta </w:t>
      </w:r>
      <w:r w:rsidRPr="00501D9E">
        <w:rPr>
          <w:rFonts w:ascii="Baskerville Old Face" w:hAnsi="Baskerville Old Face"/>
          <w:bCs/>
        </w:rPr>
        <w:t>al collocamento in discarica.</w:t>
      </w:r>
    </w:p>
    <w:p w14:paraId="4DAED40D" w14:textId="77777777" w:rsidR="00607B50" w:rsidRPr="00607B50" w:rsidRDefault="00607B50" w:rsidP="00607B50">
      <w:pPr>
        <w:jc w:val="both"/>
        <w:rPr>
          <w:rFonts w:ascii="Baskerville Old Face" w:hAnsi="Baskerville Old Face"/>
        </w:rPr>
      </w:pPr>
    </w:p>
    <w:p w14:paraId="4709D9C7"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4.2 Impatti specifici</w:t>
      </w:r>
    </w:p>
    <w:p w14:paraId="5FF48613" w14:textId="6462B32F" w:rsidR="00607B50" w:rsidRPr="00607B50" w:rsidRDefault="00607B50" w:rsidP="00607B50">
      <w:pPr>
        <w:jc w:val="both"/>
        <w:rPr>
          <w:rFonts w:ascii="Baskerville Old Face" w:hAnsi="Baskerville Old Face"/>
        </w:rPr>
      </w:pPr>
      <w:r w:rsidRPr="00607B50">
        <w:rPr>
          <w:rFonts w:ascii="Baskerville Old Face" w:hAnsi="Baskerville Old Face"/>
        </w:rPr>
        <w:t xml:space="preserve">Le micro, piccole e medie imprese potranno essere autorizzate al recupero di aggregati di recupero provenienti dal trattamento di rifiuti da costruzione e demolizione (C&amp;D) e di rifiuti inerti di origine minerale da effettuarsi attraverso operazioni di recupero idonee alla trasformazione dei rifiuti stessi in materiali/prodotti “end of waste”. </w:t>
      </w:r>
      <w:r w:rsidR="005D3E89" w:rsidRPr="00607B50">
        <w:rPr>
          <w:rFonts w:ascii="Baskerville Old Face" w:hAnsi="Baskerville Old Face"/>
        </w:rPr>
        <w:t>È</w:t>
      </w:r>
      <w:r w:rsidRPr="00607B50">
        <w:rPr>
          <w:rFonts w:ascii="Baskerville Old Face" w:hAnsi="Baskerville Old Face"/>
        </w:rPr>
        <w:t xml:space="preserve"> garantita, dunque, l’apertura al mercato di tutte le tipologie di imprese operanti.</w:t>
      </w:r>
    </w:p>
    <w:p w14:paraId="42C87E7D" w14:textId="77777777" w:rsidR="00607B50" w:rsidRPr="00607B50" w:rsidRDefault="00607B50" w:rsidP="00607B50">
      <w:pPr>
        <w:jc w:val="both"/>
        <w:rPr>
          <w:rFonts w:ascii="Baskerville Old Face" w:hAnsi="Baskerville Old Face"/>
        </w:rPr>
      </w:pPr>
    </w:p>
    <w:p w14:paraId="20A9575B"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4.3 Motivazione dell’opzione preferita</w:t>
      </w:r>
    </w:p>
    <w:p w14:paraId="1B88FEA6" w14:textId="77777777" w:rsidR="00607B50" w:rsidRPr="00607B50" w:rsidRDefault="00607B50" w:rsidP="00607B50">
      <w:pPr>
        <w:jc w:val="both"/>
        <w:rPr>
          <w:rFonts w:ascii="Baskerville Old Face" w:hAnsi="Baskerville Old Face"/>
        </w:rPr>
      </w:pPr>
      <w:r w:rsidRPr="00607B50">
        <w:rPr>
          <w:rFonts w:ascii="Baskerville Old Face" w:hAnsi="Baskerville Old Face"/>
        </w:rPr>
        <w:t>L’intervento rappresenta l’attuazione della delega legislativa di cui all’articolo 184-ter D. Lgs. n. 152/2006 a mente del quale i criteri specifici che devono essere soddisfatti affinché un rifiuto cessi di essere qualificato come tale sono adottati, caso per caso per specifiche tipologie di rifiuto, attraverso uno o più decreti del Ministero dell’ambiente e della tutela del territorio e del mare (oggi Ministero della Transizione Ecologica). Tale previsione normativa recepisce nell’ordinamento nazionale quanto previsto in ambito europeo e, segnatamente, all’articolo 6, paragrafo 4 della Direttiva 2008/98 ss.mm.ii. che riconosce agli Stati membri, se non sono stati stabiliti criteri a livello comunitario in conformità della procedura di cui ai paragrafi 1 e 2, la possibilità di decidere, caso per caso, se un determinato rifiuto abbia cessato di essere tale tenendo conto della giurisprudenza applicabile. L’introduzione della norma regolamentare per la fine rifiuto degli aggregati di recupero renderà economicamente sostenibile la raccolta dedicata e quindi aumenterà gli obiettivi di riciclaggio e recupero.</w:t>
      </w:r>
    </w:p>
    <w:p w14:paraId="1EB62A3A" w14:textId="77777777" w:rsidR="00607B50" w:rsidRDefault="00607B50" w:rsidP="00607B50">
      <w:pPr>
        <w:jc w:val="both"/>
        <w:rPr>
          <w:rFonts w:ascii="Baskerville Old Face" w:hAnsi="Baskerville Old Face"/>
          <w:b/>
          <w:bCs/>
        </w:rPr>
      </w:pPr>
    </w:p>
    <w:p w14:paraId="719DEFCF" w14:textId="45D886BF" w:rsidR="00607B50" w:rsidRPr="00607B50" w:rsidRDefault="00607B50" w:rsidP="00607B50">
      <w:pPr>
        <w:jc w:val="both"/>
        <w:rPr>
          <w:rFonts w:ascii="Baskerville Old Face" w:hAnsi="Baskerville Old Face"/>
          <w:b/>
          <w:bCs/>
        </w:rPr>
      </w:pPr>
      <w:r w:rsidRPr="00607B50">
        <w:rPr>
          <w:rFonts w:ascii="Baskerville Old Face" w:hAnsi="Baskerville Old Face"/>
          <w:b/>
          <w:bCs/>
        </w:rPr>
        <w:t>5. MODALITA’ DI ATTUAZIONE E MONITORAGGIO</w:t>
      </w:r>
    </w:p>
    <w:p w14:paraId="1DA2CEC3"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5.1 Attuazione</w:t>
      </w:r>
    </w:p>
    <w:p w14:paraId="09E2D820" w14:textId="77777777" w:rsidR="00607B50" w:rsidRPr="00607B50" w:rsidRDefault="00607B50" w:rsidP="00607B50">
      <w:pPr>
        <w:jc w:val="both"/>
        <w:rPr>
          <w:rFonts w:ascii="Baskerville Old Face" w:hAnsi="Baskerville Old Face"/>
        </w:rPr>
      </w:pPr>
      <w:r w:rsidRPr="00607B50">
        <w:rPr>
          <w:rFonts w:ascii="Baskerville Old Face" w:hAnsi="Baskerville Old Face"/>
        </w:rPr>
        <w:t>L’effettiva attuazione del presente regolamento non potrà prescindere dal comportamento responsabile dei soggetti destinatari dell’intervento, ossia le Autorità competenti al rilascio dei provvedimenti autorizzatori degli impianti nonché gli operatori del settore.</w:t>
      </w:r>
    </w:p>
    <w:p w14:paraId="5E89E976" w14:textId="77777777" w:rsidR="00607B50" w:rsidRPr="00607B50" w:rsidRDefault="00607B50" w:rsidP="00607B50">
      <w:pPr>
        <w:jc w:val="both"/>
        <w:rPr>
          <w:rFonts w:ascii="Baskerville Old Face" w:hAnsi="Baskerville Old Face"/>
        </w:rPr>
      </w:pPr>
      <w:r w:rsidRPr="00607B50">
        <w:rPr>
          <w:rFonts w:ascii="Baskerville Old Face" w:hAnsi="Baskerville Old Face"/>
        </w:rPr>
        <w:t>Il regolamento è comunicato alla Commissione europea ai sensi dell’articolo 5 della direttiva 2015/1535.</w:t>
      </w:r>
    </w:p>
    <w:p w14:paraId="6BCE49A7" w14:textId="77777777" w:rsidR="00607B50" w:rsidRPr="00607B50" w:rsidRDefault="00607B50" w:rsidP="00607B50">
      <w:pPr>
        <w:jc w:val="both"/>
        <w:rPr>
          <w:rFonts w:ascii="Baskerville Old Face" w:hAnsi="Baskerville Old Face"/>
        </w:rPr>
      </w:pPr>
      <w:r w:rsidRPr="00607B50">
        <w:rPr>
          <w:rFonts w:ascii="Baskerville Old Face" w:hAnsi="Baskerville Old Face"/>
        </w:rPr>
        <w:t>Il provvedimento verrà pubblicato sulla Gazzetta Ufficiale.</w:t>
      </w:r>
    </w:p>
    <w:p w14:paraId="63EC7A2F" w14:textId="77777777" w:rsidR="00607B50" w:rsidRPr="00607B50" w:rsidRDefault="00607B50" w:rsidP="00607B50">
      <w:pPr>
        <w:jc w:val="both"/>
        <w:rPr>
          <w:rFonts w:ascii="Baskerville Old Face" w:hAnsi="Baskerville Old Face"/>
        </w:rPr>
      </w:pPr>
      <w:r w:rsidRPr="00607B50">
        <w:rPr>
          <w:rFonts w:ascii="Baskerville Old Face" w:hAnsi="Baskerville Old Face"/>
        </w:rPr>
        <w:t>Non sono previsti specifici meccanismi per la revisione dell’intervento regolatorio.</w:t>
      </w:r>
    </w:p>
    <w:p w14:paraId="02185A49" w14:textId="77777777" w:rsidR="00607B50" w:rsidRPr="00607B50" w:rsidRDefault="00607B50" w:rsidP="00607B50">
      <w:pPr>
        <w:jc w:val="both"/>
        <w:rPr>
          <w:rFonts w:ascii="Baskerville Old Face" w:hAnsi="Baskerville Old Face"/>
        </w:rPr>
      </w:pPr>
    </w:p>
    <w:p w14:paraId="7B4C43A2" w14:textId="77777777" w:rsidR="00607B50" w:rsidRPr="00607B50" w:rsidRDefault="00607B50" w:rsidP="00607B50">
      <w:pPr>
        <w:jc w:val="both"/>
        <w:rPr>
          <w:rFonts w:ascii="Baskerville Old Face" w:hAnsi="Baskerville Old Face"/>
          <w:b/>
          <w:bCs/>
        </w:rPr>
      </w:pPr>
      <w:r w:rsidRPr="00607B50">
        <w:rPr>
          <w:rFonts w:ascii="Baskerville Old Face" w:hAnsi="Baskerville Old Face"/>
          <w:b/>
          <w:bCs/>
        </w:rPr>
        <w:t>5.2 Monitoraggio</w:t>
      </w:r>
    </w:p>
    <w:p w14:paraId="37CBA8FF" w14:textId="77777777" w:rsidR="00607B50" w:rsidRPr="00607B50" w:rsidRDefault="00607B50" w:rsidP="00607B50">
      <w:pPr>
        <w:jc w:val="both"/>
        <w:rPr>
          <w:rFonts w:ascii="Baskerville Old Face" w:hAnsi="Baskerville Old Face"/>
        </w:rPr>
      </w:pPr>
      <w:r w:rsidRPr="00607B50">
        <w:rPr>
          <w:rFonts w:ascii="Baskerville Old Face" w:hAnsi="Baskerville Old Face"/>
        </w:rPr>
        <w:t>Gli aspetti prioritari da monitorare in fase di attuazione sono costituiti dai dati e dalle informazioni trasmesse dagli operatori.</w:t>
      </w:r>
    </w:p>
    <w:p w14:paraId="1B1F14E2" w14:textId="77777777" w:rsidR="00607B50" w:rsidRPr="00607B50" w:rsidRDefault="00607B50" w:rsidP="00607B50">
      <w:pPr>
        <w:jc w:val="both"/>
        <w:rPr>
          <w:rFonts w:ascii="Baskerville Old Face" w:hAnsi="Baskerville Old Face"/>
        </w:rPr>
      </w:pPr>
      <w:r w:rsidRPr="00607B50">
        <w:rPr>
          <w:rFonts w:ascii="Baskerville Old Face" w:hAnsi="Baskerville Old Face"/>
        </w:rPr>
        <w:t>Sono applicati gli ordinari metodi statistici per la misurazione dell’effettività dell’adeguamento agli adempimenti da parte dei soggetti obbligati.</w:t>
      </w:r>
    </w:p>
    <w:p w14:paraId="1270D834" w14:textId="79038278" w:rsidR="00607B50" w:rsidRPr="00E8479C" w:rsidRDefault="00607B50" w:rsidP="00607B50">
      <w:pPr>
        <w:jc w:val="both"/>
        <w:rPr>
          <w:rFonts w:ascii="Baskerville Old Face" w:hAnsi="Baskerville Old Face"/>
        </w:rPr>
      </w:pPr>
      <w:r w:rsidRPr="00E8479C">
        <w:rPr>
          <w:rFonts w:ascii="Baskerville Old Face" w:hAnsi="Baskerville Old Face"/>
        </w:rPr>
        <w:t>Inoltre, ai sensi dell’art. 208 comma 17 bis e art. 214 comma 9 del D. lgs. 152/2006 i soggetti obbligati inviano i dati relativi alle autorizzazioni rilasciate ai sensi del presente schema di decreto al Catasto rifiuti di cui all’art. 189 del d.lgs. 152/2006.</w:t>
      </w:r>
    </w:p>
    <w:p w14:paraId="0E22FBEA" w14:textId="77777777" w:rsidR="00607B50" w:rsidRPr="00607B50" w:rsidRDefault="00607B50" w:rsidP="00607B50">
      <w:pPr>
        <w:jc w:val="both"/>
        <w:rPr>
          <w:rFonts w:ascii="Baskerville Old Face" w:hAnsi="Baskerville Old Face"/>
        </w:rPr>
      </w:pPr>
      <w:r w:rsidRPr="00607B50">
        <w:rPr>
          <w:rFonts w:ascii="Baskerville Old Face" w:hAnsi="Baskerville Old Face"/>
        </w:rPr>
        <w:t>Il Catasto in parola ha sede presso ISPRA che cura l’inserimento dei dati in un elenco nazionale accessibile al pubblico.</w:t>
      </w:r>
    </w:p>
    <w:p w14:paraId="6F26FC3F" w14:textId="77777777" w:rsidR="00607B50" w:rsidRPr="00607B50" w:rsidRDefault="00607B50" w:rsidP="00607B50">
      <w:pPr>
        <w:jc w:val="both"/>
        <w:rPr>
          <w:rFonts w:ascii="Baskerville Old Face" w:hAnsi="Baskerville Old Face"/>
        </w:rPr>
      </w:pPr>
      <w:r w:rsidRPr="00607B50">
        <w:rPr>
          <w:rFonts w:ascii="Baskerville Old Face" w:hAnsi="Baskerville Old Face"/>
        </w:rPr>
        <w:t>I gestori degli impianti inoltre hanno l’obbligo della compilazione ed invio del modello di dichiarazione unica ambientale (MUD).</w:t>
      </w:r>
    </w:p>
    <w:p w14:paraId="45A7FE96" w14:textId="77777777" w:rsidR="00607B50" w:rsidRPr="00607B50" w:rsidRDefault="00607B50" w:rsidP="00607B50">
      <w:pPr>
        <w:jc w:val="both"/>
        <w:rPr>
          <w:rFonts w:ascii="Baskerville Old Face" w:hAnsi="Baskerville Old Face"/>
        </w:rPr>
      </w:pPr>
      <w:r w:rsidRPr="00607B50">
        <w:rPr>
          <w:rFonts w:ascii="Baskerville Old Face" w:hAnsi="Baskerville Old Face"/>
        </w:rPr>
        <w:t>Tutti i dati di cui sopra sono elaborati annualmente da ISPRA e pubblicati nel Rapporto annuale rifiuti.</w:t>
      </w:r>
    </w:p>
    <w:p w14:paraId="58DEAA84" w14:textId="77777777" w:rsidR="00607B50" w:rsidRPr="00607B50" w:rsidRDefault="00607B50" w:rsidP="00607B50">
      <w:pPr>
        <w:jc w:val="both"/>
        <w:rPr>
          <w:rFonts w:ascii="Baskerville Old Face" w:hAnsi="Baskerville Old Face"/>
        </w:rPr>
      </w:pPr>
      <w:r w:rsidRPr="00607B50">
        <w:rPr>
          <w:rFonts w:ascii="Baskerville Old Face" w:hAnsi="Baskerville Old Face"/>
        </w:rPr>
        <w:t>A cura del Ministero della Transizione Ecologica, verrà effettuata, con cadenza biennale, la prevista VIR, nella quale verrà verificata l’efficacia dell’intervento attraverso l’analisi dei dati relativi dei MUD.</w:t>
      </w:r>
    </w:p>
    <w:p w14:paraId="0F15B70B" w14:textId="77777777" w:rsidR="00607B50" w:rsidRDefault="00607B50" w:rsidP="00607B50">
      <w:pPr>
        <w:jc w:val="both"/>
        <w:rPr>
          <w:rFonts w:ascii="Baskerville Old Face" w:hAnsi="Baskerville Old Face"/>
        </w:rPr>
      </w:pPr>
    </w:p>
    <w:p w14:paraId="7140649D" w14:textId="4D7EA892" w:rsidR="00607B50" w:rsidRPr="00607B50" w:rsidRDefault="00607B50" w:rsidP="00607B50">
      <w:pPr>
        <w:jc w:val="both"/>
        <w:rPr>
          <w:rFonts w:ascii="Baskerville Old Face" w:hAnsi="Baskerville Old Face"/>
          <w:b/>
          <w:bCs/>
        </w:rPr>
      </w:pPr>
      <w:r w:rsidRPr="00607B50">
        <w:rPr>
          <w:rFonts w:ascii="Baskerville Old Face" w:hAnsi="Baskerville Old Face"/>
          <w:b/>
          <w:bCs/>
        </w:rPr>
        <w:t>CONSULTAZIONI SVOLTE NEL CORSO DELL’AIR</w:t>
      </w:r>
    </w:p>
    <w:p w14:paraId="17196719" w14:textId="57022846" w:rsidR="006D5BF2" w:rsidRPr="00D83C61" w:rsidRDefault="00607B50" w:rsidP="00501D9E">
      <w:pPr>
        <w:jc w:val="both"/>
        <w:rPr>
          <w:rFonts w:ascii="Baskerville Old Face" w:hAnsi="Baskerville Old Face" w:cs="TimesNewRomanPSMT"/>
        </w:rPr>
      </w:pPr>
      <w:r w:rsidRPr="00607B50">
        <w:rPr>
          <w:rFonts w:ascii="Baskerville Old Face" w:hAnsi="Baskerville Old Face"/>
        </w:rPr>
        <w:t xml:space="preserve">I destinatari delle disposizioni sono le autorità competenti per il rilascio delle autorizzazioni e i tutti gli “stakeholders” lungo la filiera di riferimento. Sui contenuti del regolamento </w:t>
      </w:r>
      <w:r w:rsidR="006D5BF2" w:rsidRPr="00D83C61">
        <w:rPr>
          <w:rFonts w:ascii="Baskerville Old Face" w:hAnsi="Baskerville Old Face" w:cs="TimesNewRomanPSMT"/>
        </w:rPr>
        <w:t xml:space="preserve">l’allora Ministero dell’Ambiente e della Tutela del Territorio e del Mare (oggi Ministero della Transizione Ecologica) ha avviato e condotto un lungo e articolato confronto con gli </w:t>
      </w:r>
      <w:r w:rsidR="006D5BF2" w:rsidRPr="00D83C61">
        <w:rPr>
          <w:rFonts w:ascii="Baskerville Old Face" w:hAnsi="Baskerville Old Face" w:cs="TimesNewRomanPSMT"/>
          <w:i/>
          <w:iCs/>
        </w:rPr>
        <w:t xml:space="preserve">stakeholders </w:t>
      </w:r>
      <w:r w:rsidR="006D5BF2" w:rsidRPr="00D83C61">
        <w:rPr>
          <w:rFonts w:ascii="Baskerville Old Face" w:hAnsi="Baskerville Old Face" w:cs="TimesNewRomanPSMT"/>
        </w:rPr>
        <w:t xml:space="preserve">operanti nel settore dell’edilizia e con gli operatori economici coinvolti nella filiera della gestione dei rifiuti inerti provenienti da attività di demolizione e costruzione e altri inerti di origine minerale e, segnatamente, con: </w:t>
      </w:r>
    </w:p>
    <w:p w14:paraId="4494DD42" w14:textId="77777777" w:rsidR="006D5BF2" w:rsidRPr="00D83C61" w:rsidRDefault="006D5BF2" w:rsidP="006D5BF2">
      <w:pPr>
        <w:pStyle w:val="Paragrafoelenco"/>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sidRPr="00D83C61">
        <w:rPr>
          <w:rFonts w:ascii="Baskerville Old Face" w:hAnsi="Baskerville Old Face" w:cs="TimesNewRomanPSMT"/>
        </w:rPr>
        <w:t xml:space="preserve">l’Associazione Nazionale Produttori Aggregati Riciclati (ANPAR), </w:t>
      </w:r>
    </w:p>
    <w:p w14:paraId="1DF90924" w14:textId="77777777" w:rsidR="006D5BF2" w:rsidRPr="00D83C61" w:rsidRDefault="006D5BF2" w:rsidP="006D5BF2">
      <w:pPr>
        <w:pStyle w:val="Paragrafoelenco"/>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sidRPr="00D83C61">
        <w:rPr>
          <w:rFonts w:ascii="Baskerville Old Face" w:hAnsi="Baskerville Old Face" w:cs="TimesNewRomanPSMT"/>
        </w:rPr>
        <w:t>Confartigianato.</w:t>
      </w:r>
    </w:p>
    <w:p w14:paraId="75E06D96" w14:textId="70E02B34" w:rsidR="006D5BF2" w:rsidRPr="00D83C61" w:rsidRDefault="006D5BF2" w:rsidP="00501D9E">
      <w:pPr>
        <w:jc w:val="both"/>
        <w:rPr>
          <w:rFonts w:ascii="Baskerville Old Face" w:hAnsi="Baskerville Old Face" w:cs="TimesNewRomanPSMT"/>
        </w:rPr>
      </w:pPr>
      <w:r w:rsidRPr="00D83C61">
        <w:rPr>
          <w:rFonts w:ascii="Baskerville Old Face" w:hAnsi="Baskerville Old Face" w:cs="TimesNewRomanPSMT"/>
        </w:rPr>
        <w:t xml:space="preserve">Parimenti, </w:t>
      </w:r>
      <w:r>
        <w:rPr>
          <w:rFonts w:ascii="Baskerville Old Face" w:hAnsi="Baskerville Old Face" w:cs="TimesNewRomanPSMT"/>
        </w:rPr>
        <w:t>il Ministero</w:t>
      </w:r>
      <w:r w:rsidRPr="00D83C61">
        <w:rPr>
          <w:rFonts w:ascii="Baskerville Old Face" w:hAnsi="Baskerville Old Face" w:cs="TimesNewRomanPSMT"/>
        </w:rPr>
        <w:t xml:space="preserve"> </w:t>
      </w:r>
      <w:r w:rsidRPr="00D83C61">
        <w:rPr>
          <w:rFonts w:ascii="Baskerville Old Face" w:hAnsi="Baskerville Old Face" w:cs="Times New Roman"/>
        </w:rPr>
        <w:t xml:space="preserve">ha intrattenuto una costante interlocuzione anche con </w:t>
      </w:r>
      <w:r w:rsidRPr="00D83C61">
        <w:rPr>
          <w:rFonts w:ascii="Baskerville Old Face" w:hAnsi="Baskerville Old Face" w:cs="TimesNewRomanPSMT"/>
        </w:rPr>
        <w:t xml:space="preserve">l’Istituto Superiore per la Protezione e la Ricerca (ISPRA) e con l’Istituto Superiore di Sanità (ISS). </w:t>
      </w:r>
    </w:p>
    <w:p w14:paraId="3DD90695" w14:textId="77777777" w:rsidR="006D5BF2" w:rsidRPr="00D83C61" w:rsidRDefault="006D5BF2" w:rsidP="00501D9E">
      <w:pPr>
        <w:jc w:val="both"/>
        <w:rPr>
          <w:rFonts w:ascii="Baskerville Old Face" w:hAnsi="Baskerville Old Face" w:cs="TimesNewRomanPSMT"/>
        </w:rPr>
      </w:pPr>
      <w:r w:rsidRPr="00567A62">
        <w:rPr>
          <w:rFonts w:ascii="Baskerville Old Face" w:hAnsi="Baskerville Old Face" w:cs="TimesNewRomanPSMT"/>
        </w:rPr>
        <w:t>Ai fini dello svolgimento di tali interlocuzioni è stato istituito un gruppo di lavoro composto dalla Direzione generale del Ministero ex-RIN (oggi Eci), da ANPAR, Confartigianato, ISPRA e ISS.</w:t>
      </w:r>
      <w:r w:rsidRPr="00D83C61">
        <w:rPr>
          <w:rFonts w:ascii="Baskerville Old Face" w:hAnsi="Baskerville Old Face" w:cs="TimesNewRomanPSMT"/>
        </w:rPr>
        <w:t xml:space="preserve"> </w:t>
      </w:r>
    </w:p>
    <w:p w14:paraId="49DE5BF8" w14:textId="77777777" w:rsidR="006D5BF2" w:rsidRPr="00D83C61" w:rsidRDefault="006D5BF2" w:rsidP="00501D9E">
      <w:pPr>
        <w:jc w:val="both"/>
        <w:rPr>
          <w:rFonts w:ascii="Baskerville Old Face" w:hAnsi="Baskerville Old Face" w:cs="TimesNewRomanPSMT"/>
        </w:rPr>
      </w:pPr>
      <w:r>
        <w:rPr>
          <w:rFonts w:ascii="Baskerville Old Face" w:hAnsi="Baskerville Old Face" w:cs="TimesNewRomanPSMT"/>
        </w:rPr>
        <w:t>A valle delle</w:t>
      </w:r>
      <w:r w:rsidRPr="00D83C61">
        <w:rPr>
          <w:rFonts w:ascii="Baskerville Old Face" w:hAnsi="Baskerville Old Face" w:cs="TimesNewRomanPSMT"/>
        </w:rPr>
        <w:t xml:space="preserve"> riunioni tecniche del gruppo di lavoro, il confronto con gli </w:t>
      </w:r>
      <w:r w:rsidRPr="00501D9E">
        <w:rPr>
          <w:rFonts w:ascii="Baskerville Old Face" w:hAnsi="Baskerville Old Face" w:cs="TimesNewRomanPSMT"/>
        </w:rPr>
        <w:t>stakeholders</w:t>
      </w:r>
      <w:r w:rsidRPr="00D83C61">
        <w:rPr>
          <w:rFonts w:ascii="Baskerville Old Face" w:hAnsi="Baskerville Old Face" w:cs="TimesNewRomanPSMT"/>
        </w:rPr>
        <w:t xml:space="preserve"> è stato integrato dalla trasmissione, da parte di ANPAR: </w:t>
      </w:r>
    </w:p>
    <w:p w14:paraId="727B0AC3" w14:textId="60C32A12" w:rsidR="006D5BF2" w:rsidRPr="00D83C61" w:rsidRDefault="006D5BF2" w:rsidP="006D5BF2">
      <w:pPr>
        <w:pStyle w:val="Paragrafoelenco"/>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sidRPr="00D83C61">
        <w:rPr>
          <w:rFonts w:ascii="Baskerville Old Face" w:hAnsi="Baskerville Old Face" w:cs="TimesNewRomanPSMT"/>
        </w:rPr>
        <w:t>di un documento istruttorio dal titolo “</w:t>
      </w:r>
      <w:r w:rsidRPr="00FA6F19">
        <w:rPr>
          <w:rFonts w:ascii="Baskerville Old Face" w:hAnsi="Baskerville Old Face" w:cs="TimesNewRomanPSMT"/>
          <w:i/>
          <w:iCs/>
        </w:rPr>
        <w:t>L’End of Waste dei rifiuti inerti. Position Paper</w:t>
      </w:r>
      <w:r w:rsidRPr="00D83C61">
        <w:rPr>
          <w:rFonts w:ascii="Baskerville Old Face" w:hAnsi="Baskerville Old Face" w:cs="TimesNewRomanPSMT"/>
        </w:rPr>
        <w:t>” , contenente una sintesi delle problematiche rilevate dagli operatori del settore del recupero dei rifiuti inerti e la proposta di diverse possibili soluzioni alle stesse</w:t>
      </w:r>
      <w:r>
        <w:rPr>
          <w:rFonts w:ascii="Baskerville Old Face" w:hAnsi="Baskerville Old Face" w:cs="TimesNewRomanPSMT"/>
        </w:rPr>
        <w:t>, condivise con gli altri</w:t>
      </w:r>
      <w:r w:rsidRPr="008C5984">
        <w:rPr>
          <w:rFonts w:ascii="Baskerville Old Face" w:hAnsi="Baskerville Old Face" w:cs="TimesNewRomanPSMT"/>
          <w:i/>
          <w:iCs/>
        </w:rPr>
        <w:t xml:space="preserve"> </w:t>
      </w:r>
      <w:r w:rsidRPr="00D83C61">
        <w:rPr>
          <w:rFonts w:ascii="Baskerville Old Face" w:hAnsi="Baskerville Old Face" w:cs="TimesNewRomanPSMT"/>
          <w:i/>
          <w:iCs/>
        </w:rPr>
        <w:t>stakeholders</w:t>
      </w:r>
      <w:r>
        <w:rPr>
          <w:rFonts w:ascii="Baskerville Old Face" w:hAnsi="Baskerville Old Face" w:cs="TimesNewRomanPSMT"/>
          <w:i/>
          <w:iCs/>
        </w:rPr>
        <w:t xml:space="preserve"> </w:t>
      </w:r>
      <w:r w:rsidRPr="009A4538">
        <w:rPr>
          <w:rFonts w:ascii="Baskerville Old Face" w:hAnsi="Baskerville Old Face" w:cs="TimesNewRomanPSMT"/>
        </w:rPr>
        <w:t>coinvolti nelle riunioni del gruppo di lavoro</w:t>
      </w:r>
      <w:r w:rsidRPr="00D83C61">
        <w:rPr>
          <w:rFonts w:ascii="Baskerville Old Face" w:hAnsi="Baskerville Old Face" w:cs="TimesNewRomanPSMT"/>
        </w:rPr>
        <w:t xml:space="preserve">; </w:t>
      </w:r>
    </w:p>
    <w:p w14:paraId="7558DA97" w14:textId="6BD775E9" w:rsidR="006D5BF2" w:rsidRPr="00D83C61" w:rsidRDefault="006D5BF2" w:rsidP="006D5BF2">
      <w:pPr>
        <w:pStyle w:val="Paragrafoelenco"/>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sidRPr="00D83C61">
        <w:rPr>
          <w:rFonts w:ascii="Baskerville Old Face" w:hAnsi="Baskerville Old Face" w:cs="TimesNewRomanPSMT"/>
        </w:rPr>
        <w:t xml:space="preserve">di una Tabella riepilogativa dei risultati dei Test di Cessione e di 40 Rapporti di Prova relativi ai parametri Solfati, COD e Cloruri; </w:t>
      </w:r>
    </w:p>
    <w:p w14:paraId="6CC6C784" w14:textId="01D7AF84" w:rsidR="006D5BF2" w:rsidRPr="00D83C61" w:rsidRDefault="006D5BF2" w:rsidP="006D5BF2">
      <w:pPr>
        <w:pStyle w:val="Paragrafoelenco"/>
        <w:numPr>
          <w:ilvl w:val="0"/>
          <w:numId w:val="5"/>
        </w:numPr>
        <w:autoSpaceDE w:val="0"/>
        <w:autoSpaceDN w:val="0"/>
        <w:adjustRightInd w:val="0"/>
        <w:spacing w:before="120" w:after="120" w:line="276" w:lineRule="auto"/>
        <w:contextualSpacing w:val="0"/>
        <w:jc w:val="both"/>
        <w:rPr>
          <w:rFonts w:ascii="Baskerville Old Face" w:hAnsi="Baskerville Old Face" w:cs="TimesNewRomanPSMT"/>
        </w:rPr>
      </w:pPr>
      <w:r w:rsidRPr="00D83C61">
        <w:rPr>
          <w:rFonts w:ascii="Baskerville Old Face" w:hAnsi="Baskerville Old Face" w:cs="TimesNewRomanPSMT"/>
        </w:rPr>
        <w:t>dell’articolo “</w:t>
      </w:r>
      <w:r w:rsidRPr="00FA6F19">
        <w:rPr>
          <w:rFonts w:ascii="Baskerville Old Face" w:hAnsi="Baskerville Old Face" w:cs="TimesNewRomanPSMT"/>
          <w:i/>
          <w:iCs/>
        </w:rPr>
        <w:t>Edilizia ed economia circolare: End of Waste dei rifiuti inerti</w:t>
      </w:r>
      <w:r w:rsidRPr="00D83C61">
        <w:rPr>
          <w:rFonts w:ascii="Baskerville Old Face" w:hAnsi="Baskerville Old Face" w:cs="TimesNewRomanPSMT"/>
        </w:rPr>
        <w:t xml:space="preserve">” contenente le risultanze della </w:t>
      </w:r>
      <w:r w:rsidRPr="00FA6F19">
        <w:rPr>
          <w:rFonts w:ascii="Baskerville Old Face" w:hAnsi="Baskerville Old Face" w:cs="TimesNewRomanPSMT"/>
          <w:i/>
          <w:iCs/>
        </w:rPr>
        <w:t>“Ricerca in ambito EoW – Rifiuti da C&amp;D</w:t>
      </w:r>
      <w:r w:rsidRPr="00D83C61">
        <w:rPr>
          <w:rFonts w:ascii="Baskerville Old Face" w:hAnsi="Baskerville Old Face" w:cs="TimesNewRomanPSMT"/>
        </w:rPr>
        <w:t>” curata dal Centro di Ricerca Interdipartimentale Territorio Edilizia Restauro Ambiente (CITERA) dell’Università La Sapienza di Roma.</w:t>
      </w:r>
      <w:r>
        <w:rPr>
          <w:rFonts w:ascii="Baskerville Old Face" w:hAnsi="Baskerville Old Face" w:cs="TimesNewRomanPSMT"/>
        </w:rPr>
        <w:t xml:space="preserve"> </w:t>
      </w:r>
    </w:p>
    <w:p w14:paraId="430118AB" w14:textId="45251458" w:rsidR="00607B50" w:rsidRDefault="00607B50" w:rsidP="00607B50">
      <w:pPr>
        <w:jc w:val="both"/>
        <w:rPr>
          <w:rFonts w:ascii="Baskerville Old Face" w:hAnsi="Baskerville Old Face"/>
        </w:rPr>
      </w:pPr>
      <w:r w:rsidRPr="00607B50">
        <w:rPr>
          <w:rFonts w:ascii="Baskerville Old Face" w:hAnsi="Baskerville Old Face"/>
        </w:rPr>
        <w:lastRenderedPageBreak/>
        <w:t>In merito alla sussistenza delle condizioni di cui all’art. 184-ter, e in particolare per la valutazione degli impatti su ambiente e salute umana, si evidenzia che, a seguito dell’istruttoria effettuata</w:t>
      </w:r>
      <w:r w:rsidR="00501D9E">
        <w:rPr>
          <w:rFonts w:ascii="Baskerville Old Face" w:hAnsi="Baskerville Old Face"/>
        </w:rPr>
        <w:t>,</w:t>
      </w:r>
      <w:r w:rsidRPr="00607B50">
        <w:rPr>
          <w:rFonts w:ascii="Baskerville Old Face" w:hAnsi="Baskerville Old Face"/>
        </w:rPr>
        <w:t xml:space="preserve"> ISPRA </w:t>
      </w:r>
      <w:r w:rsidR="00501D9E">
        <w:rPr>
          <w:rFonts w:ascii="Baskerville Old Face" w:hAnsi="Baskerville Old Face"/>
        </w:rPr>
        <w:t xml:space="preserve">e ISS </w:t>
      </w:r>
      <w:r w:rsidRPr="00607B50">
        <w:rPr>
          <w:rFonts w:ascii="Baskerville Old Face" w:hAnsi="Baskerville Old Face"/>
        </w:rPr>
        <w:t>ha</w:t>
      </w:r>
      <w:r w:rsidR="00501D9E">
        <w:rPr>
          <w:rFonts w:ascii="Baskerville Old Face" w:hAnsi="Baskerville Old Face"/>
        </w:rPr>
        <w:t>nno</w:t>
      </w:r>
      <w:r w:rsidRPr="00607B50">
        <w:rPr>
          <w:rFonts w:ascii="Baskerville Old Face" w:hAnsi="Baskerville Old Face"/>
        </w:rPr>
        <w:t xml:space="preserve"> espresso </w:t>
      </w:r>
      <w:r w:rsidR="00501D9E">
        <w:rPr>
          <w:rFonts w:ascii="Baskerville Old Face" w:hAnsi="Baskerville Old Face"/>
        </w:rPr>
        <w:t>i pareri</w:t>
      </w:r>
      <w:r w:rsidRPr="00607B50">
        <w:rPr>
          <w:rFonts w:ascii="Baskerville Old Face" w:hAnsi="Baskerville Old Face"/>
        </w:rPr>
        <w:t xml:space="preserve"> che hanno consentito l’elaborazione di un testo condiviso nel quale la maggior parte delle prescrizioni sono state recepite e puntualmente riportate nel regolamento de quo. </w:t>
      </w:r>
      <w:r w:rsidR="00202041" w:rsidRPr="00607B50">
        <w:rPr>
          <w:rFonts w:ascii="Baskerville Old Face" w:hAnsi="Baskerville Old Face"/>
        </w:rPr>
        <w:t>Inoltre,</w:t>
      </w:r>
      <w:r w:rsidRPr="00607B50">
        <w:rPr>
          <w:rFonts w:ascii="Baskerville Old Face" w:hAnsi="Baskerville Old Face"/>
        </w:rPr>
        <w:t xml:space="preserve"> relativamente ai limiti dei solfati e dei cloruri sia ISS che ISPRA hanno espresso specifico parere accessorio con definizione di un nuovo limite tabellare</w:t>
      </w:r>
      <w:r w:rsidR="00202041">
        <w:rPr>
          <w:rFonts w:ascii="Baskerville Old Face" w:hAnsi="Baskerville Old Face"/>
        </w:rPr>
        <w:t xml:space="preserve">, nonché un ulteriore parere di sintesi da parte di ciascun Istituto, su richiesta del Ministero, </w:t>
      </w:r>
      <w:r w:rsidR="00202041">
        <w:rPr>
          <w:rFonts w:ascii="Baskerville Old Face" w:hAnsi="Baskerville Old Face" w:cs="Times New Roman"/>
        </w:rPr>
        <w:t xml:space="preserve">a seguito </w:t>
      </w:r>
      <w:r w:rsidR="00202041" w:rsidRPr="00D83C61">
        <w:rPr>
          <w:rFonts w:ascii="Baskerville Old Face" w:hAnsi="Baskerville Old Face" w:cs="Times New Roman"/>
        </w:rPr>
        <w:t>d</w:t>
      </w:r>
      <w:r w:rsidR="00202041">
        <w:rPr>
          <w:rFonts w:ascii="Baskerville Old Face" w:hAnsi="Baskerville Old Face" w:cs="Times New Roman"/>
        </w:rPr>
        <w:t>e</w:t>
      </w:r>
      <w:r w:rsidR="00202041" w:rsidRPr="00D83C61">
        <w:rPr>
          <w:rFonts w:ascii="Baskerville Old Face" w:hAnsi="Baskerville Old Face" w:cs="Times New Roman"/>
        </w:rPr>
        <w:t xml:space="preserve">lle risultanze del Parere interlocutorio rilasciato dal Consiglio di Stata </w:t>
      </w:r>
      <w:r w:rsidR="00202041" w:rsidRPr="00D83C61">
        <w:rPr>
          <w:rFonts w:ascii="Baskerville Old Face" w:hAnsi="Baskerville Old Face"/>
        </w:rPr>
        <w:t>del 17/09/2020</w:t>
      </w:r>
      <w:r w:rsidRPr="00607B50">
        <w:rPr>
          <w:rFonts w:ascii="Baskerville Old Face" w:hAnsi="Baskerville Old Face"/>
        </w:rPr>
        <w:t>.</w:t>
      </w:r>
    </w:p>
    <w:p w14:paraId="1C1C1F61" w14:textId="77777777" w:rsidR="00607B50" w:rsidRPr="00607B50" w:rsidRDefault="00607B50" w:rsidP="00607B50">
      <w:pPr>
        <w:jc w:val="both"/>
        <w:rPr>
          <w:rFonts w:ascii="Baskerville Old Face" w:hAnsi="Baskerville Old Face"/>
        </w:rPr>
      </w:pPr>
      <w:r w:rsidRPr="00607B50">
        <w:rPr>
          <w:rFonts w:ascii="Baskerville Old Face" w:hAnsi="Baskerville Old Face"/>
        </w:rPr>
        <w:t>Infine, rispetto alla condizione di cui all’articolo 184-ter, comma 1, lett. b), il Ministero, in fase istruttoria, ha acquisito documentazione idonea a dimostrare l’esistenza di un solido mercato rispetto agli aggregati di recupero che esitano a valle dell’attività di recupero dei rifiuti da costruzione e demolizione (C&amp;D) e di rifiuti inerti di origine minerale.</w:t>
      </w:r>
    </w:p>
    <w:p w14:paraId="7A3451CE" w14:textId="77777777" w:rsidR="00607B50" w:rsidRDefault="00607B50" w:rsidP="00607B50">
      <w:pPr>
        <w:jc w:val="both"/>
        <w:rPr>
          <w:rFonts w:ascii="Baskerville Old Face" w:hAnsi="Baskerville Old Face"/>
          <w:b/>
          <w:bCs/>
        </w:rPr>
      </w:pPr>
    </w:p>
    <w:p w14:paraId="7DEC9C1C" w14:textId="4F1BD7D8" w:rsidR="00607B50" w:rsidRPr="00607B50" w:rsidRDefault="00607B50" w:rsidP="00607B50">
      <w:pPr>
        <w:jc w:val="both"/>
        <w:rPr>
          <w:rFonts w:ascii="Baskerville Old Face" w:hAnsi="Baskerville Old Face"/>
          <w:b/>
          <w:bCs/>
        </w:rPr>
      </w:pPr>
      <w:r w:rsidRPr="00607B50">
        <w:rPr>
          <w:rFonts w:ascii="Baskerville Old Face" w:hAnsi="Baskerville Old Face"/>
          <w:b/>
          <w:bCs/>
        </w:rPr>
        <w:t>PERCORSO DI VALUTAZIONE</w:t>
      </w:r>
    </w:p>
    <w:p w14:paraId="6D96B331" w14:textId="77777777" w:rsidR="00607B50" w:rsidRPr="00607B50" w:rsidRDefault="00607B50" w:rsidP="00607B50">
      <w:pPr>
        <w:jc w:val="both"/>
        <w:rPr>
          <w:rFonts w:ascii="Baskerville Old Face" w:hAnsi="Baskerville Old Face"/>
        </w:rPr>
      </w:pPr>
      <w:r w:rsidRPr="00607B50">
        <w:rPr>
          <w:rFonts w:ascii="Baskerville Old Face" w:hAnsi="Baskerville Old Face"/>
        </w:rPr>
        <w:t>In merito alla sussistenza delle condizioni di cui all’art. 184-ter, ed in particolare per la valutazione degli impatti su ambiente e salute umana, si evidenzia che, a seguito dell’istruttoria effettuata, l’Istituto superiore per la protezione e la ricerca ambientale (ISPRA) ha espresso quattro pareri successivi uno all’altro.</w:t>
      </w:r>
    </w:p>
    <w:p w14:paraId="07887CCA" w14:textId="49654EF8" w:rsidR="00F31CFD" w:rsidRPr="00607B50" w:rsidRDefault="00607B50" w:rsidP="00607B50">
      <w:pPr>
        <w:jc w:val="both"/>
        <w:rPr>
          <w:rFonts w:ascii="Baskerville Old Face" w:hAnsi="Baskerville Old Face"/>
        </w:rPr>
      </w:pPr>
      <w:r w:rsidRPr="00607B50">
        <w:rPr>
          <w:rFonts w:ascii="Baskerville Old Face" w:hAnsi="Baskerville Old Face"/>
        </w:rPr>
        <w:t>Nei pareri rilasciati ISPRA ha formulato talune osservazioni che sono state istruite e vagliate dal Ministero e completamente recepite nel regolamento de quo.</w:t>
      </w:r>
    </w:p>
    <w:sectPr w:rsidR="00F31CFD" w:rsidRPr="00607B5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242B4" w14:textId="77777777" w:rsidR="00A34312" w:rsidRDefault="00A34312" w:rsidP="00607B50">
      <w:pPr>
        <w:spacing w:after="0" w:line="240" w:lineRule="auto"/>
      </w:pPr>
      <w:r>
        <w:separator/>
      </w:r>
    </w:p>
  </w:endnote>
  <w:endnote w:type="continuationSeparator" w:id="0">
    <w:p w14:paraId="76BDDEA1" w14:textId="77777777" w:rsidR="00A34312" w:rsidRDefault="00A34312" w:rsidP="00607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0225A" w14:textId="77777777" w:rsidR="00A34312" w:rsidRDefault="00A34312" w:rsidP="00607B50">
      <w:pPr>
        <w:spacing w:after="0" w:line="240" w:lineRule="auto"/>
      </w:pPr>
      <w:r>
        <w:separator/>
      </w:r>
    </w:p>
  </w:footnote>
  <w:footnote w:type="continuationSeparator" w:id="0">
    <w:p w14:paraId="42AA6BA4" w14:textId="77777777" w:rsidR="00A34312" w:rsidRDefault="00A34312" w:rsidP="00607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412"/>
    <w:multiLevelType w:val="hybridMultilevel"/>
    <w:tmpl w:val="BF5A9556"/>
    <w:lvl w:ilvl="0" w:tplc="D4F2C518">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B879CB"/>
    <w:multiLevelType w:val="hybridMultilevel"/>
    <w:tmpl w:val="66F43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477763"/>
    <w:multiLevelType w:val="hybridMultilevel"/>
    <w:tmpl w:val="D11EE29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3D142F3"/>
    <w:multiLevelType w:val="hybridMultilevel"/>
    <w:tmpl w:val="EFB2037A"/>
    <w:lvl w:ilvl="0" w:tplc="C5F8395C">
      <w:numFmt w:val="bullet"/>
      <w:lvlText w:val="-"/>
      <w:lvlJc w:val="left"/>
      <w:pPr>
        <w:ind w:left="1070" w:hanging="710"/>
      </w:pPr>
      <w:rPr>
        <w:rFonts w:ascii="Baskerville Old Face" w:eastAsiaTheme="minorHAnsi" w:hAnsi="Baskerville Old Fac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D3738D"/>
    <w:multiLevelType w:val="hybridMultilevel"/>
    <w:tmpl w:val="1286F472"/>
    <w:lvl w:ilvl="0" w:tplc="DE32CE48">
      <w:numFmt w:val="bullet"/>
      <w:lvlText w:val="-"/>
      <w:lvlJc w:val="left"/>
      <w:pPr>
        <w:ind w:left="720" w:hanging="360"/>
      </w:pPr>
      <w:rPr>
        <w:rFonts w:ascii="Calibri" w:eastAsiaTheme="minorHAnsi" w:hAnsi="Calibri" w:cs="Calibri" w:hint="default"/>
        <w:sz w:val="23"/>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B1A5A2A"/>
    <w:multiLevelType w:val="hybridMultilevel"/>
    <w:tmpl w:val="11D80562"/>
    <w:lvl w:ilvl="0" w:tplc="192AE4B2">
      <w:numFmt w:val="bullet"/>
      <w:lvlText w:val="•"/>
      <w:lvlJc w:val="left"/>
      <w:pPr>
        <w:ind w:left="1070" w:hanging="710"/>
      </w:pPr>
      <w:rPr>
        <w:rFonts w:ascii="Baskerville Old Face" w:eastAsiaTheme="minorHAnsi" w:hAnsi="Baskerville Old Face"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50"/>
    <w:rsid w:val="0013678D"/>
    <w:rsid w:val="001759B2"/>
    <w:rsid w:val="001A733F"/>
    <w:rsid w:val="00202041"/>
    <w:rsid w:val="003743A4"/>
    <w:rsid w:val="00383B2B"/>
    <w:rsid w:val="00492F74"/>
    <w:rsid w:val="004D26D9"/>
    <w:rsid w:val="00501D9E"/>
    <w:rsid w:val="005D3E89"/>
    <w:rsid w:val="00607B50"/>
    <w:rsid w:val="00625497"/>
    <w:rsid w:val="006D5BF2"/>
    <w:rsid w:val="00763620"/>
    <w:rsid w:val="0077280D"/>
    <w:rsid w:val="00790E9F"/>
    <w:rsid w:val="007F28A9"/>
    <w:rsid w:val="009E7DA2"/>
    <w:rsid w:val="00A34312"/>
    <w:rsid w:val="00A532F0"/>
    <w:rsid w:val="00A749A2"/>
    <w:rsid w:val="00B75FB9"/>
    <w:rsid w:val="00B8671E"/>
    <w:rsid w:val="00C47465"/>
    <w:rsid w:val="00C826D2"/>
    <w:rsid w:val="00E8479C"/>
    <w:rsid w:val="00EE6DD2"/>
    <w:rsid w:val="00F31C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AE98"/>
  <w15:chartTrackingRefBased/>
  <w15:docId w15:val="{06765E2E-0E28-4DA7-8F65-7D6FE3A6B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7B50"/>
    <w:pPr>
      <w:ind w:left="720"/>
      <w:contextualSpacing/>
    </w:pPr>
  </w:style>
  <w:style w:type="character" w:styleId="Rimandocommento">
    <w:name w:val="annotation reference"/>
    <w:basedOn w:val="Carpredefinitoparagrafo"/>
    <w:uiPriority w:val="99"/>
    <w:semiHidden/>
    <w:unhideWhenUsed/>
    <w:rsid w:val="001A733F"/>
    <w:rPr>
      <w:sz w:val="16"/>
      <w:szCs w:val="16"/>
    </w:rPr>
  </w:style>
  <w:style w:type="paragraph" w:styleId="Testocommento">
    <w:name w:val="annotation text"/>
    <w:basedOn w:val="Normale"/>
    <w:link w:val="TestocommentoCarattere"/>
    <w:uiPriority w:val="99"/>
    <w:semiHidden/>
    <w:unhideWhenUsed/>
    <w:rsid w:val="001A733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A733F"/>
    <w:rPr>
      <w:sz w:val="20"/>
      <w:szCs w:val="20"/>
    </w:rPr>
  </w:style>
  <w:style w:type="paragraph" w:styleId="Soggettocommento">
    <w:name w:val="annotation subject"/>
    <w:basedOn w:val="Testocommento"/>
    <w:next w:val="Testocommento"/>
    <w:link w:val="SoggettocommentoCarattere"/>
    <w:uiPriority w:val="99"/>
    <w:semiHidden/>
    <w:unhideWhenUsed/>
    <w:rsid w:val="001A733F"/>
    <w:rPr>
      <w:b/>
      <w:bCs/>
    </w:rPr>
  </w:style>
  <w:style w:type="character" w:customStyle="1" w:styleId="SoggettocommentoCarattere">
    <w:name w:val="Soggetto commento Carattere"/>
    <w:basedOn w:val="TestocommentoCarattere"/>
    <w:link w:val="Soggettocommento"/>
    <w:uiPriority w:val="99"/>
    <w:semiHidden/>
    <w:rsid w:val="001A733F"/>
    <w:rPr>
      <w:b/>
      <w:bCs/>
      <w:sz w:val="20"/>
      <w:szCs w:val="20"/>
    </w:rPr>
  </w:style>
  <w:style w:type="paragraph" w:styleId="Revisione">
    <w:name w:val="Revision"/>
    <w:hidden/>
    <w:uiPriority w:val="99"/>
    <w:semiHidden/>
    <w:rsid w:val="001A733F"/>
    <w:pPr>
      <w:spacing w:after="0" w:line="240" w:lineRule="auto"/>
    </w:pPr>
  </w:style>
  <w:style w:type="paragraph" w:styleId="Testofumetto">
    <w:name w:val="Balloon Text"/>
    <w:basedOn w:val="Normale"/>
    <w:link w:val="TestofumettoCarattere"/>
    <w:uiPriority w:val="99"/>
    <w:semiHidden/>
    <w:unhideWhenUsed/>
    <w:rsid w:val="00C826D2"/>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826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3028</Words>
  <Characters>17265</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Zavatti</dc:creator>
  <cp:keywords/>
  <dc:description/>
  <cp:lastModifiedBy>Di Folco Marco</cp:lastModifiedBy>
  <cp:revision>2</cp:revision>
  <dcterms:created xsi:type="dcterms:W3CDTF">2022-03-10T12:49:00Z</dcterms:created>
  <dcterms:modified xsi:type="dcterms:W3CDTF">2022-03-10T12:49:00Z</dcterms:modified>
</cp:coreProperties>
</file>