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C8EB1" w14:textId="7642D454" w:rsidR="00D8319D" w:rsidRPr="00D8319D" w:rsidRDefault="00D8319D" w:rsidP="00D8319D">
      <w:pPr>
        <w:spacing w:before="100" w:beforeAutospacing="1" w:after="100" w:afterAutospacing="1" w:line="240" w:lineRule="auto"/>
        <w:outlineLvl w:val="1"/>
        <w:rPr>
          <w:rFonts w:ascii="Times New Roman" w:eastAsia="Times New Roman" w:hAnsi="Times New Roman" w:cs="Times New Roman"/>
          <w:b/>
          <w:bCs/>
          <w:color w:val="000000"/>
          <w:sz w:val="36"/>
          <w:szCs w:val="36"/>
        </w:rPr>
      </w:pPr>
      <w:r>
        <w:rPr>
          <w:rFonts w:ascii="Times New Roman" w:hAnsi="Times New Roman"/>
          <w:b/>
          <w:color w:val="000000"/>
          <w:sz w:val="36"/>
        </w:rPr>
        <w:t>2021 m. rugpjūčio 23 d. Dekretas Nr. 2021-1110 dėl informacijos, kurioje nurodytos produktuose esančios endokrininę sistemą ardančios medžiagos, pateikimo</w:t>
      </w:r>
    </w:p>
    <w:p w14:paraId="04AB0115" w14:textId="77777777"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Susiję subjektai: asmenys, kurie prekiauja vartotojams skirtais produktais, kuriuos gaminant susidarė medžiagos, kurias, remdamasi jų savybėmis, Nacionalinė maisto, aplinkos ir darbuotojų sveikatos bei saugos agentūra (ANSES) priskiria prie patvirtintų, numanomų ar įtariamų endokrininę sistemą ardančių medžiagų.</w:t>
      </w:r>
      <w:r>
        <w:rPr>
          <w:rFonts w:ascii="Times New Roman" w:hAnsi="Times New Roman"/>
          <w:color w:val="000000"/>
          <w:sz w:val="27"/>
        </w:rPr>
        <w:br/>
        <w:t>Objektas: šio dekreto 1 straipsnyje pateikiamos nacionalinės nuostatos, reikalingos informacijai pateikti, kad būtų galima produkto sudėtyje atpažinti endokrininę sistemą ardančias medžiagas.</w:t>
      </w:r>
      <w:r>
        <w:rPr>
          <w:rFonts w:ascii="Times New Roman" w:hAnsi="Times New Roman"/>
          <w:color w:val="000000"/>
          <w:sz w:val="27"/>
        </w:rPr>
        <w:br/>
        <w:t>Įsigaliojimas: dekretas įsigalioja 2022 m. sausio 1 d.</w:t>
      </w:r>
      <w:r>
        <w:rPr>
          <w:rFonts w:ascii="Times New Roman" w:hAnsi="Times New Roman"/>
          <w:color w:val="000000"/>
          <w:sz w:val="27"/>
        </w:rPr>
        <w:br/>
        <w:t>Pranešimas. 2020 m. vasario 10 d. Įstatymo Nr. 2020-105 dėl kovos su švaistymu ir žiedinės ekonomikos (dar vadinamo Kovos su švaistymu ir žiedinės ekonomikos įstatymu (pranc. santrumpa – AGEC)) 13-II straipsnyje numatyta, kad siekiant nustatyti priemones, skirtas informacijai pateikti, kad būtų galima rinkai teikiamo produkto sudėtyje atpažinti endokrininę sistemą ardančias medžiagas, reikia taikyti Valstybės Tarybos dekretą. Šį straipsnį pagrindžiančiame aiškinamajame memorandume nustatytas tikslas yra „užtikrinti, kad piliečiams būtų suteikta skaidri informacija apie produktuose esančias endokrininę sistemą ardančių savybių turinčias medžiagas. Taigi jame numatyta, kad asmenys, prekiaujantys produktais, turinčiais medžiagų, kurioms būdingos ANSES nurodytos endokrininę sistemą ardančios savybės, turi paskelbti šių produktų ir juos sudarančių medžiagų sąrašą. Informacija turi būti skelbiama viešai, kad ja galėtų naudotis bendrų internetinių platformų naudotojai ir taip geriau būti informuoti vartotojai.</w:t>
      </w:r>
      <w:r>
        <w:rPr>
          <w:rFonts w:ascii="Times New Roman" w:hAnsi="Times New Roman"/>
          <w:color w:val="000000"/>
          <w:sz w:val="27"/>
        </w:rPr>
        <w:br/>
        <w:t xml:space="preserve">Antrojoje nacionalinėje strategijoje dėl endokrininę sistemą ardančių medžiagų (pranc. santrumpa – SNPE2) daugiausia dėmesio skiriama vartotojų informavimo gerinimui. ANSES intensyviai dirba siekdama sudaryti medžiagų, turinčių endokrininę sistemą ardančių savybių, sąrašus (SNPE2 veiksmas Nr. 3). Šis dekretas yra šių veiksmų plano dalis ir juo siekiama piliečiams pateikti skaidrią informaciją apie endokrininę sistemą ardančių medžiagų buvimą produktuose, įskaitant medžiagas, mišinius, gaminius ir maisto produktus. Todėl šiame straipsnyje produktais pagal Visuomenės sveikatos kodekso L. 5232-5 straipsnį laikomos medžiagos, mišiniai ir gaminiai (išskyrus vaistus), kaip apibrėžta Reglamento (EB) Nr. 1907/2006 3 straipsnyje, biocidiniai produktai, kaip apibrėžta Reglamento (ES) Nr. 528/2012 3 straipsnyje, augalų apsaugos produktai, kaip apibrėžta Reglamento (EB) Nr. 1107/2009, medicinos priemonės, kaip apibrėžta Reglamento (ES) 2017/745 2 straipsnyje, žaliavos ir gaminiai, įskaitant veikliąsias ir protingąsias žaliavas, skirti liestis su maisto produktais, kaip apibrėžta Reglamento (EB) Nr. 1935/2004 2 straipsnyje, žaislai, kaip apibrėžta Direktyvos 2009/48/EB 2 straipsnyje, kosmetikos gaminiai, kaip apibrėžta Reglamento (EB) Nr. 1223/2009 2 straipsnyje, ir gaminiai, kaip apibrėžta Direktyvos 2001/95/EB 2 straipsnyje, bei maisto produktai, kaip apibrėžta Reglamento (EB) Nr. 178/2002 </w:t>
      </w:r>
      <w:r>
        <w:rPr>
          <w:rFonts w:ascii="Times New Roman" w:hAnsi="Times New Roman"/>
          <w:color w:val="000000"/>
          <w:sz w:val="27"/>
        </w:rPr>
        <w:lastRenderedPageBreak/>
        <w:t>2 straipsnyje.</w:t>
      </w:r>
      <w:r>
        <w:rPr>
          <w:rFonts w:ascii="Times New Roman" w:hAnsi="Times New Roman"/>
          <w:color w:val="000000"/>
          <w:sz w:val="27"/>
        </w:rPr>
        <w:br/>
        <w:t>Prievolė pateikti informaciją apie endokrininę sistemą ardančias medžiagas, esančias rinkai pateiktame produkte, pradedama taikyti ne vėliau kaip per šešis mėnesius nuo nutarimo, kuriame išvardytos kvalifikuotą endokrininę sistemą ardančių savybių turinčios medžiagos, paskelbimo, atsižvelgiant į patikrintų, numanomų ar įtariamų asmenų mokslinių įrodymų lygį ir gaminių kategorijų, keliančių konkrečią poveikio riziką, sąrašą. Prievolė teikti informaciją apie endokrininę sistemą ardančias medžiagas, klasifikuojamas kaip įtariama, taikoma tik toms produktų kategorijoms, kurioms būdinga ypatinga poveikio rizika, nustatyta tame nutarime.</w:t>
      </w:r>
      <w:r>
        <w:rPr>
          <w:rFonts w:ascii="Times New Roman" w:hAnsi="Times New Roman"/>
          <w:color w:val="000000"/>
          <w:sz w:val="27"/>
        </w:rPr>
        <w:br/>
        <w:t>Nuorodos: su Visuomenės sveikatos kodeksu su pakeitimais, padarytais dekretu, (dėl šio pakeitimo parengta redakcija) galima susipažinti „Légifrance“ interneto svetainėje (https://www.legifrance.fr).</w:t>
      </w:r>
    </w:p>
    <w:p w14:paraId="2F5541DF" w14:textId="77777777"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Ministras Pirmininkas,</w:t>
      </w:r>
      <w:r>
        <w:rPr>
          <w:rFonts w:ascii="Times New Roman" w:hAnsi="Times New Roman"/>
          <w:color w:val="000000"/>
          <w:sz w:val="27"/>
        </w:rPr>
        <w:br/>
        <w:t>remdamasis perėjimo prie žaliosios ekonomikos ministrės ataskaita,</w:t>
      </w:r>
      <w:r>
        <w:rPr>
          <w:rFonts w:ascii="Times New Roman" w:hAnsi="Times New Roman"/>
          <w:color w:val="000000"/>
          <w:sz w:val="27"/>
        </w:rPr>
        <w:br/>
        <w:t>atsižvelgdamas į 2002 m. sausio 28 d. Europos Parlamento ir Tarybos reglamentą (EB) Nr. 178/2002, nustatantį maistui skirtų teisės aktų bendruosius principus ir reikalavimus, įsteigiantį Europos maisto saugos tarnybą ir nustatantį su maisto saugos klausimais susijusias procedūras,</w:t>
      </w:r>
      <w:r>
        <w:rPr>
          <w:rFonts w:ascii="Times New Roman" w:hAnsi="Times New Roman"/>
          <w:color w:val="000000"/>
          <w:sz w:val="27"/>
        </w:rPr>
        <w:br/>
        <w:t>atsižvelgdamas į 2006 m. gruodžio 18 d. Europos Parlamento ir Tarybos reglamentą (EB) Nr. 1907/2006 dėl cheminių medžiagų registracijos, įvertinimo, autorizacijos ir apribojimų (REACH), įsteigiantį Europos cheminių medžiagų agentūrą, iš dalies keičiantį direktyvą 1999/45/EB bei panaikinantį Tarybos reglamentą (EEB) Nr. 793/93, Komisijos reglamentą (EB) Nr. 1488/94, Tarybos direktyvą 76/769/EEB ir Komisijos direktyvas 91/155/EEB, 93/67/EEB, 93/105/EB bei 2000/21/EB,</w:t>
      </w:r>
      <w:r>
        <w:rPr>
          <w:rFonts w:ascii="Times New Roman" w:hAnsi="Times New Roman"/>
          <w:color w:val="000000"/>
          <w:sz w:val="27"/>
        </w:rPr>
        <w:br/>
        <w:t>atsižvelgdamas į 2017 m. balandžio 5 d. Europos Parlamento ir Tarybos reglamentą (ES) 2017/745 dėl medicinos priemonių, kuriuo iš dalies keičiama Direktyva 2001/83/EB, Reglamentas (EB) Nr. 178/2002 ir Reglamentas (EB) Nr. 1223/2009, ir kuriuo panaikinamos Tarybos direktyvos 90/385/EEB ir 93/42/EEB,</w:t>
      </w:r>
      <w:r>
        <w:rPr>
          <w:rFonts w:ascii="Times New Roman" w:hAnsi="Times New Roman"/>
          <w:color w:val="000000"/>
          <w:sz w:val="27"/>
        </w:rPr>
        <w:br/>
        <w:t>atsižvelgdamas į 2015 m. rugsėjo 9 d. Europos Parlamento ir Tarybos direktyvą (ES) 2015/1535, kuria nustatoma informacijos apie techninius reglamentus ir informacinės visuomenės paslaugų taisykles teikimo tvarka, ypač į pranešimą Nr. 2020/832/F,</w:t>
      </w:r>
      <w:r>
        <w:rPr>
          <w:rFonts w:ascii="Times New Roman" w:hAnsi="Times New Roman"/>
          <w:color w:val="000000"/>
          <w:sz w:val="27"/>
        </w:rPr>
        <w:br/>
        <w:t>atsižvelgdamas į Aplinkosaugos kodeksą, ypač į jo L. 541-9-1 straipsnį,</w:t>
      </w:r>
      <w:r>
        <w:rPr>
          <w:rFonts w:ascii="Times New Roman" w:hAnsi="Times New Roman"/>
          <w:color w:val="000000"/>
          <w:sz w:val="27"/>
        </w:rPr>
        <w:br/>
        <w:t>atsižvelgdamas į Baudžiamąjį kodeksą, ypač į jo R. 610-1 straipsnį,</w:t>
      </w:r>
      <w:r>
        <w:rPr>
          <w:rFonts w:ascii="Times New Roman" w:hAnsi="Times New Roman"/>
          <w:color w:val="000000"/>
          <w:sz w:val="27"/>
        </w:rPr>
        <w:br/>
        <w:t>atsižvelgdamas į Visuomenės sveikatos kodeksą, ypač į jo L. 5232-5 straipsnį,</w:t>
      </w:r>
      <w:r>
        <w:rPr>
          <w:rFonts w:ascii="Times New Roman" w:hAnsi="Times New Roman"/>
          <w:color w:val="000000"/>
          <w:sz w:val="27"/>
        </w:rPr>
        <w:br/>
        <w:t>atsižvelgdamas į 2020 m. vasario 10 d. Įstatymą Nr. 2020-105 dėl atliekų ir žiedinės ekonomikos, ypač į jo 13 ir 130 straipsnius,</w:t>
      </w:r>
      <w:r>
        <w:rPr>
          <w:rFonts w:ascii="Times New Roman" w:hAnsi="Times New Roman"/>
          <w:color w:val="000000"/>
          <w:sz w:val="27"/>
        </w:rPr>
        <w:br/>
        <w:t>atsižvelgdamas į 2020 m. gruodžio 21 d. Europos Komisijai išsiųstą pranešimą Nr. 2020/0832/F ir į 2021 m. sausio 25 d. ir kovo 22 d. atsakymus,</w:t>
      </w:r>
      <w:r>
        <w:rPr>
          <w:rFonts w:ascii="Times New Roman" w:hAnsi="Times New Roman"/>
          <w:color w:val="000000"/>
          <w:sz w:val="27"/>
        </w:rPr>
        <w:br/>
        <w:t>išklausęs Valstybės tarybą (Socialinių reikalų skyrių),</w:t>
      </w:r>
      <w:r>
        <w:rPr>
          <w:rFonts w:ascii="Times New Roman" w:hAnsi="Times New Roman"/>
          <w:color w:val="000000"/>
          <w:sz w:val="27"/>
        </w:rPr>
        <w:br/>
        <w:t>nustato tai, kas nurodyta toliau:</w:t>
      </w:r>
    </w:p>
    <w:p w14:paraId="74CCC72C" w14:textId="77777777" w:rsidR="00D8319D" w:rsidRPr="00D8319D" w:rsidRDefault="00D8319D" w:rsidP="00D8319D">
      <w:pPr>
        <w:spacing w:before="100" w:beforeAutospacing="1" w:after="100" w:afterAutospacing="1" w:line="240" w:lineRule="auto"/>
        <w:ind w:left="450"/>
        <w:outlineLvl w:val="3"/>
        <w:rPr>
          <w:rFonts w:ascii="Times New Roman" w:eastAsia="Times New Roman" w:hAnsi="Times New Roman" w:cs="Times New Roman"/>
          <w:b/>
          <w:bCs/>
          <w:color w:val="000000"/>
          <w:sz w:val="27"/>
          <w:szCs w:val="27"/>
        </w:rPr>
      </w:pPr>
      <w:r>
        <w:rPr>
          <w:rFonts w:ascii="Times New Roman" w:hAnsi="Times New Roman"/>
          <w:b/>
          <w:color w:val="000000"/>
          <w:sz w:val="27"/>
        </w:rPr>
        <w:lastRenderedPageBreak/>
        <w:t>1 straipsnis</w:t>
      </w:r>
    </w:p>
    <w:p w14:paraId="6F01E7E8" w14:textId="77777777"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t>Po Visuomenės sveikatos kodekso 5 dalies II knygos III antraštinės dalies II skyriaus 2 skirsnio įterpiamas 3 skirsnis, kuris išdėstomas taip:</w:t>
      </w:r>
    </w:p>
    <w:p w14:paraId="372A921D" w14:textId="258429D1"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t>„3 skirsnis.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Informacija apie produktuose esančias endokrininę sistemą ardančias medžiagas</w:t>
      </w:r>
    </w:p>
    <w:p w14:paraId="77342C7D" w14:textId="06A47FC9"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1 poskirsns.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Patvirtintų, numanomų ar įtariamų endokrininę sistemą ardančių savybių turinčių medžiagų ir produktų, keliančių ypatingą poveikio riziką, kategorijų sąrašas</w:t>
      </w:r>
    </w:p>
    <w:p w14:paraId="279B9BF7" w14:textId="13478383"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R. 5232-19 straipsnis. Šiame skirsnyje maisto produktai, kaip apibrėžta Reglamento (EB) Nr. 178/2002 2 straipsnyje, bei medžiagos, mišiniai ir gaminiai, kaip apibrėžta Reglamento (ES) Nr. 1907/2006 3 straipsnyje, (išskyrus medicinos produktus) yra laikomi produktais, kaip apibrėžta L. 5232-5 straipsnyje.</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Sveikatos apsaugos ir aplinkosaugos ministrų bendrame nutarime, pasikonsultavus su Prancūzijos maisto, aplinkosaugos ir darbuotojų saugos ir sveikatos agentūra, nustatomas: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1) L. 5232-5 straipsnio I dalyje minimų medžiagų, turinčių endokrininę sistemą ardančių savybių ir, remiantis atliktais moksliniais tyrimais, suskirstytų dvi kategorijas: patvirtintas endokrininę sistemą ardančias medžiagas ir numanomas endokrininę sistemą ardančias medžiagas, sąrašas;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2) L. 5232-5 straipsnio II dalyje minimų medžiagų, įtariamų turint endokrininę sistemą ardančių savybių, sąrašas;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3) L. 5232-5 straipsnio II dalyje minimų produktų, keliančių ypatingą pavojų juos naudojantiems asmenims, kategorijos, šių produktų naudojimo ir šalinimo sąlygos bei kiti susiję kriterijai.</w:t>
      </w:r>
    </w:p>
    <w:p w14:paraId="17BB2395" w14:textId="713238A8"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2 poskirsnis.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Informacijos prieinamumas visuomenei</w:t>
      </w:r>
    </w:p>
    <w:p w14:paraId="0150BE3C" w14:textId="4A26B63D"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 xml:space="preserve">R. 5232-20 straipsnis. I. L. 5232-5 straipsnio I ir II dalyse numatyta informacija pateikiama nepopieriniu formatu, prieinama nemokamai ir pakartotinai naudojama taip, kad būtų galima ją apibendrinti. Tuo tikslu bet kuris asmuo, pateikiantis gaminius rinkai, kaip apibrėžta L. 5232-5 straipsnyje, </w:t>
      </w:r>
      <w:r>
        <w:rPr>
          <w:rFonts w:ascii="Times New Roman" w:hAnsi="Times New Roman"/>
          <w:color w:val="000000"/>
          <w:sz w:val="27"/>
        </w:rPr>
        <w:lastRenderedPageBreak/>
        <w:t>pateikia informaciją specialiame tinklalapyje, kuriame yra taikomųjų programų sąsaja, arba naudodamasis bendru už sveikatą ir aplinkosaugą atsakingų ministrų nutarimu paskirta programa.</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Jei atitinkamam produktui taip pat taikoma prievolė informuoti vartotojus pagal Aplinkosaugos kodekso L. 541-9-1 straipsnį, informacija, numatyta šio kodekso L. 5332-5 straipsnio I ir II dalyse, pateikiama tose pačiose laikmenose, kuriose pateikiama informacija apie tų produktų arba produktų kategorijų, apibrėžtų pagal Aplinkosaugos kodekso L. 541-9-1 straipsnį, aplinkosaugines savybes ir savybes.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Sveikatos ir aplinkosaugos ministrų bendrame nutarime nustatomos procedūros, susijusios su šio kodekso L. 5232-5 straipsnio I ir II dalyse nurodytos informacijos turiniu ir pateikimo sąlygomis.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L. 5232-5 straipsnio I ir II dalyse numatyta informacija kiekvieno produkto atveju turi būti viešai paskelbta ne vėliau kaip per šešis mėnesius nuo R. 5232-19 straipsnyje nurodyto dekreto paskelbimo, įtraukiant produktą į sąrašą.</w:t>
      </w:r>
    </w:p>
    <w:p w14:paraId="119EB2A1" w14:textId="2EF6101D"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3 poskirsnis.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Baudžiamosios sankcijos</w:t>
      </w:r>
    </w:p>
    <w:p w14:paraId="10379220" w14:textId="4F78C836"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R. 5232-21 straipsnis. Už reikalavimo viešai paskelbti R. 5232-5 straipsnio I ir II dalyse pateiktą informaciją pagal R. 5232-20 straipsnyje nustatytas sąlygas nesilaikymą baudžiama bauda, taikoma už V kategorijos pažeidimus.</w:t>
      </w: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R. 5232-20 straipsnyje numatyto termino nesilaikymą baudžiama bauda, taikoma už V kategorijos pažeidimus.</w:t>
      </w:r>
    </w:p>
    <w:p w14:paraId="3EED871E" w14:textId="4DE33D23"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r>
      <w:r w:rsidR="00E26DAA" w:rsidRPr="00E26DAA">
        <w:rPr>
          <w:rFonts w:ascii="Times New Roman" w:hAnsi="Times New Roman"/>
          <w:color w:val="000000"/>
          <w:sz w:val="27"/>
        </w:rPr>
        <w:t>„</w:t>
      </w:r>
      <w:r>
        <w:rPr>
          <w:rFonts w:ascii="Times New Roman" w:hAnsi="Times New Roman"/>
          <w:color w:val="000000"/>
          <w:sz w:val="27"/>
        </w:rPr>
        <w:t>R. 5232-22 straipsnis. Už R.5232-21 straipsnyje nurodytus pasikartojančius pažeidimus taikomos sankcijos pagal Baudžiamojo kodekso 132-11 ir 132-15 straipsnius.“</w:t>
      </w:r>
    </w:p>
    <w:p w14:paraId="39654F8C" w14:textId="77777777" w:rsidR="00D8319D" w:rsidRPr="00D8319D" w:rsidRDefault="00D8319D" w:rsidP="00D8319D">
      <w:pPr>
        <w:spacing w:before="100" w:beforeAutospacing="1" w:after="100" w:afterAutospacing="1" w:line="240" w:lineRule="auto"/>
        <w:ind w:left="450"/>
        <w:outlineLvl w:val="3"/>
        <w:rPr>
          <w:rFonts w:ascii="Times New Roman" w:eastAsia="Times New Roman" w:hAnsi="Times New Roman" w:cs="Times New Roman"/>
          <w:b/>
          <w:bCs/>
          <w:color w:val="000000"/>
          <w:sz w:val="27"/>
          <w:szCs w:val="27"/>
        </w:rPr>
      </w:pPr>
      <w:r>
        <w:rPr>
          <w:rFonts w:ascii="Times New Roman" w:hAnsi="Times New Roman"/>
          <w:b/>
          <w:color w:val="000000"/>
          <w:sz w:val="27"/>
        </w:rPr>
        <w:t>2 straipsnis</w:t>
      </w:r>
    </w:p>
    <w:p w14:paraId="7EA96E25" w14:textId="77777777"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t>Šis dekretas įsigalioja 2022 m. sausio 1 d.</w:t>
      </w:r>
    </w:p>
    <w:p w14:paraId="44F37BCD" w14:textId="77777777" w:rsidR="00D8319D" w:rsidRPr="00D8319D" w:rsidRDefault="00D8319D" w:rsidP="00D8319D">
      <w:pPr>
        <w:spacing w:before="100" w:beforeAutospacing="1" w:after="100" w:afterAutospacing="1" w:line="240" w:lineRule="auto"/>
        <w:ind w:left="450"/>
        <w:outlineLvl w:val="3"/>
        <w:rPr>
          <w:rFonts w:ascii="Times New Roman" w:eastAsia="Times New Roman" w:hAnsi="Times New Roman" w:cs="Times New Roman"/>
          <w:b/>
          <w:bCs/>
          <w:color w:val="000000"/>
          <w:sz w:val="27"/>
          <w:szCs w:val="27"/>
        </w:rPr>
      </w:pPr>
      <w:r>
        <w:rPr>
          <w:rFonts w:ascii="Times New Roman" w:hAnsi="Times New Roman"/>
          <w:b/>
          <w:color w:val="000000"/>
          <w:sz w:val="27"/>
        </w:rPr>
        <w:t>3 straipsnis</w:t>
      </w:r>
    </w:p>
    <w:p w14:paraId="4BE132C6" w14:textId="77777777" w:rsidR="00D8319D" w:rsidRPr="00D8319D" w:rsidRDefault="00D8319D" w:rsidP="00D8319D">
      <w:pPr>
        <w:spacing w:before="100" w:beforeAutospacing="1" w:after="100" w:afterAutospacing="1" w:line="240" w:lineRule="auto"/>
        <w:ind w:left="450"/>
        <w:rPr>
          <w:rFonts w:ascii="Times New Roman" w:eastAsia="Times New Roman" w:hAnsi="Times New Roman" w:cs="Times New Roman"/>
          <w:color w:val="000000"/>
          <w:sz w:val="27"/>
          <w:szCs w:val="27"/>
        </w:rPr>
      </w:pPr>
      <w:r>
        <w:rPr>
          <w:rFonts w:ascii="Times New Roman" w:hAnsi="Times New Roman"/>
          <w:color w:val="000000"/>
          <w:sz w:val="27"/>
        </w:rPr>
        <w:br/>
        <w:t>Ekologinės pertvarkos ekonomikos ministrei, kancleriui – teisingumo ministrui bei solidarumo ir sveikatos apsaugos ministrui, kiekvienam atitinkamoje srityje, pavesta įgyvendinti šį dekretą, kuris bus paskelbtas Prancūzijos Respublikos oficialiajame leidinyje.</w:t>
      </w:r>
    </w:p>
    <w:p w14:paraId="1965C4D4" w14:textId="77777777"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lastRenderedPageBreak/>
        <w:br/>
        <w:t>Parengta 2021 m. rugpjūčio 23 d.</w:t>
      </w:r>
    </w:p>
    <w:p w14:paraId="703CA5E5" w14:textId="77777777"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Jean Castex</w:t>
      </w:r>
      <w:r>
        <w:rPr>
          <w:rFonts w:ascii="Times New Roman" w:hAnsi="Times New Roman"/>
          <w:color w:val="000000"/>
          <w:sz w:val="27"/>
        </w:rPr>
        <w:br/>
        <w:t>Ministro Pirmininko vardu:</w:t>
      </w:r>
    </w:p>
    <w:p w14:paraId="61B53AD3" w14:textId="2FAA663E"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Ekologinės pertvarkos ministrė</w:t>
      </w:r>
      <w:r w:rsidR="00C97361">
        <w:rPr>
          <w:rFonts w:ascii="Times New Roman" w:hAnsi="Times New Roman"/>
          <w:color w:val="000000"/>
          <w:sz w:val="27"/>
        </w:rPr>
        <w:t>,</w:t>
      </w:r>
      <w:r>
        <w:rPr>
          <w:rFonts w:ascii="Times New Roman" w:hAnsi="Times New Roman"/>
          <w:color w:val="000000"/>
          <w:sz w:val="27"/>
        </w:rPr>
        <w:br/>
        <w:t>Barbara POMPILI</w:t>
      </w:r>
    </w:p>
    <w:p w14:paraId="009E9B94" w14:textId="77777777"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Kancleris, teisingumo ministras,</w:t>
      </w:r>
      <w:r>
        <w:rPr>
          <w:rFonts w:ascii="Times New Roman" w:hAnsi="Times New Roman"/>
          <w:color w:val="000000"/>
          <w:sz w:val="27"/>
        </w:rPr>
        <w:br/>
        <w:t>Éric Dupond-Moretti</w:t>
      </w:r>
    </w:p>
    <w:p w14:paraId="5FC337F5" w14:textId="37211E5C" w:rsidR="00D8319D" w:rsidRPr="00D8319D" w:rsidRDefault="00D8319D" w:rsidP="00D8319D">
      <w:pPr>
        <w:spacing w:before="100" w:beforeAutospacing="1" w:after="100" w:afterAutospacing="1" w:line="240" w:lineRule="auto"/>
        <w:rPr>
          <w:rFonts w:ascii="Times New Roman" w:eastAsia="Times New Roman" w:hAnsi="Times New Roman" w:cs="Times New Roman"/>
          <w:color w:val="000000"/>
          <w:sz w:val="27"/>
          <w:szCs w:val="27"/>
        </w:rPr>
      </w:pPr>
      <w:r>
        <w:rPr>
          <w:rFonts w:ascii="Times New Roman" w:hAnsi="Times New Roman"/>
          <w:color w:val="000000"/>
          <w:sz w:val="27"/>
        </w:rPr>
        <w:br/>
        <w:t>Socialinio solidarumo ir sveikatos apsaugos ministras</w:t>
      </w:r>
      <w:r w:rsidR="00C97361">
        <w:rPr>
          <w:rFonts w:ascii="Times New Roman" w:hAnsi="Times New Roman"/>
          <w:color w:val="000000"/>
          <w:sz w:val="27"/>
        </w:rPr>
        <w:t>,</w:t>
      </w:r>
      <w:r>
        <w:rPr>
          <w:rFonts w:ascii="Times New Roman" w:hAnsi="Times New Roman"/>
          <w:color w:val="000000"/>
          <w:sz w:val="27"/>
        </w:rPr>
        <w:br/>
        <w:t>Olivier VERAN</w:t>
      </w:r>
    </w:p>
    <w:p w14:paraId="5F469EE0" w14:textId="77777777" w:rsidR="00B026BB" w:rsidRDefault="00B026BB"/>
    <w:sectPr w:rsidR="00B026B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19D"/>
    <w:rsid w:val="00840AF1"/>
    <w:rsid w:val="00B026BB"/>
    <w:rsid w:val="00C97361"/>
    <w:rsid w:val="00D8319D"/>
    <w:rsid w:val="00E26D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ADE9"/>
  <w15:chartTrackingRefBased/>
  <w15:docId w15:val="{43535567-19CF-442F-AF98-2A79B7755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773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1234</Words>
  <Characters>8716</Characters>
  <Application>Microsoft Office Word</Application>
  <DocSecurity>0</DocSecurity>
  <Lines>177</Lines>
  <Paragraphs>25</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class='Internal'</cp:keywords>
  <dc:description/>
  <cp:lastModifiedBy>Ines Varvodic</cp:lastModifiedBy>
  <cp:revision>3</cp:revision>
  <dcterms:created xsi:type="dcterms:W3CDTF">2022-02-11T12:11:00Z</dcterms:created>
  <dcterms:modified xsi:type="dcterms:W3CDTF">2022-02-11T12:49:00Z</dcterms:modified>
</cp:coreProperties>
</file>