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7" w:type="dxa"/>
        <w:tblInd w:w="-72" w:type="dxa"/>
        <w:tblLayout w:type="fixed"/>
        <w:tblLook w:val="0000" w:firstRow="0" w:lastRow="0" w:firstColumn="0" w:lastColumn="0" w:noHBand="0" w:noVBand="0"/>
      </w:tblPr>
      <w:tblGrid>
        <w:gridCol w:w="4924"/>
        <w:gridCol w:w="218"/>
        <w:gridCol w:w="4265"/>
      </w:tblGrid>
      <w:tr w:rsidR="00CF0688" w14:paraId="429F2D36" w14:textId="77777777">
        <w:trPr>
          <w:trHeight w:val="2157"/>
        </w:trPr>
        <w:tc>
          <w:tcPr>
            <w:tcW w:w="5141" w:type="dxa"/>
            <w:gridSpan w:val="2"/>
          </w:tcPr>
          <w:p w14:paraId="6F38873B" w14:textId="202F2861" w:rsidR="00CF0688" w:rsidRDefault="00FE2D8D">
            <w:pPr>
              <w:widowControl w:val="0"/>
              <w:tabs>
                <w:tab w:val="left" w:pos="454"/>
              </w:tabs>
              <w:spacing w:line="360" w:lineRule="auto"/>
              <w:rPr>
                <w:b/>
                <w:sz w:val="20"/>
                <w:szCs w:val="20"/>
              </w:rPr>
            </w:pPr>
            <w:r>
              <w:rPr>
                <w:noProof/>
              </w:rPr>
              <w:drawing>
                <wp:anchor distT="0" distB="0" distL="114300" distR="114300" simplePos="0" relativeHeight="2" behindDoc="0" locked="0" layoutInCell="1" allowOverlap="1" wp14:anchorId="79FF3C85" wp14:editId="2E380978">
                  <wp:simplePos x="0" y="0"/>
                  <wp:positionH relativeFrom="column">
                    <wp:posOffset>363855</wp:posOffset>
                  </wp:positionH>
                  <wp:positionV relativeFrom="paragraph">
                    <wp:posOffset>4445</wp:posOffset>
                  </wp:positionV>
                  <wp:extent cx="431800" cy="431800"/>
                  <wp:effectExtent l="0" t="0" r="0" b="0"/>
                  <wp:wrapTight wrapText="bothSides">
                    <wp:wrapPolygon edited="0">
                      <wp:start x="-17" y="0"/>
                      <wp:lineTo x="-17" y="20948"/>
                      <wp:lineTo x="20956" y="20948"/>
                      <wp:lineTo x="20956" y="0"/>
                      <wp:lineTo x="-17" y="0"/>
                    </wp:wrapPolygon>
                  </wp:wrapTight>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5"/>
                          <a:stretch>
                            <a:fillRect/>
                          </a:stretch>
                        </pic:blipFill>
                        <pic:spPr bwMode="auto">
                          <a:xfrm>
                            <a:off x="0" y="0"/>
                            <a:ext cx="431800" cy="431800"/>
                          </a:xfrm>
                          <a:prstGeom prst="rect">
                            <a:avLst/>
                          </a:prstGeom>
                        </pic:spPr>
                      </pic:pic>
                    </a:graphicData>
                  </a:graphic>
                </wp:anchor>
              </w:drawing>
            </w:r>
            <w:r>
              <w:rPr>
                <w:b/>
                <w:sz w:val="20"/>
              </w:rPr>
              <w:tab/>
            </w:r>
          </w:p>
          <w:p w14:paraId="66A8C9D5" w14:textId="5172A3C2" w:rsidR="00CF0688" w:rsidRDefault="00CF0688">
            <w:pPr>
              <w:widowControl w:val="0"/>
              <w:spacing w:line="360" w:lineRule="auto"/>
              <w:rPr>
                <w:b/>
                <w:color w:val="1F3864"/>
                <w:sz w:val="20"/>
                <w:szCs w:val="20"/>
              </w:rPr>
            </w:pPr>
          </w:p>
          <w:p w14:paraId="7453E3B1" w14:textId="4C2CDF8A" w:rsidR="00CF0688" w:rsidRDefault="006E2E77">
            <w:pPr>
              <w:widowControl w:val="0"/>
              <w:spacing w:before="240" w:line="360" w:lineRule="auto"/>
              <w:rPr>
                <w:b/>
                <w:color w:val="1F3864"/>
                <w:sz w:val="20"/>
                <w:szCs w:val="20"/>
              </w:rPr>
            </w:pPr>
            <w:r>
              <w:rPr>
                <w:b/>
                <w:noProof/>
                <w:color w:val="1F3864"/>
                <w:sz w:val="2"/>
              </w:rPr>
              <mc:AlternateContent>
                <mc:Choice Requires="wps">
                  <w:drawing>
                    <wp:anchor distT="0" distB="0" distL="114300" distR="114300" simplePos="0" relativeHeight="251659264" behindDoc="0" locked="0" layoutInCell="1" allowOverlap="1" wp14:anchorId="19836B99" wp14:editId="46763D42">
                      <wp:simplePos x="0" y="0"/>
                      <wp:positionH relativeFrom="column">
                        <wp:posOffset>502525</wp:posOffset>
                      </wp:positionH>
                      <wp:positionV relativeFrom="paragraph">
                        <wp:posOffset>358559</wp:posOffset>
                      </wp:positionV>
                      <wp:extent cx="1837426" cy="65405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37426" cy="654050"/>
                              </a:xfrm>
                              <a:prstGeom prst="rect">
                                <a:avLst/>
                              </a:prstGeom>
                              <a:solidFill>
                                <a:schemeClr val="lt1"/>
                              </a:solidFill>
                              <a:ln w="6350">
                                <a:noFill/>
                              </a:ln>
                            </wps:spPr>
                            <wps:txbx>
                              <w:txbxContent>
                                <w:p w14:paraId="2FB59B2F" w14:textId="77777777" w:rsidR="005D031B" w:rsidRDefault="006E2E77">
                                  <w:pPr>
                                    <w:rPr>
                                      <w:rFonts w:ascii="Arial" w:hAnsi="Arial" w:cs="Arial"/>
                                      <w:b/>
                                      <w:bCs/>
                                      <w:color w:val="17365D" w:themeColor="text2" w:themeShade="BF"/>
                                      <w:sz w:val="28"/>
                                      <w:szCs w:val="28"/>
                                    </w:rPr>
                                  </w:pPr>
                                  <w:r>
                                    <w:rPr>
                                      <w:rFonts w:ascii="Arial" w:hAnsi="Arial"/>
                                      <w:b/>
                                      <w:color w:val="17365D" w:themeColor="text2" w:themeShade="BF"/>
                                      <w:sz w:val="28"/>
                                    </w:rPr>
                                    <w:t>AIIP</w:t>
                                  </w:r>
                                </w:p>
                                <w:p w14:paraId="5529BD9B" w14:textId="543FD405" w:rsidR="006E2E77" w:rsidRPr="006E2E77" w:rsidRDefault="006E2E77">
                                  <w:pPr>
                                    <w:rPr>
                                      <w:rFonts w:ascii="Arial" w:hAnsi="Arial" w:cs="Arial"/>
                                      <w:color w:val="17365D" w:themeColor="text2" w:themeShade="BF"/>
                                    </w:rPr>
                                  </w:pPr>
                                  <w:r>
                                    <w:rPr>
                                      <w:rFonts w:ascii="Arial" w:hAnsi="Arial"/>
                                      <w:color w:val="17365D" w:themeColor="text2" w:themeShade="BF"/>
                                    </w:rPr>
                                    <w:t>Autoridad Independiente de Ingresos Públicos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9836B99" id="_x0000_t202" coordsize="21600,21600" o:spt="202" path="m,l,21600r21600,l21600,xe">
                      <v:stroke joinstyle="miter"/>
                      <v:path gradientshapeok="t" o:connecttype="rect"/>
                    </v:shapetype>
                    <v:shape id="Text Box 4" o:spid="_x0000_s1026" type="#_x0000_t202" style="position:absolute;margin-left:39.55pt;margin-top:28.25pt;width:144.7pt;height:5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" fillcolor="white [3201]" stroked="f" strokeweight=".5pt">
                      <v:textbox>
                        <w:txbxContent>
                          <w:p w14:paraId="2FB59B2F" w14:textId="77777777" w:rsidR="005D031B" w:rsidRDefault="006E2E77">
                            <w:pPr>
                              <w:rPr>
                                <w:rFonts w:ascii="Arial" w:hAnsi="Arial" w:cs="Arial"/>
                                <w:b/>
                                <w:bCs/>
                                <w:color w:val="17365D" w:themeColor="text2" w:themeShade="BF"/>
                                <w:sz w:val="28"/>
                                <w:szCs w:val="28"/>
                              </w:rPr>
                            </w:pPr>
                            <w:r>
                              <w:rPr>
                                <w:rFonts w:ascii="Arial" w:hAnsi="Arial"/>
                                <w:b/>
                                <w:color w:val="17365D" w:themeColor="text2" w:themeShade="BF"/>
                                <w:sz w:val="28"/>
                              </w:rPr>
                              <w:t>AIIP</w:t>
                            </w:r>
                          </w:p>
                          <w:p w14:paraId="5529BD9B" w14:textId="543FD405" w:rsidR="006E2E77" w:rsidRPr="006E2E77" w:rsidRDefault="006E2E77">
                            <w:pPr>
                              <w:rPr>
                                <w:rFonts w:ascii="Arial" w:hAnsi="Arial" w:cs="Arial"/>
                                <w:color w:val="17365D" w:themeColor="text2" w:themeShade="BF"/>
                              </w:rPr>
                            </w:pPr>
                            <w:r>
                              <w:rPr>
                                <w:rFonts w:ascii="Arial" w:hAnsi="Arial"/>
                                <w:color w:val="17365D" w:themeColor="text2" w:themeShade="BF"/>
                              </w:rPr>
                              <w:t>Autoridad Independiente de Ingresos Públicos</w:t>
                            </w:r>
                          </w:p>
                        </w:txbxContent>
                      </v:textbox>
                    </v:shape>
                  </w:pict>
                </mc:Fallback>
              </mc:AlternateContent>
            </w:r>
            <w:r>
              <w:rPr>
                <w:b/>
                <w:color w:val="1F3864"/>
                <w:sz w:val="20"/>
              </w:rPr>
              <w:t>REPÚBLICA HELÉNICA</w:t>
            </w:r>
          </w:p>
          <w:p w14:paraId="5152EC0B" w14:textId="4CDD04C2" w:rsidR="00CF0688" w:rsidRDefault="00CF0688">
            <w:pPr>
              <w:widowControl w:val="0"/>
              <w:spacing w:line="360" w:lineRule="auto"/>
              <w:rPr>
                <w:b/>
                <w:color w:val="1F3864"/>
                <w:sz w:val="2"/>
                <w:szCs w:val="20"/>
              </w:rPr>
            </w:pPr>
          </w:p>
          <w:p w14:paraId="75364DD1" w14:textId="4CAF2F0A" w:rsidR="00CF0688" w:rsidRDefault="00FE2D8D">
            <w:pPr>
              <w:widowControl w:val="0"/>
              <w:spacing w:before="120" w:line="360" w:lineRule="auto"/>
              <w:rPr>
                <w:color w:val="1F3864"/>
                <w:sz w:val="20"/>
                <w:szCs w:val="20"/>
              </w:rPr>
            </w:pPr>
            <w:r>
              <w:rPr>
                <w:noProof/>
                <w:color w:val="1F3864"/>
                <w:sz w:val="20"/>
              </w:rPr>
              <w:drawing>
                <wp:anchor distT="0" distB="0" distL="114300" distR="114300" simplePos="0" relativeHeight="3" behindDoc="0" locked="0" layoutInCell="1" allowOverlap="1" wp14:anchorId="570347B7" wp14:editId="33E3276D">
                  <wp:simplePos x="0" y="0"/>
                  <wp:positionH relativeFrom="column">
                    <wp:posOffset>1905</wp:posOffset>
                  </wp:positionH>
                  <wp:positionV relativeFrom="paragraph">
                    <wp:posOffset>22225</wp:posOffset>
                  </wp:positionV>
                  <wp:extent cx="1619885" cy="450850"/>
                  <wp:effectExtent l="0" t="0" r="0" b="0"/>
                  <wp:wrapSquare wrapText="bothSides"/>
                  <wp:docPr id="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4"/>
                          <pic:cNvPicPr>
                            <a:picLocks noChangeAspect="1" noChangeArrowheads="1"/>
                          </pic:cNvPicPr>
                        </pic:nvPicPr>
                        <pic:blipFill>
                          <a:blip r:embed="rId6"/>
                          <a:stretch>
                            <a:fillRect/>
                          </a:stretch>
                        </pic:blipFill>
                        <pic:spPr bwMode="auto">
                          <a:xfrm>
                            <a:off x="0" y="0"/>
                            <a:ext cx="1619885" cy="450850"/>
                          </a:xfrm>
                          <a:prstGeom prst="rect">
                            <a:avLst/>
                          </a:prstGeom>
                        </pic:spPr>
                      </pic:pic>
                    </a:graphicData>
                  </a:graphic>
                </wp:anchor>
              </w:drawing>
            </w:r>
          </w:p>
        </w:tc>
        <w:tc>
          <w:tcPr>
            <w:tcW w:w="4265" w:type="dxa"/>
          </w:tcPr>
          <w:p w14:paraId="3F543360" w14:textId="77777777" w:rsidR="00CF0688" w:rsidRDefault="00CF0688">
            <w:pPr>
              <w:pStyle w:val="Heading3"/>
              <w:widowControl w:val="0"/>
              <w:rPr>
                <w:rFonts w:ascii="Franklin Gothic Medium" w:hAnsi="Franklin Gothic Medium"/>
                <w:b w:val="0"/>
                <w:sz w:val="24"/>
              </w:rPr>
            </w:pPr>
          </w:p>
          <w:p w14:paraId="1C43CBCF" w14:textId="77777777" w:rsidR="00CF0688" w:rsidRDefault="00CF0688">
            <w:pPr>
              <w:pStyle w:val="Heading3"/>
              <w:widowControl w:val="0"/>
              <w:rPr>
                <w:rFonts w:ascii="Franklin Gothic Medium" w:hAnsi="Franklin Gothic Medium"/>
                <w:b w:val="0"/>
                <w:sz w:val="24"/>
              </w:rPr>
            </w:pPr>
          </w:p>
          <w:p w14:paraId="6FEE872F" w14:textId="77777777" w:rsidR="00CF0688" w:rsidRDefault="00CF0688">
            <w:pPr>
              <w:pStyle w:val="Heading3"/>
              <w:widowControl w:val="0"/>
              <w:rPr>
                <w:rFonts w:ascii="Franklin Gothic Medium" w:hAnsi="Franklin Gothic Medium"/>
                <w:b w:val="0"/>
                <w:sz w:val="24"/>
              </w:rPr>
            </w:pPr>
          </w:p>
          <w:p w14:paraId="2CC4FEC0" w14:textId="77777777" w:rsidR="00CF0688" w:rsidRDefault="00CF0688">
            <w:pPr>
              <w:pStyle w:val="Heading3"/>
              <w:widowControl w:val="0"/>
              <w:spacing w:line="360" w:lineRule="auto"/>
              <w:rPr>
                <w:rFonts w:ascii="Franklin Gothic Medium" w:hAnsi="Franklin Gothic Medium"/>
                <w:b w:val="0"/>
                <w:sz w:val="24"/>
              </w:rPr>
            </w:pPr>
          </w:p>
          <w:p w14:paraId="1C6DDC27" w14:textId="1C4AB405" w:rsidR="00CF0688" w:rsidRDefault="00FE2D8D">
            <w:pPr>
              <w:pStyle w:val="Heading3"/>
              <w:widowControl w:val="0"/>
              <w:spacing w:line="360" w:lineRule="auto"/>
              <w:rPr>
                <w:rFonts w:ascii="Franklin Gothic Medium" w:hAnsi="Franklin Gothic Medium"/>
                <w:b w:val="0"/>
                <w:sz w:val="24"/>
              </w:rPr>
            </w:pPr>
            <w:r>
              <w:rPr>
                <w:rFonts w:ascii="Franklin Gothic Medium" w:hAnsi="Franklin Gothic Medium"/>
                <w:b w:val="0"/>
                <w:sz w:val="24"/>
              </w:rPr>
              <w:t xml:space="preserve">  Atenas, 17 de octubre de 2022         </w:t>
            </w:r>
          </w:p>
          <w:p w14:paraId="3DA373D3" w14:textId="77777777" w:rsidR="00CF0688" w:rsidRDefault="00FE2D8D">
            <w:pPr>
              <w:pStyle w:val="Heading3"/>
              <w:widowControl w:val="0"/>
              <w:spacing w:line="360" w:lineRule="auto"/>
              <w:rPr>
                <w:rFonts w:ascii="Franklin Gothic Medium" w:hAnsi="Franklin Gothic Medium"/>
                <w:b w:val="0"/>
                <w:sz w:val="24"/>
              </w:rPr>
            </w:pPr>
            <w:r>
              <w:rPr>
                <w:rFonts w:ascii="Franklin Gothic Medium" w:hAnsi="Franklin Gothic Medium"/>
                <w:b w:val="0"/>
                <w:sz w:val="24"/>
              </w:rPr>
              <w:t xml:space="preserve">  Protocolo n.º:  30/010/000/</w:t>
            </w:r>
            <w:r>
              <w:rPr>
                <w:rFonts w:ascii="Franklin Gothic Medium" w:hAnsi="Franklin Gothic Medium"/>
                <w:sz w:val="24"/>
              </w:rPr>
              <w:t xml:space="preserve">30/2022 </w:t>
            </w:r>
          </w:p>
        </w:tc>
      </w:tr>
      <w:tr w:rsidR="00CF0688" w14:paraId="38178BDF" w14:textId="77777777">
        <w:trPr>
          <w:trHeight w:val="287"/>
        </w:trPr>
        <w:tc>
          <w:tcPr>
            <w:tcW w:w="5141" w:type="dxa"/>
            <w:gridSpan w:val="2"/>
          </w:tcPr>
          <w:p w14:paraId="6F963600" w14:textId="77777777" w:rsidR="00CF0688" w:rsidRDefault="00CF0688">
            <w:pPr>
              <w:widowControl w:val="0"/>
              <w:spacing w:line="276" w:lineRule="auto"/>
              <w:rPr>
                <w:rFonts w:ascii="Franklin Gothic Medium" w:eastAsia="Calibri" w:hAnsi="Franklin Gothic Medium" w:cs="Arial"/>
                <w:b/>
                <w:bCs/>
                <w:lang w:eastAsia="en-US"/>
              </w:rPr>
            </w:pPr>
          </w:p>
          <w:p w14:paraId="70A27F7B" w14:textId="77777777" w:rsidR="00CF0688" w:rsidRDefault="00FE2D8D">
            <w:pPr>
              <w:widowControl w:val="0"/>
              <w:spacing w:line="276" w:lineRule="auto"/>
              <w:rPr>
                <w:rFonts w:ascii="Franklin Gothic Medium" w:eastAsia="Calibri" w:hAnsi="Franklin Gothic Medium" w:cs="Arial"/>
                <w:b/>
                <w:bCs/>
              </w:rPr>
            </w:pPr>
            <w:r>
              <w:rPr>
                <w:rFonts w:ascii="Franklin Gothic Medium" w:hAnsi="Franklin Gothic Medium"/>
                <w:b/>
              </w:rPr>
              <w:t>CONSEJO SUPERIOR DE QUÍMICA</w:t>
            </w:r>
          </w:p>
          <w:p w14:paraId="250177AA" w14:textId="77777777" w:rsidR="00CF0688" w:rsidRDefault="00CF0688">
            <w:pPr>
              <w:widowControl w:val="0"/>
              <w:spacing w:line="276" w:lineRule="auto"/>
              <w:rPr>
                <w:rFonts w:ascii="Franklin Gothic Medium" w:hAnsi="Franklin Gothic Medium" w:cs="Arial"/>
                <w:b/>
              </w:rPr>
            </w:pPr>
          </w:p>
          <w:p w14:paraId="4458707A" w14:textId="7E1F241D" w:rsidR="00CF0688" w:rsidRDefault="00FE2D8D">
            <w:pPr>
              <w:widowControl w:val="0"/>
              <w:spacing w:line="276" w:lineRule="auto"/>
              <w:rPr>
                <w:rFonts w:ascii="Franklin Gothic Medium" w:hAnsi="Franklin Gothic Medium" w:cs="Arial"/>
              </w:rPr>
            </w:pPr>
            <w:r>
              <w:rPr>
                <w:rFonts w:ascii="Franklin Gothic Medium" w:hAnsi="Franklin Gothic Medium"/>
                <w:b/>
              </w:rPr>
              <w:t>Dirección postal:</w:t>
            </w:r>
            <w:r>
              <w:rPr>
                <w:rFonts w:ascii="Franklin Gothic Medium" w:hAnsi="Franklin Gothic Medium"/>
              </w:rPr>
              <w:t xml:space="preserve">  </w:t>
            </w:r>
            <w:r w:rsidR="00610710">
              <w:rPr>
                <w:rFonts w:ascii="Franklin Gothic Medium" w:hAnsi="Franklin Gothic Medium"/>
              </w:rPr>
              <w:tab/>
            </w:r>
            <w:r>
              <w:rPr>
                <w:rFonts w:ascii="Franklin Gothic Medium" w:hAnsi="Franklin Gothic Medium"/>
              </w:rPr>
              <w:t xml:space="preserve">16, Calle </w:t>
            </w:r>
            <w:proofErr w:type="spellStart"/>
            <w:r>
              <w:rPr>
                <w:rFonts w:ascii="Franklin Gothic Medium" w:hAnsi="Franklin Gothic Medium"/>
              </w:rPr>
              <w:t>Tsocha</w:t>
            </w:r>
            <w:proofErr w:type="spellEnd"/>
            <w:r>
              <w:rPr>
                <w:rFonts w:ascii="Franklin Gothic Medium" w:hAnsi="Franklin Gothic Medium"/>
              </w:rPr>
              <w:t xml:space="preserve">, Atenas  </w:t>
            </w:r>
          </w:p>
        </w:tc>
        <w:tc>
          <w:tcPr>
            <w:tcW w:w="4265" w:type="dxa"/>
            <w:vMerge w:val="restart"/>
          </w:tcPr>
          <w:p w14:paraId="0FDFC93F" w14:textId="77777777" w:rsidR="00CF0688" w:rsidRDefault="00FE2D8D">
            <w:pPr>
              <w:pStyle w:val="Heading3"/>
              <w:widowControl w:val="0"/>
              <w:spacing w:line="276" w:lineRule="auto"/>
              <w:rPr>
                <w:rFonts w:ascii="Franklin Gothic Medium" w:hAnsi="Franklin Gothic Medium"/>
                <w:b w:val="0"/>
                <w:sz w:val="24"/>
              </w:rPr>
            </w:pPr>
            <w:r>
              <w:rPr>
                <w:rFonts w:ascii="Franklin Gothic Medium" w:hAnsi="Franklin Gothic Medium"/>
                <w:b w:val="0"/>
                <w:sz w:val="24"/>
              </w:rPr>
              <w:t xml:space="preserve">                          </w:t>
            </w:r>
          </w:p>
          <w:p w14:paraId="17382FF5" w14:textId="77777777" w:rsidR="00CF0688" w:rsidRDefault="00FE2D8D">
            <w:pPr>
              <w:pStyle w:val="Heading3"/>
              <w:widowControl w:val="0"/>
              <w:spacing w:line="276" w:lineRule="auto"/>
              <w:rPr>
                <w:rFonts w:ascii="Franklin Gothic Medium" w:hAnsi="Franklin Gothic Medium"/>
                <w:sz w:val="24"/>
              </w:rPr>
            </w:pPr>
            <w:r>
              <w:rPr>
                <w:rFonts w:ascii="Franklin Gothic Medium" w:hAnsi="Franklin Gothic Medium"/>
                <w:b w:val="0"/>
                <w:sz w:val="24"/>
              </w:rPr>
              <w:t xml:space="preserve">                     </w:t>
            </w:r>
            <w:r>
              <w:rPr>
                <w:rFonts w:ascii="Franklin Gothic Medium" w:hAnsi="Franklin Gothic Medium"/>
                <w:sz w:val="24"/>
              </w:rPr>
              <w:t>PARA:</w:t>
            </w:r>
          </w:p>
          <w:p w14:paraId="61949B13" w14:textId="77777777" w:rsidR="00CF0688" w:rsidRDefault="00CF0688">
            <w:pPr>
              <w:widowControl w:val="0"/>
              <w:spacing w:line="276" w:lineRule="auto"/>
              <w:rPr>
                <w:rFonts w:ascii="Franklin Gothic Medium" w:hAnsi="Franklin Gothic Medium" w:cs="Arial"/>
              </w:rPr>
            </w:pPr>
          </w:p>
          <w:p w14:paraId="1D0E1646" w14:textId="77777777" w:rsidR="00CF0688" w:rsidRDefault="00FE2D8D">
            <w:pPr>
              <w:widowControl w:val="0"/>
              <w:spacing w:line="276" w:lineRule="auto"/>
              <w:rPr>
                <w:rFonts w:ascii="Franklin Gothic Medium" w:hAnsi="Franklin Gothic Medium" w:cs="Arial"/>
              </w:rPr>
            </w:pPr>
            <w:r>
              <w:rPr>
                <w:rFonts w:ascii="Franklin Gothic Medium" w:hAnsi="Franklin Gothic Medium"/>
              </w:rPr>
              <w:t>Laboratorio General de Química del Estado</w:t>
            </w:r>
          </w:p>
          <w:p w14:paraId="40794443" w14:textId="77777777" w:rsidR="00CF0688" w:rsidRDefault="00FE2D8D">
            <w:pPr>
              <w:widowControl w:val="0"/>
              <w:spacing w:line="276" w:lineRule="auto"/>
              <w:rPr>
                <w:rFonts w:ascii="Franklin Gothic Medium" w:hAnsi="Franklin Gothic Medium" w:cs="Arial"/>
              </w:rPr>
            </w:pPr>
            <w:r>
              <w:rPr>
                <w:rFonts w:ascii="Franklin Gothic Medium" w:hAnsi="Franklin Gothic Medium"/>
              </w:rPr>
              <w:t xml:space="preserve">Dirección de Energía, Productos Industriales y Químicos </w:t>
            </w:r>
          </w:p>
          <w:p w14:paraId="073C8719" w14:textId="77777777" w:rsidR="00CF0688" w:rsidRDefault="00FE2D8D">
            <w:pPr>
              <w:widowControl w:val="0"/>
              <w:spacing w:line="276" w:lineRule="auto"/>
              <w:rPr>
                <w:rFonts w:ascii="Franklin Gothic Medium" w:hAnsi="Franklin Gothic Medium" w:cs="Arial"/>
              </w:rPr>
            </w:pPr>
            <w:r>
              <w:rPr>
                <w:rFonts w:ascii="Franklin Gothic Medium" w:hAnsi="Franklin Gothic Medium"/>
              </w:rPr>
              <w:t>Sección A</w:t>
            </w:r>
          </w:p>
        </w:tc>
      </w:tr>
      <w:tr w:rsidR="00CF0688" w14:paraId="6F873E1E" w14:textId="77777777">
        <w:trPr>
          <w:trHeight w:val="287"/>
        </w:trPr>
        <w:tc>
          <w:tcPr>
            <w:tcW w:w="5141" w:type="dxa"/>
            <w:gridSpan w:val="2"/>
          </w:tcPr>
          <w:p w14:paraId="7A5DAFEB" w14:textId="4086600A" w:rsidR="00CF0688" w:rsidRDefault="00FE2D8D">
            <w:pPr>
              <w:widowControl w:val="0"/>
              <w:spacing w:line="276" w:lineRule="auto"/>
              <w:rPr>
                <w:rFonts w:ascii="Franklin Gothic Medium" w:hAnsi="Franklin Gothic Medium" w:cs="Arial"/>
              </w:rPr>
            </w:pPr>
            <w:r>
              <w:rPr>
                <w:rFonts w:ascii="Franklin Gothic Medium" w:hAnsi="Franklin Gothic Medium"/>
                <w:b/>
              </w:rPr>
              <w:t>Código postal:</w:t>
            </w:r>
            <w:r>
              <w:rPr>
                <w:rFonts w:ascii="Franklin Gothic Medium" w:hAnsi="Franklin Gothic Medium"/>
              </w:rPr>
              <w:t xml:space="preserve"> </w:t>
            </w:r>
            <w:r w:rsidR="00610710">
              <w:rPr>
                <w:rFonts w:ascii="Franklin Gothic Medium" w:hAnsi="Franklin Gothic Medium"/>
              </w:rPr>
              <w:tab/>
            </w:r>
            <w:r>
              <w:rPr>
                <w:rFonts w:ascii="Franklin Gothic Medium" w:hAnsi="Franklin Gothic Medium"/>
              </w:rPr>
              <w:t>115 21</w:t>
            </w:r>
          </w:p>
        </w:tc>
        <w:tc>
          <w:tcPr>
            <w:tcW w:w="4265" w:type="dxa"/>
            <w:vMerge/>
          </w:tcPr>
          <w:p w14:paraId="7732B644" w14:textId="77777777" w:rsidR="00CF0688" w:rsidRDefault="00CF0688">
            <w:pPr>
              <w:pStyle w:val="Heading3"/>
              <w:widowControl w:val="0"/>
              <w:rPr>
                <w:b w:val="0"/>
                <w:sz w:val="22"/>
                <w:szCs w:val="22"/>
              </w:rPr>
            </w:pPr>
          </w:p>
        </w:tc>
      </w:tr>
      <w:tr w:rsidR="00CF0688" w:rsidRPr="006E2E77" w14:paraId="35B4FE51" w14:textId="77777777">
        <w:trPr>
          <w:trHeight w:val="175"/>
        </w:trPr>
        <w:tc>
          <w:tcPr>
            <w:tcW w:w="5141" w:type="dxa"/>
            <w:gridSpan w:val="2"/>
          </w:tcPr>
          <w:p w14:paraId="32670900" w14:textId="0BB96D7E" w:rsidR="00CF0688" w:rsidRDefault="00FE2D8D">
            <w:pPr>
              <w:widowControl w:val="0"/>
              <w:spacing w:line="276" w:lineRule="auto"/>
              <w:rPr>
                <w:rFonts w:ascii="Franklin Gothic Medium" w:hAnsi="Franklin Gothic Medium" w:cs="Arial"/>
              </w:rPr>
            </w:pPr>
            <w:r>
              <w:rPr>
                <w:rFonts w:ascii="Franklin Gothic Medium" w:hAnsi="Franklin Gothic Medium"/>
                <w:b/>
              </w:rPr>
              <w:t xml:space="preserve">Información:   </w:t>
            </w:r>
            <w:r w:rsidR="00610710">
              <w:rPr>
                <w:rFonts w:ascii="Franklin Gothic Medium" w:hAnsi="Franklin Gothic Medium"/>
                <w:b/>
              </w:rPr>
              <w:tab/>
            </w:r>
            <w:r>
              <w:rPr>
                <w:rFonts w:ascii="Franklin Gothic Medium" w:hAnsi="Franklin Gothic Medium"/>
              </w:rPr>
              <w:t>E. Bania-</w:t>
            </w:r>
            <w:proofErr w:type="spellStart"/>
            <w:r>
              <w:rPr>
                <w:rFonts w:ascii="Franklin Gothic Medium" w:hAnsi="Franklin Gothic Medium"/>
              </w:rPr>
              <w:t>Georgopoulou</w:t>
            </w:r>
            <w:proofErr w:type="spellEnd"/>
          </w:p>
          <w:p w14:paraId="35D10178" w14:textId="3765E698" w:rsidR="00CF0688" w:rsidRDefault="00FE2D8D">
            <w:pPr>
              <w:widowControl w:val="0"/>
              <w:spacing w:line="276" w:lineRule="auto"/>
              <w:rPr>
                <w:rFonts w:ascii="Franklin Gothic Medium" w:hAnsi="Franklin Gothic Medium" w:cs="Arial"/>
              </w:rPr>
            </w:pPr>
            <w:r>
              <w:rPr>
                <w:rFonts w:ascii="Franklin Gothic Medium" w:hAnsi="Franklin Gothic Medium"/>
                <w:b/>
              </w:rPr>
              <w:t xml:space="preserve">Teléfono: </w:t>
            </w:r>
            <w:r>
              <w:rPr>
                <w:rFonts w:ascii="Franklin Gothic Medium" w:hAnsi="Franklin Gothic Medium"/>
              </w:rPr>
              <w:t xml:space="preserve">  </w:t>
            </w:r>
            <w:r w:rsidR="00610710">
              <w:rPr>
                <w:rFonts w:ascii="Franklin Gothic Medium" w:hAnsi="Franklin Gothic Medium"/>
              </w:rPr>
              <w:tab/>
            </w:r>
            <w:r w:rsidR="00610710">
              <w:rPr>
                <w:rFonts w:ascii="Franklin Gothic Medium" w:hAnsi="Franklin Gothic Medium"/>
              </w:rPr>
              <w:tab/>
            </w:r>
            <w:r>
              <w:rPr>
                <w:rFonts w:ascii="Franklin Gothic Medium" w:hAnsi="Franklin Gothic Medium"/>
              </w:rPr>
              <w:t>210-6479244,230</w:t>
            </w:r>
          </w:p>
          <w:p w14:paraId="2E322279" w14:textId="1B34EEDF" w:rsidR="00CF0688" w:rsidRPr="006E2E77" w:rsidRDefault="00FE2D8D">
            <w:pPr>
              <w:widowControl w:val="0"/>
              <w:spacing w:line="276" w:lineRule="auto"/>
              <w:rPr>
                <w:rFonts w:ascii="Franklin Gothic Medium" w:hAnsi="Franklin Gothic Medium" w:cs="Arial"/>
              </w:rPr>
            </w:pPr>
            <w:r>
              <w:rPr>
                <w:rFonts w:ascii="Franklin Gothic Medium" w:hAnsi="Franklin Gothic Medium"/>
                <w:b/>
              </w:rPr>
              <w:t>Correo electrónico:</w:t>
            </w:r>
            <w:r>
              <w:rPr>
                <w:rFonts w:ascii="Franklin Gothic Medium" w:hAnsi="Franklin Gothic Medium"/>
              </w:rPr>
              <w:t xml:space="preserve">  </w:t>
            </w:r>
            <w:r w:rsidR="00610710">
              <w:rPr>
                <w:rFonts w:ascii="Franklin Gothic Medium" w:hAnsi="Franklin Gothic Medium"/>
              </w:rPr>
              <w:tab/>
            </w:r>
            <w:hyperlink r:id="rId7" w:history="1">
              <w:r w:rsidR="00610710" w:rsidRPr="00681E26">
                <w:rPr>
                  <w:rStyle w:val="Hyperlink"/>
                  <w:rFonts w:ascii="Franklin Gothic Medium" w:hAnsi="Franklin Gothic Medium"/>
                </w:rPr>
                <w:t>axs@aade.gr</w:t>
              </w:r>
            </w:hyperlink>
            <w:r>
              <w:rPr>
                <w:rStyle w:val="Hyperlink"/>
                <w:rFonts w:ascii="Franklin Gothic Medium" w:hAnsi="Franklin Gothic Medium"/>
                <w:u w:val="none"/>
              </w:rPr>
              <w:t xml:space="preserve"> </w:t>
            </w:r>
          </w:p>
        </w:tc>
        <w:tc>
          <w:tcPr>
            <w:tcW w:w="4265" w:type="dxa"/>
            <w:vMerge/>
          </w:tcPr>
          <w:p w14:paraId="5461598B" w14:textId="77777777" w:rsidR="00CF0688" w:rsidRPr="006E2E77" w:rsidRDefault="00CF0688">
            <w:pPr>
              <w:pStyle w:val="Heading3"/>
              <w:widowControl w:val="0"/>
              <w:rPr>
                <w:b w:val="0"/>
                <w:sz w:val="22"/>
                <w:szCs w:val="22"/>
                <w:lang w:val="fr-FR"/>
              </w:rPr>
            </w:pPr>
          </w:p>
        </w:tc>
      </w:tr>
      <w:tr w:rsidR="00CF0688" w14:paraId="383A7ED8" w14:textId="77777777">
        <w:trPr>
          <w:trHeight w:val="341"/>
        </w:trPr>
        <w:tc>
          <w:tcPr>
            <w:tcW w:w="4923" w:type="dxa"/>
          </w:tcPr>
          <w:p w14:paraId="7B8D3493" w14:textId="77777777" w:rsidR="00CF0688" w:rsidRPr="006E2E77" w:rsidRDefault="00CF0688">
            <w:pPr>
              <w:widowControl w:val="0"/>
              <w:spacing w:line="276" w:lineRule="auto"/>
              <w:rPr>
                <w:rFonts w:ascii="Comic Sans MS" w:hAnsi="Comic Sans MS" w:cs="Arial"/>
                <w:sz w:val="22"/>
                <w:szCs w:val="22"/>
                <w:lang w:val="fr-FR"/>
              </w:rPr>
            </w:pPr>
          </w:p>
        </w:tc>
        <w:tc>
          <w:tcPr>
            <w:tcW w:w="4483" w:type="dxa"/>
            <w:gridSpan w:val="2"/>
          </w:tcPr>
          <w:p w14:paraId="7326F2B8" w14:textId="77777777" w:rsidR="00CF0688" w:rsidRDefault="00610710">
            <w:pPr>
              <w:widowControl w:val="0"/>
              <w:rPr>
                <w:rFonts w:ascii="Comic Sans MS" w:hAnsi="Comic Sans MS"/>
                <w:sz w:val="22"/>
                <w:szCs w:val="22"/>
              </w:rPr>
            </w:pPr>
            <w:sdt>
              <w:sdtPr>
                <w:alias w:val=""/>
                <w:id w:val="-1923944758"/>
                <w:dropDownList>
                  <w:listItem w:displayText="Dirección de Alimentación " w:value="Διεύθυνση Τροφίμων "/>
                  <w:listItem w:displayText="Dirección de Petroquímica " w:value="Διεύθυνση Πετροχημικών "/>
                  <w:listItem w:displayText="Elija un elemento." w:value="Choose an item."/>
                  <w:listItem w:displayText="." w:value="."/>
                </w:dropDownList>
              </w:sdtPr>
              <w:sdtEndPr/>
              <w:sdtContent>
                <w:r w:rsidR="00FE2D8D">
                  <w:t>.</w:t>
                </w:r>
              </w:sdtContent>
            </w:sdt>
          </w:p>
        </w:tc>
      </w:tr>
    </w:tbl>
    <w:p w14:paraId="37210401" w14:textId="77777777" w:rsidR="00CF0688" w:rsidRDefault="00FE2D8D">
      <w:pPr>
        <w:pStyle w:val="BodyTextIndent2"/>
        <w:spacing w:after="240" w:line="276" w:lineRule="auto"/>
        <w:ind w:firstLine="0"/>
        <w:rPr>
          <w:rFonts w:ascii="Franklin Gothic Medium" w:hAnsi="Franklin Gothic Medium"/>
          <w:b/>
          <w:sz w:val="24"/>
          <w:szCs w:val="24"/>
        </w:rPr>
      </w:pPr>
      <w:r>
        <w:rPr>
          <w:rFonts w:ascii="Franklin Gothic Medium" w:hAnsi="Franklin Gothic Medium"/>
          <w:b/>
          <w:sz w:val="24"/>
          <w:u w:val="single"/>
        </w:rPr>
        <w:t>ASUNTO</w:t>
      </w:r>
      <w:r>
        <w:rPr>
          <w:rFonts w:ascii="Franklin Gothic Medium" w:hAnsi="Franklin Gothic Medium"/>
          <w:b/>
          <w:sz w:val="24"/>
        </w:rPr>
        <w:t>:  Decisión 30/2022 del CSQ (Consejo Superior de Química)</w:t>
      </w:r>
    </w:p>
    <w:p w14:paraId="08A3648C" w14:textId="77777777" w:rsidR="00CF0688" w:rsidRDefault="00CF0688">
      <w:pPr>
        <w:pStyle w:val="BodyTextIndent2"/>
        <w:spacing w:line="276" w:lineRule="auto"/>
        <w:ind w:firstLine="0"/>
        <w:rPr>
          <w:rFonts w:ascii="Franklin Gothic Medium" w:hAnsi="Franklin Gothic Medium"/>
          <w:sz w:val="24"/>
          <w:szCs w:val="24"/>
        </w:rPr>
      </w:pPr>
    </w:p>
    <w:p w14:paraId="7F54FB97" w14:textId="26B50FC3" w:rsidR="00CF0688" w:rsidRDefault="00FE2D8D">
      <w:pPr>
        <w:jc w:val="both"/>
        <w:rPr>
          <w:rFonts w:ascii="Franklin Gothic Medium" w:hAnsi="Franklin Gothic Medium" w:cs="Franklin Gothic Medium"/>
        </w:rPr>
      </w:pPr>
      <w:r>
        <w:rPr>
          <w:rFonts w:ascii="Franklin Gothic Medium" w:hAnsi="Franklin Gothic Medium"/>
        </w:rPr>
        <w:t>En respuesta a su carta con ref. n.º 30/004/000/1249/23-9-2022, por la que nos remitió su propuesta sobre la adopción de una Decisión del CSQ titulada</w:t>
      </w:r>
      <w:r>
        <w:rPr>
          <w:rFonts w:ascii="Franklin Gothic Medium" w:hAnsi="Franklin Gothic Medium"/>
          <w:b/>
        </w:rPr>
        <w:t xml:space="preserve">: </w:t>
      </w:r>
      <w:r>
        <w:rPr>
          <w:rFonts w:ascii="Franklin Gothic Medium" w:hAnsi="Franklin Gothic Medium"/>
          <w:b/>
          <w:color w:val="000000"/>
        </w:rPr>
        <w:t>«</w:t>
      </w:r>
      <w:r>
        <w:rPr>
          <w:rFonts w:ascii="Franklin Gothic Medium" w:hAnsi="Franklin Gothic Medium"/>
          <w:b/>
          <w:color w:val="000000"/>
          <w:shd w:val="clear" w:color="auto" w:fill="FFFFFF"/>
        </w:rPr>
        <w:t xml:space="preserve">Transposición al Derecho nacional de la Decisión </w:t>
      </w:r>
      <w:bookmarkStart w:id="0" w:name="page230R_mcid1"/>
      <w:bookmarkEnd w:id="0"/>
      <w:r>
        <w:rPr>
          <w:rFonts w:ascii="Franklin Gothic Medium" w:hAnsi="Franklin Gothic Medium"/>
          <w:b/>
          <w:color w:val="000000"/>
          <w:shd w:val="clear" w:color="auto" w:fill="FFFFFF"/>
        </w:rPr>
        <w:t>(UE) 2022/197, de 17 de enero de 2022, por la que se establece ACCUTRACE</w:t>
      </w:r>
      <w:r>
        <w:rPr>
          <w:rFonts w:ascii="Franklin Gothic Medium" w:hAnsi="Franklin Gothic Medium"/>
          <w:b/>
          <w:color w:val="000000"/>
          <w:shd w:val="clear" w:color="auto" w:fill="FFFFFF"/>
          <w:vertAlign w:val="superscript"/>
        </w:rPr>
        <w:t>TM</w:t>
      </w:r>
      <w:r>
        <w:rPr>
          <w:rFonts w:ascii="Franklin Gothic Medium" w:hAnsi="Franklin Gothic Medium"/>
          <w:b/>
          <w:color w:val="000000"/>
          <w:shd w:val="clear" w:color="auto" w:fill="FFFFFF"/>
        </w:rPr>
        <w:t xml:space="preserve"> PLUS como marcador fiscal común para el gasóleo de calefacción, el gasóleo para uso marítimo y el combustible diésel para uso marítimo, así como el queroseno doméstico (queroseno de calefacción), los métodos de ensayo para su determinación y los requisitos técnicos conexos»</w:t>
      </w:r>
      <w:r>
        <w:rPr>
          <w:rFonts w:ascii="Franklin Gothic Medium" w:hAnsi="Franklin Gothic Medium"/>
          <w:b/>
        </w:rPr>
        <w:t xml:space="preserve">, </w:t>
      </w:r>
      <w:r>
        <w:rPr>
          <w:rFonts w:ascii="Franklin Gothic Medium" w:hAnsi="Franklin Gothic Medium"/>
        </w:rPr>
        <w:t xml:space="preserve">les informamos que el Consejo Superior de Química que presidimos, previo examen del asunto en la sesión de </w:t>
      </w:r>
      <w:r>
        <w:rPr>
          <w:rFonts w:ascii="Franklin Gothic Medium" w:hAnsi="Franklin Gothic Medium"/>
          <w:b/>
        </w:rPr>
        <w:t>29 de septiembre de 2022</w:t>
      </w:r>
      <w:r>
        <w:rPr>
          <w:rFonts w:ascii="Franklin Gothic Medium" w:hAnsi="Franklin Gothic Medium"/>
        </w:rPr>
        <w:t xml:space="preserve">, ha tramitado legalmente la propuesta en cuestión y por unanimidad </w:t>
      </w:r>
    </w:p>
    <w:p w14:paraId="7A44BA8D" w14:textId="77777777" w:rsidR="00CF0688" w:rsidRDefault="00CF0688">
      <w:pPr>
        <w:jc w:val="both"/>
        <w:rPr>
          <w:rFonts w:ascii="Franklin Gothic Medium" w:hAnsi="Franklin Gothic Medium" w:cs="Franklin Gothic Medium"/>
        </w:rPr>
      </w:pPr>
    </w:p>
    <w:p w14:paraId="39B5A63D" w14:textId="77777777" w:rsidR="00CF0688" w:rsidRDefault="00FE2D8D">
      <w:pPr>
        <w:jc w:val="center"/>
        <w:rPr>
          <w:rFonts w:ascii="Franklin Gothic Medium" w:hAnsi="Franklin Gothic Medium" w:cs="Franklin Gothic Medium"/>
          <w:b/>
          <w:color w:val="000000"/>
        </w:rPr>
      </w:pPr>
      <w:r>
        <w:rPr>
          <w:rFonts w:ascii="Franklin Gothic Medium" w:hAnsi="Franklin Gothic Medium"/>
          <w:u w:val="single"/>
        </w:rPr>
        <w:t>ha resuelto lo siguiente:</w:t>
      </w:r>
    </w:p>
    <w:p w14:paraId="08B7451C" w14:textId="77777777" w:rsidR="00CF0688" w:rsidRDefault="00CF0688">
      <w:pPr>
        <w:pStyle w:val="BodyTextIndent2"/>
        <w:spacing w:line="276" w:lineRule="auto"/>
        <w:ind w:firstLine="0"/>
        <w:rPr>
          <w:rFonts w:ascii="Franklin Gothic Medium" w:hAnsi="Franklin Gothic Medium"/>
          <w:sz w:val="24"/>
          <w:szCs w:val="24"/>
        </w:rPr>
      </w:pPr>
    </w:p>
    <w:p w14:paraId="79E2F991" w14:textId="77777777" w:rsidR="00CF0688" w:rsidRDefault="00CF0688">
      <w:pPr>
        <w:pStyle w:val="BodyTextIndent2"/>
        <w:spacing w:line="276" w:lineRule="auto"/>
        <w:ind w:firstLine="0"/>
        <w:rPr>
          <w:rFonts w:ascii="Franklin Gothic Medium" w:hAnsi="Franklin Gothic Medium"/>
          <w:sz w:val="24"/>
          <w:szCs w:val="24"/>
        </w:rPr>
      </w:pPr>
    </w:p>
    <w:p w14:paraId="138D2AF0" w14:textId="77777777" w:rsidR="00CF0688" w:rsidRDefault="00FE2D8D">
      <w:pPr>
        <w:jc w:val="both"/>
        <w:rPr>
          <w:rFonts w:ascii="Franklin Gothic Medium" w:hAnsi="Franklin Gothic Medium"/>
          <w:color w:val="000000"/>
        </w:rPr>
      </w:pPr>
      <w:r>
        <w:rPr>
          <w:rFonts w:ascii="Franklin Gothic Medium" w:hAnsi="Franklin Gothic Medium"/>
          <w:b/>
          <w:color w:val="000000"/>
        </w:rPr>
        <w:t>«</w:t>
      </w:r>
      <w:r>
        <w:rPr>
          <w:rFonts w:ascii="Franklin Gothic Medium" w:hAnsi="Franklin Gothic Medium"/>
          <w:b/>
          <w:color w:val="000000"/>
          <w:shd w:val="clear" w:color="auto" w:fill="FFFFFF"/>
        </w:rPr>
        <w:t>Transposición al Derecho nacional de la Decisión de Ejecución (UE) 2022/197 de la Comisión, de 17 de enero de 2022, por la que se establece ACCUTRACE</w:t>
      </w:r>
      <w:r>
        <w:rPr>
          <w:rFonts w:ascii="Franklin Gothic Medium" w:hAnsi="Franklin Gothic Medium"/>
          <w:b/>
          <w:color w:val="000000"/>
          <w:shd w:val="clear" w:color="auto" w:fill="FFFFFF"/>
          <w:vertAlign w:val="superscript"/>
        </w:rPr>
        <w:t>TM</w:t>
      </w:r>
      <w:r>
        <w:rPr>
          <w:rFonts w:ascii="Franklin Gothic Medium" w:hAnsi="Franklin Gothic Medium"/>
          <w:b/>
          <w:color w:val="000000"/>
          <w:shd w:val="clear" w:color="auto" w:fill="FFFFFF"/>
        </w:rPr>
        <w:t xml:space="preserve"> PLUS como marcador fiscal común para el gasóleo de calefacción, el gasóleo para uso marítimo y el combustible diésel para uso marítimo, así como el queroseno doméstico (queroseno de calefacción), los métodos de ensayo para su determinación y los requisitos técnicos conexos</w:t>
      </w:r>
      <w:r>
        <w:rPr>
          <w:rFonts w:ascii="Franklin Gothic Medium" w:hAnsi="Franklin Gothic Medium"/>
          <w:b/>
          <w:color w:val="000000"/>
        </w:rPr>
        <w:t>».</w:t>
      </w:r>
    </w:p>
    <w:p w14:paraId="29B4E506" w14:textId="77777777" w:rsidR="00CF0688" w:rsidRDefault="00CF0688">
      <w:pPr>
        <w:tabs>
          <w:tab w:val="left" w:pos="0"/>
        </w:tabs>
        <w:jc w:val="center"/>
        <w:rPr>
          <w:rFonts w:ascii="Franklin Gothic Medium" w:hAnsi="Franklin Gothic Medium" w:cs="Franklin Gothic Medium"/>
          <w:b/>
          <w:color w:val="000000"/>
        </w:rPr>
      </w:pPr>
    </w:p>
    <w:p w14:paraId="1BC2D4A0" w14:textId="77777777" w:rsidR="00CF0688" w:rsidRDefault="00CF0688">
      <w:pPr>
        <w:tabs>
          <w:tab w:val="left" w:pos="0"/>
        </w:tabs>
        <w:jc w:val="center"/>
        <w:rPr>
          <w:rFonts w:ascii="Franklin Gothic Medium" w:hAnsi="Franklin Gothic Medium" w:cs="Franklin Gothic Medium"/>
          <w:b/>
          <w:color w:val="000000"/>
        </w:rPr>
      </w:pPr>
    </w:p>
    <w:p w14:paraId="1C63AF81" w14:textId="77777777" w:rsidR="00CF0688" w:rsidRDefault="00FE2D8D">
      <w:pPr>
        <w:tabs>
          <w:tab w:val="left" w:pos="0"/>
        </w:tabs>
        <w:jc w:val="center"/>
        <w:rPr>
          <w:rFonts w:ascii="Franklin Gothic Medium" w:hAnsi="Franklin Gothic Medium"/>
          <w:color w:val="000000"/>
        </w:rPr>
      </w:pPr>
      <w:r>
        <w:rPr>
          <w:rFonts w:ascii="Franklin Gothic Medium" w:hAnsi="Franklin Gothic Medium"/>
          <w:b/>
          <w:color w:val="000000"/>
        </w:rPr>
        <w:t>Artículo 1</w:t>
      </w:r>
    </w:p>
    <w:p w14:paraId="3750B63D" w14:textId="77777777" w:rsidR="00CF0688" w:rsidRDefault="00FE2D8D">
      <w:pPr>
        <w:tabs>
          <w:tab w:val="left" w:pos="0"/>
        </w:tabs>
        <w:jc w:val="center"/>
        <w:rPr>
          <w:rFonts w:ascii="Franklin Gothic Medium" w:hAnsi="Franklin Gothic Medium"/>
          <w:color w:val="000000"/>
        </w:rPr>
      </w:pPr>
      <w:r>
        <w:rPr>
          <w:rFonts w:ascii="Franklin Gothic Medium" w:hAnsi="Franklin Gothic Medium"/>
          <w:b/>
          <w:color w:val="000000"/>
        </w:rPr>
        <w:t>Objetivo y ámbito de aplicación</w:t>
      </w:r>
    </w:p>
    <w:p w14:paraId="2E6C1BDA" w14:textId="77777777" w:rsidR="00CF0688" w:rsidRDefault="00CF0688">
      <w:pPr>
        <w:tabs>
          <w:tab w:val="left" w:pos="0"/>
        </w:tabs>
        <w:ind w:left="1077" w:hanging="1077"/>
        <w:jc w:val="center"/>
        <w:rPr>
          <w:rFonts w:ascii="Franklin Gothic Medium" w:hAnsi="Franklin Gothic Medium" w:cs="Franklin Gothic Medium"/>
          <w:b/>
          <w:color w:val="000000"/>
        </w:rPr>
      </w:pPr>
    </w:p>
    <w:p w14:paraId="04753DE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ab/>
        <w:t xml:space="preserve">El objetivo de la presente Decisión es establecer el marcador fiscal europeo común previsto en la Directiva 95/60/CE relativa al marcado de los productos petrolíferos. </w:t>
      </w:r>
    </w:p>
    <w:p w14:paraId="20D5B518"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ab/>
        <w:t xml:space="preserve">La presente Decisión regula lo siguiente: </w:t>
      </w:r>
    </w:p>
    <w:p w14:paraId="41912732"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1) el nombre químico de la molécula trazadora según IUPAC;</w:t>
      </w:r>
    </w:p>
    <w:p w14:paraId="78997BF5"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2) el porcentaje añadido a los productos energéticos;</w:t>
      </w:r>
    </w:p>
    <w:p w14:paraId="33355B31"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3) el método y el equipo de laboratorio validados para la determinación cuantitativa del trazador en productos energéticos;</w:t>
      </w:r>
    </w:p>
    <w:p w14:paraId="20F843F0"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4) las características de calidad de este método;</w:t>
      </w:r>
    </w:p>
    <w:p w14:paraId="6F531F8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lastRenderedPageBreak/>
        <w:t xml:space="preserve">5) el método y el equipo utilizados en los controles </w:t>
      </w:r>
      <w:r>
        <w:rPr>
          <w:rFonts w:ascii="Franklin Gothic Medium" w:hAnsi="Franklin Gothic Medium"/>
          <w:i/>
          <w:iCs/>
          <w:color w:val="000000"/>
        </w:rPr>
        <w:t>in situ</w:t>
      </w:r>
      <w:r>
        <w:rPr>
          <w:rFonts w:ascii="Franklin Gothic Medium" w:hAnsi="Franklin Gothic Medium"/>
          <w:color w:val="000000"/>
        </w:rPr>
        <w:t xml:space="preserve"> para la determinación del trazador.</w:t>
      </w:r>
    </w:p>
    <w:p w14:paraId="62EE94D4"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75D067CC" w14:textId="77777777" w:rsidR="00CF0688" w:rsidRPr="00B63334" w:rsidRDefault="00CF0688">
      <w:pPr>
        <w:pStyle w:val="-HTML1"/>
        <w:ind w:left="57" w:right="57"/>
        <w:jc w:val="both"/>
        <w:rPr>
          <w:rFonts w:ascii="Franklin Gothic Medium" w:hAnsi="Franklin Gothic Medium" w:cs="Franklin Gothic Medium"/>
          <w:color w:val="000000"/>
          <w:sz w:val="24"/>
          <w:szCs w:val="24"/>
          <w:lang w:val="en-US"/>
        </w:rPr>
      </w:pPr>
    </w:p>
    <w:p w14:paraId="572AF4B2" w14:textId="77777777" w:rsidR="00CF0688" w:rsidRDefault="00FE2D8D">
      <w:pPr>
        <w:pStyle w:val="-HTML1"/>
        <w:shd w:val="clear" w:color="auto" w:fill="FFFFFF"/>
        <w:ind w:left="57" w:right="57"/>
        <w:jc w:val="center"/>
        <w:rPr>
          <w:rFonts w:ascii="Franklin Gothic Medium" w:hAnsi="Franklin Gothic Medium"/>
          <w:color w:val="000000"/>
        </w:rPr>
      </w:pPr>
      <w:r>
        <w:rPr>
          <w:rFonts w:ascii="Franklin Gothic Medium" w:hAnsi="Franklin Gothic Medium"/>
          <w:b/>
          <w:color w:val="000000"/>
          <w:sz w:val="24"/>
        </w:rPr>
        <w:t>Artículo 2</w:t>
      </w:r>
    </w:p>
    <w:p w14:paraId="25FA269C" w14:textId="77777777" w:rsidR="00CF0688" w:rsidRDefault="00FE2D8D">
      <w:pPr>
        <w:pStyle w:val="-HTML1"/>
        <w:shd w:val="clear" w:color="auto" w:fill="FFFFFF"/>
        <w:ind w:left="57" w:right="57"/>
        <w:jc w:val="center"/>
        <w:rPr>
          <w:rFonts w:ascii="Franklin Gothic Medium" w:hAnsi="Franklin Gothic Medium"/>
          <w:color w:val="000000"/>
        </w:rPr>
      </w:pPr>
      <w:r>
        <w:rPr>
          <w:rFonts w:ascii="Franklin Gothic Medium" w:hAnsi="Franklin Gothic Medium"/>
          <w:b/>
          <w:color w:val="000000"/>
          <w:sz w:val="24"/>
        </w:rPr>
        <w:t>Determinación del trazador</w:t>
      </w:r>
    </w:p>
    <w:p w14:paraId="08A7EF44" w14:textId="77777777" w:rsidR="00CF0688" w:rsidRPr="00B63334" w:rsidRDefault="00CF0688">
      <w:pPr>
        <w:pStyle w:val="-HTML1"/>
        <w:shd w:val="clear" w:color="auto" w:fill="FFFFFF"/>
        <w:ind w:left="57" w:right="57"/>
        <w:jc w:val="both"/>
        <w:rPr>
          <w:rFonts w:ascii="Franklin Gothic Medium" w:hAnsi="Franklin Gothic Medium" w:cs="Franklin Gothic Medium"/>
          <w:bCs/>
          <w:color w:val="000000"/>
          <w:sz w:val="24"/>
          <w:szCs w:val="24"/>
          <w:lang w:val="en-US" w:eastAsia="en-US"/>
        </w:rPr>
      </w:pPr>
    </w:p>
    <w:p w14:paraId="2D92A6D9" w14:textId="77777777" w:rsidR="00CF0688" w:rsidRDefault="00FE2D8D">
      <w:pPr>
        <w:pStyle w:val="-HTML1"/>
        <w:shd w:val="clear" w:color="auto" w:fill="FFFFFF"/>
        <w:ind w:left="57" w:right="57"/>
        <w:jc w:val="both"/>
        <w:rPr>
          <w:rFonts w:ascii="Franklin Gothic Medium" w:hAnsi="Franklin Gothic Medium"/>
          <w:color w:val="000000"/>
        </w:rPr>
      </w:pPr>
      <w:r>
        <w:rPr>
          <w:rFonts w:ascii="Franklin Gothic Medium" w:hAnsi="Franklin Gothic Medium"/>
          <w:color w:val="000000"/>
          <w:sz w:val="24"/>
        </w:rPr>
        <w:tab/>
      </w:r>
      <w:r>
        <w:rPr>
          <w:rFonts w:ascii="Franklin Gothic Medium" w:hAnsi="Franklin Gothic Medium"/>
          <w:color w:val="000000"/>
          <w:sz w:val="24"/>
          <w:shd w:val="clear" w:color="auto" w:fill="FFFFFF"/>
        </w:rPr>
        <w:t>La sustancia ACCUTRACE</w:t>
      </w:r>
      <w:r>
        <w:rPr>
          <w:rFonts w:ascii="Franklin Gothic Medium" w:hAnsi="Franklin Gothic Medium"/>
          <w:color w:val="000000"/>
          <w:sz w:val="24"/>
          <w:shd w:val="clear" w:color="auto" w:fill="FFFFFF"/>
          <w:vertAlign w:val="superscript"/>
        </w:rPr>
        <w:t>TM</w:t>
      </w:r>
      <w:r>
        <w:rPr>
          <w:rFonts w:ascii="Franklin Gothic Medium" w:hAnsi="Franklin Gothic Medium"/>
          <w:color w:val="000000"/>
          <w:sz w:val="24"/>
          <w:shd w:val="clear" w:color="auto" w:fill="FFFFFF"/>
        </w:rPr>
        <w:t xml:space="preserve"> PLUS, con </w:t>
      </w:r>
      <w:proofErr w:type="spellStart"/>
      <w:r>
        <w:rPr>
          <w:rFonts w:ascii="Franklin Gothic Medium" w:hAnsi="Franklin Gothic Medium"/>
          <w:color w:val="000000"/>
          <w:sz w:val="24"/>
          <w:shd w:val="clear" w:color="auto" w:fill="FFFFFF"/>
        </w:rPr>
        <w:t>butoxibenceno</w:t>
      </w:r>
      <w:proofErr w:type="spellEnd"/>
      <w:r>
        <w:rPr>
          <w:rFonts w:ascii="Franklin Gothic Medium" w:hAnsi="Franklin Gothic Medium"/>
          <w:color w:val="000000"/>
          <w:sz w:val="24"/>
          <w:shd w:val="clear" w:color="auto" w:fill="FFFFFF"/>
        </w:rPr>
        <w:t xml:space="preserve"> como ingrediente activo (número de registro CAS 1126-79-0), se añade al gasóleo de calefacción, el gasóleo para uso marítimo y el combustible diésel para uso marítimo, así como el queroseno doméstico (queroseno de calefacción</w:t>
      </w:r>
      <w:r>
        <w:rPr>
          <w:rFonts w:ascii="Franklin Gothic Medium" w:hAnsi="Franklin Gothic Medium"/>
          <w:b/>
          <w:color w:val="000000"/>
          <w:sz w:val="24"/>
          <w:shd w:val="clear" w:color="auto" w:fill="FFFFFF"/>
        </w:rPr>
        <w:t>)</w:t>
      </w:r>
      <w:r>
        <w:rPr>
          <w:rFonts w:ascii="Franklin Gothic Medium" w:hAnsi="Franklin Gothic Medium"/>
          <w:color w:val="000000"/>
          <w:sz w:val="24"/>
          <w:shd w:val="clear" w:color="auto" w:fill="FFFFFF"/>
        </w:rPr>
        <w:t>, como marcador fiscal común previsto en la Directiva 95/60/CE relativa al marcado de todos los productos derivados del petróleo de los códigos NC 2710 19 43, 2710 19 46, 2710 19 47, 2710 19 48, 2710 20 11, 2710 20 16 y 2710 20 19, así como del queroseno doméstico (queroseno de calefacción</w:t>
      </w:r>
      <w:r>
        <w:rPr>
          <w:rFonts w:ascii="Franklin Gothic Medium" w:hAnsi="Franklin Gothic Medium"/>
          <w:b/>
          <w:color w:val="000000"/>
          <w:sz w:val="24"/>
          <w:shd w:val="clear" w:color="auto" w:fill="FFFFFF"/>
        </w:rPr>
        <w:t>)</w:t>
      </w:r>
      <w:r>
        <w:rPr>
          <w:rFonts w:ascii="Franklin Gothic Medium" w:hAnsi="Franklin Gothic Medium"/>
          <w:color w:val="000000"/>
          <w:sz w:val="24"/>
          <w:shd w:val="clear" w:color="auto" w:fill="FFFFFF"/>
        </w:rPr>
        <w:t xml:space="preserve"> del código NC 2710 19 25. </w:t>
      </w:r>
    </w:p>
    <w:p w14:paraId="6E178D93" w14:textId="77777777" w:rsidR="00CF0688" w:rsidRDefault="00FE2D8D">
      <w:pPr>
        <w:pStyle w:val="-HTML1"/>
        <w:shd w:val="clear" w:color="auto" w:fill="FFFFFF"/>
        <w:ind w:left="57" w:right="57"/>
        <w:jc w:val="both"/>
        <w:rPr>
          <w:rFonts w:ascii="Franklin Gothic Medium" w:hAnsi="Franklin Gothic Medium"/>
          <w:color w:val="000000"/>
          <w:sz w:val="24"/>
          <w:szCs w:val="24"/>
        </w:rPr>
      </w:pPr>
      <w:r>
        <w:rPr>
          <w:rFonts w:ascii="Franklin Gothic Medium" w:hAnsi="Franklin Gothic Medium"/>
          <w:noProof/>
          <w:color w:val="000000"/>
          <w:sz w:val="24"/>
        </w:rPr>
        <w:drawing>
          <wp:anchor distT="0" distB="0" distL="0" distR="0" simplePos="0" relativeHeight="4" behindDoc="0" locked="0" layoutInCell="0" allowOverlap="1" wp14:anchorId="2C6C4250" wp14:editId="5038B600">
            <wp:simplePos x="0" y="0"/>
            <wp:positionH relativeFrom="column">
              <wp:posOffset>2583815</wp:posOffset>
            </wp:positionH>
            <wp:positionV relativeFrom="paragraph">
              <wp:posOffset>57785</wp:posOffset>
            </wp:positionV>
            <wp:extent cx="673735" cy="1471930"/>
            <wp:effectExtent l="0" t="0" r="0" b="0"/>
            <wp:wrapSquare wrapText="bothSides"/>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8"/>
                    <a:stretch>
                      <a:fillRect/>
                    </a:stretch>
                  </pic:blipFill>
                  <pic:spPr bwMode="auto">
                    <a:xfrm>
                      <a:off x="0" y="0"/>
                      <a:ext cx="673735" cy="1471930"/>
                    </a:xfrm>
                    <a:prstGeom prst="rect">
                      <a:avLst/>
                    </a:prstGeom>
                  </pic:spPr>
                </pic:pic>
              </a:graphicData>
            </a:graphic>
          </wp:anchor>
        </w:drawing>
      </w:r>
    </w:p>
    <w:p w14:paraId="189F29D4" w14:textId="77777777" w:rsidR="00CF0688" w:rsidRPr="00B63334" w:rsidRDefault="00CF0688">
      <w:pPr>
        <w:pStyle w:val="-HTML1"/>
        <w:shd w:val="clear" w:color="auto" w:fill="FFFFFF"/>
        <w:ind w:left="57" w:right="57"/>
        <w:jc w:val="both"/>
        <w:rPr>
          <w:rFonts w:ascii="Franklin Gothic Medium" w:hAnsi="Franklin Gothic Medium"/>
          <w:color w:val="000000"/>
          <w:sz w:val="24"/>
          <w:szCs w:val="24"/>
          <w:lang w:val="en-US"/>
        </w:rPr>
      </w:pPr>
    </w:p>
    <w:p w14:paraId="2D14735F" w14:textId="77777777" w:rsidR="00CF0688" w:rsidRPr="00B63334" w:rsidRDefault="00CF0688">
      <w:pPr>
        <w:pStyle w:val="-HTML1"/>
        <w:shd w:val="clear" w:color="auto" w:fill="FFFFFF"/>
        <w:ind w:left="57" w:right="57"/>
        <w:jc w:val="both"/>
        <w:rPr>
          <w:rFonts w:ascii="Franklin Gothic Medium" w:hAnsi="Franklin Gothic Medium"/>
          <w:color w:val="000000"/>
          <w:sz w:val="24"/>
          <w:szCs w:val="24"/>
          <w:lang w:val="en-US"/>
        </w:rPr>
      </w:pPr>
    </w:p>
    <w:p w14:paraId="049AD6B0" w14:textId="77777777" w:rsidR="00CF0688" w:rsidRPr="00B63334" w:rsidRDefault="00CF0688">
      <w:pPr>
        <w:pStyle w:val="-HTML1"/>
        <w:shd w:val="clear" w:color="auto" w:fill="FFFFFF"/>
        <w:ind w:left="57" w:right="57"/>
        <w:jc w:val="both"/>
        <w:rPr>
          <w:rFonts w:ascii="Franklin Gothic Medium" w:hAnsi="Franklin Gothic Medium" w:cs="Franklin Gothic Medium"/>
          <w:color w:val="000000"/>
          <w:highlight w:val="white"/>
          <w:lang w:val="en-US"/>
        </w:rPr>
      </w:pPr>
    </w:p>
    <w:p w14:paraId="432AC2E1" w14:textId="77777777" w:rsidR="00CF0688" w:rsidRPr="00B63334" w:rsidRDefault="00CF0688">
      <w:pPr>
        <w:pStyle w:val="-HTML1"/>
        <w:shd w:val="clear" w:color="auto" w:fill="FFFFFF"/>
        <w:ind w:left="57" w:right="57"/>
        <w:jc w:val="both"/>
        <w:rPr>
          <w:rFonts w:ascii="Franklin Gothic Medium" w:hAnsi="Franklin Gothic Medium" w:cs="Franklin Gothic Medium"/>
          <w:color w:val="000000"/>
          <w:highlight w:val="white"/>
          <w:lang w:val="en-US"/>
        </w:rPr>
      </w:pPr>
    </w:p>
    <w:p w14:paraId="5A82FA44" w14:textId="77777777" w:rsidR="00CF0688" w:rsidRPr="00B63334" w:rsidRDefault="00CF0688">
      <w:pPr>
        <w:pStyle w:val="-HTML1"/>
        <w:shd w:val="clear" w:color="auto" w:fill="FFFFFF"/>
        <w:ind w:left="57" w:right="57"/>
        <w:jc w:val="both"/>
        <w:rPr>
          <w:rFonts w:ascii="Franklin Gothic Medium" w:hAnsi="Franklin Gothic Medium" w:cs="Franklin Gothic Medium"/>
          <w:color w:val="000000"/>
          <w:highlight w:val="white"/>
          <w:lang w:val="en-US"/>
        </w:rPr>
      </w:pPr>
    </w:p>
    <w:p w14:paraId="6DC7FC4F" w14:textId="77777777" w:rsidR="00CF0688" w:rsidRPr="00B63334" w:rsidRDefault="00CF0688">
      <w:pPr>
        <w:pStyle w:val="-HTML1"/>
        <w:shd w:val="clear" w:color="auto" w:fill="FFFFFF"/>
        <w:ind w:left="57" w:right="57"/>
        <w:jc w:val="both"/>
        <w:rPr>
          <w:rFonts w:ascii="Franklin Gothic Medium" w:hAnsi="Franklin Gothic Medium" w:cs="Franklin Gothic Medium"/>
          <w:color w:val="000000"/>
          <w:highlight w:val="white"/>
          <w:lang w:val="en-US"/>
        </w:rPr>
      </w:pPr>
    </w:p>
    <w:p w14:paraId="2C275B56" w14:textId="77777777" w:rsidR="00CF0688" w:rsidRPr="00B63334" w:rsidRDefault="00CF0688">
      <w:pPr>
        <w:pStyle w:val="-HTML1"/>
        <w:shd w:val="clear" w:color="auto" w:fill="FFFFFF"/>
        <w:ind w:left="57" w:right="57"/>
        <w:jc w:val="both"/>
        <w:rPr>
          <w:rFonts w:ascii="Franklin Gothic Medium" w:hAnsi="Franklin Gothic Medium"/>
          <w:color w:val="000000"/>
          <w:sz w:val="24"/>
          <w:szCs w:val="24"/>
          <w:lang w:val="en-US"/>
        </w:rPr>
      </w:pPr>
    </w:p>
    <w:p w14:paraId="7CE7B6CC" w14:textId="77777777" w:rsidR="00CF0688" w:rsidRPr="00B63334" w:rsidRDefault="00CF0688">
      <w:pPr>
        <w:pStyle w:val="-HTML1"/>
        <w:shd w:val="clear" w:color="auto" w:fill="FFFFFF"/>
        <w:ind w:left="57" w:right="57"/>
        <w:jc w:val="both"/>
        <w:rPr>
          <w:rFonts w:ascii="Franklin Gothic Medium" w:hAnsi="Franklin Gothic Medium"/>
          <w:color w:val="000000"/>
          <w:sz w:val="24"/>
          <w:szCs w:val="24"/>
          <w:lang w:val="en-US"/>
        </w:rPr>
      </w:pPr>
    </w:p>
    <w:p w14:paraId="605CB807" w14:textId="77777777" w:rsidR="00CF0688" w:rsidRPr="00B63334" w:rsidRDefault="00CF0688">
      <w:pPr>
        <w:pStyle w:val="-HTML1"/>
        <w:shd w:val="clear" w:color="auto" w:fill="FFFFFF"/>
        <w:ind w:left="57" w:right="57"/>
        <w:jc w:val="both"/>
        <w:rPr>
          <w:rFonts w:ascii="Franklin Gothic Medium" w:hAnsi="Franklin Gothic Medium"/>
          <w:color w:val="000000"/>
          <w:sz w:val="24"/>
          <w:szCs w:val="24"/>
          <w:lang w:val="en-US"/>
        </w:rPr>
      </w:pPr>
    </w:p>
    <w:p w14:paraId="600CD190" w14:textId="77777777" w:rsidR="00CF0688" w:rsidRPr="00B63334" w:rsidRDefault="00CF0688">
      <w:pPr>
        <w:pStyle w:val="-HTML1"/>
        <w:shd w:val="clear" w:color="auto" w:fill="FFFFFF"/>
        <w:ind w:left="57" w:right="57"/>
        <w:jc w:val="both"/>
        <w:rPr>
          <w:rFonts w:ascii="Franklin Gothic Medium" w:hAnsi="Franklin Gothic Medium"/>
          <w:color w:val="000000"/>
          <w:sz w:val="24"/>
          <w:szCs w:val="24"/>
          <w:lang w:val="en-US"/>
        </w:rPr>
      </w:pPr>
    </w:p>
    <w:p w14:paraId="66D0662A" w14:textId="77777777" w:rsidR="00CF0688" w:rsidRDefault="00FE2D8D">
      <w:pPr>
        <w:pStyle w:val="-HTML1"/>
        <w:shd w:val="clear" w:color="auto" w:fill="FFFFFF"/>
        <w:ind w:left="57" w:right="57"/>
        <w:jc w:val="both"/>
        <w:rPr>
          <w:rFonts w:ascii="Franklin Gothic Medium" w:hAnsi="Franklin Gothic Medium"/>
          <w:color w:val="000000"/>
        </w:rPr>
      </w:pPr>
      <w:proofErr w:type="gramStart"/>
      <w:r>
        <w:rPr>
          <w:rFonts w:ascii="Franklin Gothic Medium" w:hAnsi="Franklin Gothic Medium"/>
          <w:color w:val="000000"/>
          <w:sz w:val="24"/>
          <w:shd w:val="clear" w:color="auto" w:fill="FFFFFF"/>
        </w:rPr>
        <w:t>12,5 miligramos por litro de producto energético se define</w:t>
      </w:r>
      <w:proofErr w:type="gramEnd"/>
      <w:r>
        <w:rPr>
          <w:rFonts w:ascii="Franklin Gothic Medium" w:hAnsi="Franklin Gothic Medium"/>
          <w:color w:val="000000"/>
          <w:sz w:val="24"/>
          <w:shd w:val="clear" w:color="auto" w:fill="FFFFFF"/>
        </w:rPr>
        <w:t xml:space="preserve"> como nivel de marcado con ACCUTRACE</w:t>
      </w:r>
      <w:r>
        <w:rPr>
          <w:rFonts w:ascii="Franklin Gothic Medium" w:hAnsi="Franklin Gothic Medium"/>
          <w:color w:val="000000"/>
          <w:sz w:val="24"/>
          <w:vertAlign w:val="superscript"/>
        </w:rPr>
        <w:t>TM</w:t>
      </w:r>
      <w:r>
        <w:rPr>
          <w:rFonts w:ascii="Franklin Gothic Medium" w:hAnsi="Franklin Gothic Medium"/>
          <w:color w:val="000000"/>
          <w:sz w:val="24"/>
        </w:rPr>
        <w:t xml:space="preserve"> PLUS. Esto corresponde a un nivel de marcado de al menos 9,5 miligramos de </w:t>
      </w:r>
      <w:proofErr w:type="spellStart"/>
      <w:r>
        <w:rPr>
          <w:rFonts w:ascii="Franklin Gothic Medium" w:hAnsi="Franklin Gothic Medium"/>
          <w:color w:val="000000"/>
          <w:sz w:val="24"/>
        </w:rPr>
        <w:t>butoxibenceno</w:t>
      </w:r>
      <w:proofErr w:type="spellEnd"/>
      <w:r>
        <w:rPr>
          <w:rFonts w:ascii="Franklin Gothic Medium" w:hAnsi="Franklin Gothic Medium"/>
          <w:color w:val="000000"/>
          <w:sz w:val="24"/>
        </w:rPr>
        <w:t xml:space="preserve"> por litro de producto energético.  </w:t>
      </w:r>
    </w:p>
    <w:p w14:paraId="63EC45D4" w14:textId="77777777" w:rsidR="00CF0688" w:rsidRPr="00B63334" w:rsidRDefault="00CF0688">
      <w:pPr>
        <w:pStyle w:val="-HTML1"/>
        <w:shd w:val="clear" w:color="auto" w:fill="FFFFFF"/>
        <w:ind w:left="57" w:right="57"/>
        <w:jc w:val="both"/>
        <w:rPr>
          <w:rFonts w:ascii="Franklin Gothic Medium" w:hAnsi="Franklin Gothic Medium" w:cs="Franklin Gothic Medium"/>
          <w:color w:val="000000"/>
          <w:sz w:val="24"/>
          <w:szCs w:val="24"/>
          <w:lang w:val="en-US"/>
        </w:rPr>
      </w:pPr>
    </w:p>
    <w:p w14:paraId="7A3FB76B"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s="Franklin Gothic Medium"/>
          <w:color w:val="000000"/>
        </w:rPr>
      </w:pPr>
    </w:p>
    <w:p w14:paraId="796C892A"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olor w:val="000000"/>
        </w:rPr>
      </w:pPr>
      <w:r>
        <w:rPr>
          <w:rFonts w:ascii="Franklin Gothic Medium" w:hAnsi="Franklin Gothic Medium"/>
          <w:b/>
          <w:color w:val="000000"/>
        </w:rPr>
        <w:t>Artículo 3</w:t>
      </w:r>
    </w:p>
    <w:p w14:paraId="53D715D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olor w:val="000000"/>
        </w:rPr>
      </w:pPr>
      <w:r>
        <w:rPr>
          <w:rFonts w:ascii="Franklin Gothic Medium" w:hAnsi="Franklin Gothic Medium"/>
          <w:b/>
          <w:color w:val="000000"/>
        </w:rPr>
        <w:t>Método de ensayo de laboratorio</w:t>
      </w:r>
    </w:p>
    <w:p w14:paraId="7D6E474D"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s="Franklin Gothic Medium"/>
          <w:b/>
          <w:color w:val="000000"/>
        </w:rPr>
      </w:pPr>
    </w:p>
    <w:p w14:paraId="0AB23F86"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ab/>
        <w:t xml:space="preserve">Para la determinación del </w:t>
      </w:r>
      <w:proofErr w:type="spellStart"/>
      <w:r>
        <w:rPr>
          <w:rFonts w:ascii="Franklin Gothic Medium" w:hAnsi="Franklin Gothic Medium"/>
          <w:color w:val="000000"/>
        </w:rPr>
        <w:t>butoxibenceno</w:t>
      </w:r>
      <w:proofErr w:type="spellEnd"/>
      <w:r>
        <w:rPr>
          <w:rFonts w:ascii="Franklin Gothic Medium" w:hAnsi="Franklin Gothic Medium"/>
          <w:color w:val="000000"/>
        </w:rPr>
        <w:t xml:space="preserve">, un ingrediente activo de </w:t>
      </w:r>
      <w:r>
        <w:rPr>
          <w:rFonts w:ascii="Franklin Gothic Medium" w:hAnsi="Franklin Gothic Medium"/>
          <w:color w:val="000000"/>
          <w:shd w:val="clear" w:color="auto" w:fill="FFFFFF"/>
        </w:rPr>
        <w:t>ACCUTRACE</w:t>
      </w:r>
      <w:r>
        <w:rPr>
          <w:rFonts w:ascii="Franklin Gothic Medium" w:hAnsi="Franklin Gothic Medium"/>
          <w:color w:val="000000"/>
          <w:shd w:val="clear" w:color="auto" w:fill="FFFFFF"/>
          <w:vertAlign w:val="superscript"/>
        </w:rPr>
        <w:t>TM</w:t>
      </w:r>
      <w:r>
        <w:rPr>
          <w:rFonts w:ascii="Franklin Gothic Medium" w:hAnsi="Franklin Gothic Medium"/>
          <w:color w:val="000000"/>
          <w:shd w:val="clear" w:color="auto" w:fill="FFFFFF"/>
        </w:rPr>
        <w:t xml:space="preserve"> PLUS,</w:t>
      </w:r>
      <w:r>
        <w:rPr>
          <w:rFonts w:ascii="Franklin Gothic Medium" w:hAnsi="Franklin Gothic Medium"/>
          <w:color w:val="000000"/>
        </w:rPr>
        <w:t xml:space="preserve"> en gasóleo de calefacción, </w:t>
      </w:r>
      <w:r>
        <w:rPr>
          <w:rFonts w:ascii="Franklin Gothic Medium" w:hAnsi="Franklin Gothic Medium"/>
          <w:color w:val="000000"/>
          <w:shd w:val="clear" w:color="auto" w:fill="FFFFFF"/>
        </w:rPr>
        <w:t xml:space="preserve">el gasóleo para uso marítimo y el combustible diésel para uso marítimo, así como el queroseno doméstico (queroseno de calefacción) </w:t>
      </w:r>
      <w:r>
        <w:rPr>
          <w:rFonts w:ascii="Franklin Gothic Medium" w:hAnsi="Franklin Gothic Medium"/>
          <w:color w:val="000000"/>
        </w:rPr>
        <w:t xml:space="preserve">con una concentración de </w:t>
      </w:r>
      <w:r>
        <w:rPr>
          <w:rFonts w:ascii="Franklin Gothic Medium" w:hAnsi="Franklin Gothic Medium"/>
          <w:color w:val="000000"/>
          <w:shd w:val="clear" w:color="auto" w:fill="FFFFFF"/>
        </w:rPr>
        <w:t xml:space="preserve">9,5 miligramos de </w:t>
      </w:r>
      <w:proofErr w:type="spellStart"/>
      <w:r>
        <w:rPr>
          <w:rFonts w:ascii="Franklin Gothic Medium" w:hAnsi="Franklin Gothic Medium"/>
          <w:color w:val="000000"/>
          <w:shd w:val="clear" w:color="auto" w:fill="FFFFFF"/>
        </w:rPr>
        <w:t>butoxibenceno</w:t>
      </w:r>
      <w:proofErr w:type="spellEnd"/>
      <w:r>
        <w:rPr>
          <w:rFonts w:ascii="Franklin Gothic Medium" w:hAnsi="Franklin Gothic Medium"/>
          <w:color w:val="000000"/>
          <w:shd w:val="clear" w:color="auto" w:fill="FFFFFF"/>
        </w:rPr>
        <w:t xml:space="preserve"> por litro de producto energético</w:t>
      </w:r>
      <w:r>
        <w:rPr>
          <w:rFonts w:ascii="Franklin Gothic Medium" w:hAnsi="Franklin Gothic Medium"/>
          <w:color w:val="000000"/>
        </w:rPr>
        <w:t xml:space="preserve">, se utiliza un cromatógrafo de gases bidimensional con detector de espectrometría de masas (GC — MS). </w:t>
      </w:r>
      <w:r>
        <w:rPr>
          <w:rFonts w:ascii="Franklin Gothic Medium" w:hAnsi="Franklin Gothic Medium"/>
          <w:color w:val="000000"/>
          <w:highlight w:val="white"/>
          <w:shd w:val="clear" w:color="auto" w:fill="FFFFFF"/>
        </w:rPr>
        <w:t xml:space="preserve">El método se basa en el informe de investigación de Dow con el título «Validación de un método de cromatografía de gases bidimensional para la cuantificación del trazador de </w:t>
      </w:r>
      <w:proofErr w:type="spellStart"/>
      <w:r>
        <w:rPr>
          <w:rFonts w:ascii="Franklin Gothic Medium" w:hAnsi="Franklin Gothic Medium"/>
          <w:color w:val="000000"/>
          <w:highlight w:val="white"/>
          <w:shd w:val="clear" w:color="auto" w:fill="FFFFFF"/>
        </w:rPr>
        <w:t>Butil</w:t>
      </w:r>
      <w:proofErr w:type="spellEnd"/>
      <w:r>
        <w:rPr>
          <w:rFonts w:ascii="Franklin Gothic Medium" w:hAnsi="Franklin Gothic Medium"/>
          <w:color w:val="000000"/>
          <w:highlight w:val="white"/>
          <w:shd w:val="clear" w:color="auto" w:fill="FFFFFF"/>
        </w:rPr>
        <w:t xml:space="preserve"> </w:t>
      </w:r>
      <w:proofErr w:type="spellStart"/>
      <w:r>
        <w:rPr>
          <w:rFonts w:ascii="Franklin Gothic Medium" w:hAnsi="Franklin Gothic Medium"/>
          <w:color w:val="000000"/>
          <w:highlight w:val="white"/>
          <w:shd w:val="clear" w:color="auto" w:fill="FFFFFF"/>
        </w:rPr>
        <w:t>Fenil</w:t>
      </w:r>
      <w:proofErr w:type="spellEnd"/>
      <w:r>
        <w:rPr>
          <w:rFonts w:ascii="Franklin Gothic Medium" w:hAnsi="Franklin Gothic Medium"/>
          <w:color w:val="000000"/>
          <w:highlight w:val="white"/>
          <w:shd w:val="clear" w:color="auto" w:fill="FFFFFF"/>
        </w:rPr>
        <w:t xml:space="preserve"> Éter (BPE, por su versión en inglés) en combustible diésel», que la Comisión Europea notificó a los Estados miembros. </w:t>
      </w:r>
    </w:p>
    <w:p w14:paraId="733BB68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highlight w:val="white"/>
          <w:shd w:val="clear" w:color="auto" w:fill="FFFFFF"/>
        </w:rPr>
        <w:t xml:space="preserve">Se observa que el compuesto </w:t>
      </w:r>
      <w:proofErr w:type="spellStart"/>
      <w:r>
        <w:rPr>
          <w:rFonts w:ascii="Franklin Gothic Medium" w:hAnsi="Franklin Gothic Medium"/>
          <w:color w:val="000000"/>
          <w:highlight w:val="white"/>
          <w:shd w:val="clear" w:color="auto" w:fill="FFFFFF"/>
        </w:rPr>
        <w:t>butil</w:t>
      </w:r>
      <w:proofErr w:type="spellEnd"/>
      <w:r>
        <w:rPr>
          <w:rFonts w:ascii="Franklin Gothic Medium" w:hAnsi="Franklin Gothic Medium"/>
          <w:color w:val="000000"/>
          <w:highlight w:val="white"/>
          <w:shd w:val="clear" w:color="auto" w:fill="FFFFFF"/>
        </w:rPr>
        <w:t xml:space="preserve"> </w:t>
      </w:r>
      <w:proofErr w:type="spellStart"/>
      <w:r>
        <w:rPr>
          <w:rFonts w:ascii="Franklin Gothic Medium" w:hAnsi="Franklin Gothic Medium"/>
          <w:color w:val="000000"/>
          <w:highlight w:val="white"/>
          <w:shd w:val="clear" w:color="auto" w:fill="FFFFFF"/>
        </w:rPr>
        <w:t>fenil</w:t>
      </w:r>
      <w:proofErr w:type="spellEnd"/>
      <w:r>
        <w:rPr>
          <w:rFonts w:ascii="Franklin Gothic Medium" w:hAnsi="Franklin Gothic Medium"/>
          <w:color w:val="000000"/>
          <w:highlight w:val="white"/>
          <w:shd w:val="clear" w:color="auto" w:fill="FFFFFF"/>
        </w:rPr>
        <w:t xml:space="preserve"> éter es idéntico al compuesto con el nombre químico IUPAC </w:t>
      </w:r>
      <w:proofErr w:type="spellStart"/>
      <w:r>
        <w:rPr>
          <w:rFonts w:ascii="Franklin Gothic Medium" w:hAnsi="Franklin Gothic Medium"/>
          <w:color w:val="000000"/>
          <w:highlight w:val="white"/>
          <w:shd w:val="clear" w:color="auto" w:fill="FFFFFF"/>
        </w:rPr>
        <w:t>butoxibenceno</w:t>
      </w:r>
      <w:proofErr w:type="spellEnd"/>
      <w:r>
        <w:rPr>
          <w:rFonts w:ascii="Franklin Gothic Medium" w:hAnsi="Franklin Gothic Medium"/>
          <w:color w:val="000000"/>
          <w:highlight w:val="white"/>
          <w:shd w:val="clear" w:color="auto" w:fill="FFFFFF"/>
        </w:rPr>
        <w:t>.</w:t>
      </w:r>
    </w:p>
    <w:p w14:paraId="54D6DB8B"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51B156CF"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1B5C31F2"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u w:val="single"/>
        </w:rPr>
        <w:t>Inicio</w:t>
      </w:r>
      <w:r>
        <w:rPr>
          <w:rFonts w:ascii="Franklin Gothic Medium" w:hAnsi="Franklin Gothic Medium"/>
          <w:color w:val="000000"/>
        </w:rPr>
        <w:t xml:space="preserve">  </w:t>
      </w:r>
    </w:p>
    <w:p w14:paraId="3AF4D639"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La muestra del </w:t>
      </w:r>
      <w:r>
        <w:rPr>
          <w:rFonts w:ascii="Franklin Gothic Medium" w:hAnsi="Franklin Gothic Medium"/>
          <w:color w:val="000000"/>
          <w:shd w:val="clear" w:color="auto" w:fill="FFFFFF"/>
        </w:rPr>
        <w:t>producto energético</w:t>
      </w:r>
      <w:r>
        <w:rPr>
          <w:rFonts w:ascii="Franklin Gothic Medium" w:hAnsi="Franklin Gothic Medium"/>
          <w:color w:val="000000"/>
        </w:rPr>
        <w:t xml:space="preserve"> se analiza utilizando el método de cromatografía de gases bidimensionales, con columnas capilares y un programa de temperatura adecuado, utilizando detectores de ionización de llama (FID, por su versión en inglés) y detectores de masas (MS, por su versión en inglés).  Se utilizan un interruptor de Dean y 3 columnas de polaridad diferente. </w:t>
      </w:r>
    </w:p>
    <w:p w14:paraId="5DCB2338" w14:textId="77777777" w:rsidR="00CF0688" w:rsidRDefault="00FE2D8D">
      <w:pPr>
        <w:pStyle w:val="ListParagraph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0"/>
        <w:jc w:val="both"/>
        <w:rPr>
          <w:rFonts w:ascii="Franklin Gothic Medium" w:hAnsi="Franklin Gothic Medium"/>
          <w:color w:val="000000"/>
        </w:rPr>
      </w:pPr>
      <w:r>
        <w:rPr>
          <w:rFonts w:ascii="Franklin Gothic Medium" w:hAnsi="Franklin Gothic Medium"/>
          <w:color w:val="000000"/>
        </w:rPr>
        <w:t xml:space="preserve">La cuantificación del </w:t>
      </w:r>
      <w:proofErr w:type="spellStart"/>
      <w:r>
        <w:rPr>
          <w:rFonts w:ascii="Franklin Gothic Medium" w:hAnsi="Franklin Gothic Medium"/>
          <w:color w:val="000000"/>
        </w:rPr>
        <w:t>butoxibenceno</w:t>
      </w:r>
      <w:proofErr w:type="spellEnd"/>
      <w:r>
        <w:rPr>
          <w:rFonts w:ascii="Franklin Gothic Medium" w:hAnsi="Franklin Gothic Medium"/>
          <w:color w:val="000000"/>
        </w:rPr>
        <w:t xml:space="preserve"> se lleva a cabo con un detector de espectrometría de masas, utilizando Ionización por Impacto Electrónico y Monitoreo de Iones Seleccionados (SIM, por su versión en inglés), específicamente del ion con m/z 94 (ion de cuantificación) y del ion con m/z 150 (ion de confirmación). </w:t>
      </w:r>
    </w:p>
    <w:p w14:paraId="5513055E" w14:textId="77777777" w:rsidR="00CF0688" w:rsidRDefault="00FE2D8D">
      <w:pPr>
        <w:pStyle w:val="ListParagraph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0"/>
        <w:jc w:val="both"/>
        <w:rPr>
          <w:rFonts w:ascii="Franklin Gothic Medium" w:hAnsi="Franklin Gothic Medium"/>
          <w:color w:val="000000"/>
        </w:rPr>
      </w:pPr>
      <w:r>
        <w:rPr>
          <w:rFonts w:ascii="Franklin Gothic Medium" w:hAnsi="Franklin Gothic Medium"/>
          <w:color w:val="000000"/>
        </w:rPr>
        <w:lastRenderedPageBreak/>
        <w:t xml:space="preserve">El funcionamiento del cromatógrafo y el cálculo de los resultados están regulados por un </w:t>
      </w:r>
      <w:r>
        <w:rPr>
          <w:rFonts w:ascii="Franklin Gothic Medium" w:hAnsi="Franklin Gothic Medium"/>
          <w:i/>
          <w:iCs/>
          <w:color w:val="000000"/>
        </w:rPr>
        <w:t>software</w:t>
      </w:r>
      <w:r>
        <w:rPr>
          <w:rFonts w:ascii="Franklin Gothic Medium" w:hAnsi="Franklin Gothic Medium"/>
          <w:color w:val="000000"/>
        </w:rPr>
        <w:t xml:space="preserve"> adecuado.</w:t>
      </w:r>
    </w:p>
    <w:p w14:paraId="55C1C1D0"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u w:val="single"/>
        </w:rPr>
      </w:pPr>
    </w:p>
    <w:p w14:paraId="05351A2A"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u w:val="single"/>
        </w:rPr>
        <w:t>Reactivos y otros materiales</w:t>
      </w:r>
    </w:p>
    <w:p w14:paraId="61396950"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1. En general:</w:t>
      </w:r>
    </w:p>
    <w:p w14:paraId="728A1AC5"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Gas inerte de helio de pureza cromatográfica.</w:t>
      </w:r>
    </w:p>
    <w:p w14:paraId="3731E94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 Gasóleo de calefacción no trazado, </w:t>
      </w:r>
      <w:r>
        <w:rPr>
          <w:rFonts w:ascii="Franklin Gothic Medium" w:hAnsi="Franklin Gothic Medium"/>
          <w:color w:val="000000"/>
          <w:shd w:val="clear" w:color="auto" w:fill="FFFFFF"/>
        </w:rPr>
        <w:t>gasóleo para uso marítimo y el combustible diésel para uso marítimo, así como queroseno doméstico</w:t>
      </w:r>
      <w:r>
        <w:rPr>
          <w:rFonts w:ascii="Franklin Gothic Medium" w:hAnsi="Franklin Gothic Medium"/>
          <w:b/>
          <w:color w:val="000000"/>
          <w:shd w:val="clear" w:color="auto" w:fill="FFFFFF"/>
        </w:rPr>
        <w:t xml:space="preserve"> </w:t>
      </w:r>
      <w:r>
        <w:rPr>
          <w:rFonts w:ascii="Franklin Gothic Medium" w:hAnsi="Franklin Gothic Medium"/>
          <w:color w:val="000000"/>
          <w:shd w:val="clear" w:color="auto" w:fill="FFFFFF"/>
        </w:rPr>
        <w:t xml:space="preserve">(queroseno de calefacción), </w:t>
      </w:r>
      <w:r>
        <w:rPr>
          <w:rFonts w:ascii="Franklin Gothic Medium" w:hAnsi="Franklin Gothic Medium"/>
          <w:color w:val="000000"/>
        </w:rPr>
        <w:t>para la preparación de estándares de calibración.</w:t>
      </w:r>
    </w:p>
    <w:p w14:paraId="10D04B5A"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Solventes adecuados para la limpieza del muestreador automático.</w:t>
      </w:r>
    </w:p>
    <w:p w14:paraId="21E77265"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471C5718"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2. Normas de calibración</w:t>
      </w:r>
    </w:p>
    <w:p w14:paraId="25461BB9"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Las soluciones estándar de </w:t>
      </w:r>
      <w:proofErr w:type="spellStart"/>
      <w:r>
        <w:rPr>
          <w:rFonts w:ascii="Franklin Gothic Medium" w:hAnsi="Franklin Gothic Medium"/>
          <w:color w:val="000000"/>
          <w:highlight w:val="white"/>
        </w:rPr>
        <w:t>butoxibenceno</w:t>
      </w:r>
      <w:proofErr w:type="spellEnd"/>
      <w:r>
        <w:rPr>
          <w:rFonts w:ascii="Franklin Gothic Medium" w:hAnsi="Franklin Gothic Medium"/>
          <w:color w:val="000000"/>
        </w:rPr>
        <w:t xml:space="preserve"> se preparan a partir de material de referencia certificado (CRM, por su versión en inglés) o una solución madre de concentración conocida.</w:t>
      </w:r>
    </w:p>
    <w:p w14:paraId="0DA2402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Para la creación de la curva de calibración, se utilizan gasóleo de calefacción no trazado, </w:t>
      </w:r>
      <w:r>
        <w:rPr>
          <w:rFonts w:ascii="Franklin Gothic Medium" w:hAnsi="Franklin Gothic Medium"/>
          <w:color w:val="000000"/>
          <w:shd w:val="clear" w:color="auto" w:fill="FFFFFF"/>
        </w:rPr>
        <w:t xml:space="preserve"> gasóleo para uso marítimo y el combustible diésel para uso marítimo, así como queroseno doméstico (queroseno de calefacción</w:t>
      </w:r>
      <w:r>
        <w:rPr>
          <w:rFonts w:ascii="Franklin Gothic Medium" w:hAnsi="Franklin Gothic Medium"/>
          <w:color w:val="000000"/>
        </w:rPr>
        <w:t xml:space="preserve">) y se preparan 7 soluciones estándar de </w:t>
      </w:r>
      <w:proofErr w:type="spellStart"/>
      <w:r>
        <w:rPr>
          <w:rFonts w:ascii="Franklin Gothic Medium" w:hAnsi="Franklin Gothic Medium"/>
          <w:color w:val="000000"/>
        </w:rPr>
        <w:t>butoxibenceno</w:t>
      </w:r>
      <w:proofErr w:type="spellEnd"/>
      <w:r>
        <w:rPr>
          <w:rFonts w:ascii="Franklin Gothic Medium" w:hAnsi="Franklin Gothic Medium"/>
          <w:color w:val="000000"/>
        </w:rPr>
        <w:t xml:space="preserve"> en el rango de concentración de </w:t>
      </w:r>
      <w:r>
        <w:rPr>
          <w:rFonts w:ascii="Franklin Gothic Medium" w:hAnsi="Franklin Gothic Medium"/>
          <w:color w:val="000000"/>
          <w:shd w:val="clear" w:color="auto" w:fill="FFFFFF"/>
        </w:rPr>
        <w:t>0,95-11,875 mg.L</w:t>
      </w:r>
      <w:r>
        <w:rPr>
          <w:rFonts w:ascii="Franklin Gothic Medium" w:hAnsi="Franklin Gothic Medium"/>
          <w:color w:val="000000"/>
          <w:shd w:val="clear" w:color="auto" w:fill="FFFFFF"/>
          <w:vertAlign w:val="superscript"/>
        </w:rPr>
        <w:t>-1</w:t>
      </w:r>
      <w:r>
        <w:rPr>
          <w:rFonts w:ascii="Franklin Gothic Medium" w:hAnsi="Franklin Gothic Medium"/>
          <w:color w:val="000000"/>
          <w:shd w:val="clear" w:color="auto" w:fill="FFFFFF"/>
        </w:rPr>
        <w:t xml:space="preserve"> de </w:t>
      </w:r>
      <w:proofErr w:type="spellStart"/>
      <w:r>
        <w:rPr>
          <w:rFonts w:ascii="Franklin Gothic Medium" w:hAnsi="Franklin Gothic Medium"/>
          <w:color w:val="000000"/>
          <w:shd w:val="clear" w:color="auto" w:fill="FFFFFF"/>
        </w:rPr>
        <w:t>butoxibenceno</w:t>
      </w:r>
      <w:proofErr w:type="spellEnd"/>
      <w:r>
        <w:rPr>
          <w:rFonts w:ascii="Franklin Gothic Medium" w:hAnsi="Franklin Gothic Medium"/>
          <w:color w:val="000000"/>
          <w:shd w:val="clear" w:color="auto" w:fill="FFFFFF"/>
        </w:rPr>
        <w:t xml:space="preserve"> en el producto energético.</w:t>
      </w:r>
    </w:p>
    <w:p w14:paraId="2484F27D"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1B576DB8"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u w:val="single"/>
        </w:rPr>
        <w:t>Equipo</w:t>
      </w:r>
    </w:p>
    <w:p w14:paraId="0418EA30"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1. Cromatógrafo de gases equipado con sistema electrónico de control de presión e inyector fraccionado/no fraccionado.</w:t>
      </w:r>
    </w:p>
    <w:p w14:paraId="4ADCEBB5"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2.  Detector de ionización de llama (FID).</w:t>
      </w:r>
    </w:p>
    <w:p w14:paraId="184B6868"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3. Detector de espectrometría de masas con técnica de ionización del haz de electrones, conectado al cromatógrafo por una línea de transferencia.</w:t>
      </w:r>
    </w:p>
    <w:p w14:paraId="1FF1159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4. Tres (3) columnas capilares de diferente polaridad: el primer tipo, de fenilo del 50 % (15x0,25x0,15) conecta el inyector al interruptor de Dean, el segundo tipo, de </w:t>
      </w:r>
      <w:proofErr w:type="spellStart"/>
      <w:r>
        <w:rPr>
          <w:rFonts w:ascii="Franklin Gothic Medium" w:hAnsi="Franklin Gothic Medium"/>
          <w:color w:val="000000"/>
        </w:rPr>
        <w:t>Wax</w:t>
      </w:r>
      <w:proofErr w:type="spellEnd"/>
      <w:r>
        <w:rPr>
          <w:rFonts w:ascii="Franklin Gothic Medium" w:hAnsi="Franklin Gothic Medium"/>
          <w:color w:val="000000"/>
        </w:rPr>
        <w:t xml:space="preserve"> (30x0,25x1,00) conecta el interruptor de Dean al MSD y el tercero es una columna de sílice fundida (0,64x0,1) que conecta el interruptor de Dean al FID.</w:t>
      </w:r>
    </w:p>
    <w:p w14:paraId="7ED69B25"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5. Muestreador automático con jeringa capaz de proporcionar con precisión un volumen de 5 μl.</w:t>
      </w:r>
    </w:p>
    <w:p w14:paraId="0A0AD15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6. Ordenador con </w:t>
      </w:r>
      <w:r>
        <w:rPr>
          <w:rFonts w:ascii="Franklin Gothic Medium" w:hAnsi="Franklin Gothic Medium"/>
          <w:i/>
          <w:iCs/>
          <w:color w:val="000000"/>
        </w:rPr>
        <w:t>software</w:t>
      </w:r>
      <w:r>
        <w:rPr>
          <w:rFonts w:ascii="Franklin Gothic Medium" w:hAnsi="Franklin Gothic Medium"/>
          <w:color w:val="000000"/>
        </w:rPr>
        <w:t xml:space="preserve"> adecuado que descarga y procesa datos.</w:t>
      </w:r>
    </w:p>
    <w:p w14:paraId="5C0E4DB9"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2BC89ED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u w:val="single"/>
        </w:rPr>
        <w:t>Procedimiento</w:t>
      </w:r>
    </w:p>
    <w:p w14:paraId="4A82F992"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Inicialmente se crea una curva de calibración con los estándares de calibración mencionados anteriormente.</w:t>
      </w:r>
    </w:p>
    <w:p w14:paraId="1DAD30D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Para la detección del trazador, se utiliza la ionización del haz de electrones y</w:t>
      </w:r>
    </w:p>
    <w:p w14:paraId="1837FABB"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la técnica SIM: del ion con m/z 94 (ion de cuantificación) y del ion con m/z 150 (ion de confirmación). </w:t>
      </w:r>
    </w:p>
    <w:p w14:paraId="369AA21D"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Se recomienda lo siguiente como parámetros operativos óptimos de GC — MS:</w:t>
      </w:r>
    </w:p>
    <w:p w14:paraId="654A05A1"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u w:val="single"/>
        </w:rPr>
      </w:pPr>
    </w:p>
    <w:p w14:paraId="63C6DC2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Temperatura de la columna (horno)</w:t>
      </w:r>
    </w:p>
    <w:p w14:paraId="5EF9EA16" w14:textId="26CF7892"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De acuerdo con el programa de temperatura del horno, la temperatura inicial de 100 °C se mantiene durante 0,5 min y aumenta a una velocidad de 10 °C.min</w:t>
      </w:r>
      <w:r>
        <w:rPr>
          <w:rFonts w:ascii="Franklin Gothic Medium" w:hAnsi="Franklin Gothic Medium"/>
          <w:color w:val="000000"/>
          <w:vertAlign w:val="superscript"/>
        </w:rPr>
        <w:t>-1</w:t>
      </w:r>
      <w:r>
        <w:rPr>
          <w:rFonts w:ascii="Franklin Gothic Medium" w:hAnsi="Franklin Gothic Medium"/>
          <w:color w:val="000000"/>
        </w:rPr>
        <w:t xml:space="preserve"> hasta 180 °C, donde se estabiliza durante </w:t>
      </w:r>
      <w:r>
        <w:rPr>
          <w:rFonts w:ascii="Franklin Gothic Medium" w:hAnsi="Franklin Gothic Medium"/>
          <w:color w:val="000000"/>
          <w:highlight w:val="white"/>
        </w:rPr>
        <w:t>0,0</w:t>
      </w:r>
      <w:r>
        <w:rPr>
          <w:rFonts w:ascii="Franklin Gothic Medium" w:hAnsi="Franklin Gothic Medium"/>
          <w:color w:val="000000"/>
        </w:rPr>
        <w:t xml:space="preserve"> min, luego aumenta a una velocidad de 30 </w:t>
      </w:r>
      <w:proofErr w:type="spellStart"/>
      <w:r>
        <w:rPr>
          <w:rFonts w:ascii="Franklin Gothic Medium" w:hAnsi="Franklin Gothic Medium"/>
          <w:color w:val="000000"/>
        </w:rPr>
        <w:t>°C.min</w:t>
      </w:r>
      <w:proofErr w:type="spellEnd"/>
      <w:r>
        <w:rPr>
          <w:rFonts w:ascii="Franklin Gothic Medium" w:hAnsi="Franklin Gothic Medium"/>
          <w:color w:val="000000"/>
        </w:rPr>
        <w:t>;</w:t>
      </w:r>
      <w:r>
        <w:rPr>
          <w:rFonts w:ascii="Franklin Gothic Medium" w:hAnsi="Franklin Gothic Medium"/>
          <w:color w:val="000000"/>
          <w:vertAlign w:val="superscript"/>
        </w:rPr>
        <w:t>-1</w:t>
      </w:r>
      <w:r>
        <w:rPr>
          <w:rFonts w:ascii="Franklin Gothic Medium" w:hAnsi="Franklin Gothic Medium"/>
          <w:color w:val="000000"/>
        </w:rPr>
        <w:t xml:space="preserve"> hasta 260 °C, donde se estabiliza durante 4,0 min. </w:t>
      </w:r>
    </w:p>
    <w:p w14:paraId="3496473A"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043751DE"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Inyector (fraccionado/no fraccionado)</w:t>
      </w:r>
    </w:p>
    <w:p w14:paraId="594C644C"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olor w:val="000000"/>
        </w:rPr>
      </w:pPr>
      <w:r>
        <w:rPr>
          <w:rFonts w:ascii="Franklin Gothic Medium" w:hAnsi="Franklin Gothic Medium"/>
          <w:color w:val="000000"/>
        </w:rPr>
        <w:t>La temperatura del inyector fraccionado/no fraccionado, con una relación de división de 100:1, es de 250 °C y el volumen de la muestra inyectada es de 1 μl. El flujo del gas portador (helio) en las columnas es de: Para la primera columna: 1,0 mL.min</w:t>
      </w:r>
      <w:r>
        <w:rPr>
          <w:rFonts w:ascii="Franklin Gothic Medium" w:hAnsi="Franklin Gothic Medium"/>
          <w:color w:val="000000"/>
          <w:vertAlign w:val="superscript"/>
        </w:rPr>
        <w:t>-1</w:t>
      </w:r>
      <w:r>
        <w:rPr>
          <w:rFonts w:ascii="Franklin Gothic Medium" w:hAnsi="Franklin Gothic Medium"/>
          <w:color w:val="000000"/>
        </w:rPr>
        <w:t xml:space="preserve"> durante 5,0 min, cambio a 99 mL.min</w:t>
      </w:r>
      <w:r>
        <w:rPr>
          <w:rFonts w:ascii="Franklin Gothic Medium" w:hAnsi="Franklin Gothic Medium"/>
          <w:color w:val="000000"/>
          <w:vertAlign w:val="superscript"/>
        </w:rPr>
        <w:t>-1</w:t>
      </w:r>
      <w:r>
        <w:rPr>
          <w:rFonts w:ascii="Franklin Gothic Medium" w:hAnsi="Franklin Gothic Medium"/>
          <w:color w:val="000000"/>
        </w:rPr>
        <w:t>, estabilización durante 10,1 min (paso de lavado).  Para la segunda columna: 2,5 mL.min</w:t>
      </w:r>
      <w:r>
        <w:rPr>
          <w:rFonts w:ascii="Franklin Gothic Medium" w:hAnsi="Franklin Gothic Medium"/>
          <w:color w:val="000000"/>
          <w:vertAlign w:val="superscript"/>
        </w:rPr>
        <w:t>-1</w:t>
      </w:r>
      <w:r>
        <w:rPr>
          <w:rFonts w:ascii="Franklin Gothic Medium" w:hAnsi="Franklin Gothic Medium"/>
          <w:color w:val="000000"/>
        </w:rPr>
        <w:t xml:space="preserve"> flujo constante.</w:t>
      </w:r>
    </w:p>
    <w:p w14:paraId="62B0AFB8"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s="Franklin Gothic Medium"/>
          <w:color w:val="000000"/>
        </w:rPr>
      </w:pPr>
    </w:p>
    <w:p w14:paraId="2F520634"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olor w:val="000000"/>
        </w:rPr>
      </w:pPr>
      <w:r>
        <w:rPr>
          <w:rFonts w:ascii="Franklin Gothic Medium" w:hAnsi="Franklin Gothic Medium"/>
          <w:color w:val="000000"/>
        </w:rPr>
        <w:lastRenderedPageBreak/>
        <w:t>– Detector de ionización de llama (FID)</w:t>
      </w:r>
    </w:p>
    <w:p w14:paraId="78C4C2FE"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olor w:val="000000"/>
        </w:rPr>
      </w:pPr>
      <w:r>
        <w:rPr>
          <w:rFonts w:ascii="Franklin Gothic Medium" w:hAnsi="Franklin Gothic Medium"/>
          <w:color w:val="000000"/>
        </w:rPr>
        <w:t>Se utilizará un detector de ionización de llama (FID) que funcione a una temperatura de 260 °C.</w:t>
      </w:r>
    </w:p>
    <w:p w14:paraId="2F797CC4"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s="Franklin Gothic Medium"/>
          <w:color w:val="000000"/>
        </w:rPr>
      </w:pPr>
    </w:p>
    <w:p w14:paraId="62B433A8"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olor w:val="000000"/>
        </w:rPr>
      </w:pPr>
      <w:r>
        <w:rPr>
          <w:rFonts w:ascii="Franklin Gothic Medium" w:hAnsi="Franklin Gothic Medium"/>
          <w:color w:val="000000"/>
        </w:rPr>
        <w:t>– Detector de masas (MS)</w:t>
      </w:r>
    </w:p>
    <w:p w14:paraId="362EA6AC"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olor w:val="000000"/>
        </w:rPr>
      </w:pPr>
      <w:r>
        <w:rPr>
          <w:rFonts w:ascii="Franklin Gothic Medium" w:hAnsi="Franklin Gothic Medium"/>
          <w:color w:val="000000"/>
        </w:rPr>
        <w:t xml:space="preserve"> Se utilizará un detector de masas (MS) con ionización del haz de electrones y Monitoreo de Iones Seleccionados (SIM), que funciona en las siguientes condiciones:</w:t>
      </w:r>
      <w:r>
        <w:rPr>
          <w:rFonts w:ascii="Franklin Gothic Medium" w:hAnsi="Franklin Gothic Medium"/>
          <w:color w:val="000000"/>
        </w:rPr>
        <w:br/>
        <w:t xml:space="preserve">La temperatura de la fuente de iones es de 250 °C.  La temperatura del cuadrupolo (MS </w:t>
      </w:r>
      <w:proofErr w:type="spellStart"/>
      <w:r>
        <w:rPr>
          <w:rFonts w:ascii="Franklin Gothic Medium" w:hAnsi="Franklin Gothic Medium"/>
          <w:color w:val="000000"/>
        </w:rPr>
        <w:t>Quad</w:t>
      </w:r>
      <w:proofErr w:type="spellEnd"/>
      <w:r>
        <w:rPr>
          <w:rFonts w:ascii="Franklin Gothic Medium" w:hAnsi="Franklin Gothic Medium"/>
          <w:color w:val="000000"/>
        </w:rPr>
        <w:t>) es de 200 °C. La temperatura de la línea de transferencia es de 260 °C. El tiempo de retardo del disolvente es de 3,00 min. m/z: 94 se utilizarán como ion de cuantificación y m/z: 150 como ion de confirmación.  El tiempo de permanencia (</w:t>
      </w:r>
      <w:proofErr w:type="spellStart"/>
      <w:r>
        <w:rPr>
          <w:rFonts w:ascii="Franklin Gothic Medium" w:hAnsi="Franklin Gothic Medium"/>
          <w:i/>
          <w:iCs/>
          <w:color w:val="000000"/>
        </w:rPr>
        <w:t>dwell</w:t>
      </w:r>
      <w:proofErr w:type="spellEnd"/>
      <w:r>
        <w:rPr>
          <w:rFonts w:ascii="Franklin Gothic Medium" w:hAnsi="Franklin Gothic Medium"/>
          <w:i/>
          <w:iCs/>
          <w:color w:val="000000"/>
        </w:rPr>
        <w:t xml:space="preserve"> time</w:t>
      </w:r>
      <w:r>
        <w:rPr>
          <w:rFonts w:ascii="Franklin Gothic Medium" w:hAnsi="Franklin Gothic Medium"/>
          <w:color w:val="000000"/>
        </w:rPr>
        <w:t>, por su versión en inglés) es de 100 ms.</w:t>
      </w:r>
    </w:p>
    <w:p w14:paraId="36BCEAE1"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Franklin Gothic Medium" w:hAnsi="Franklin Gothic Medium" w:cs="Franklin Gothic Medium"/>
          <w:color w:val="000000"/>
        </w:rPr>
      </w:pPr>
    </w:p>
    <w:p w14:paraId="088B7DC7"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Para garantizar la calidad de los resultados, se recomienda aplicar un sistema interno de control de calidad con un análisis periódico de una muestra de control de calidad.</w:t>
      </w:r>
    </w:p>
    <w:p w14:paraId="6A64EC12"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3CC151E5"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Podrá utilizarse un método alternativo de cromatografía de gases con columnas y detectores apropiados para la determinación conjunta de </w:t>
      </w:r>
      <w:r>
        <w:rPr>
          <w:rFonts w:ascii="Franklin Gothic Medium" w:hAnsi="Franklin Gothic Medium"/>
          <w:color w:val="000000"/>
          <w:shd w:val="clear" w:color="auto" w:fill="FFFFFF"/>
        </w:rPr>
        <w:t>ACCUTRACE</w:t>
      </w:r>
      <w:r>
        <w:rPr>
          <w:rFonts w:ascii="Franklin Gothic Medium" w:hAnsi="Franklin Gothic Medium"/>
          <w:color w:val="000000"/>
          <w:shd w:val="clear" w:color="auto" w:fill="FFFFFF"/>
          <w:vertAlign w:val="superscript"/>
        </w:rPr>
        <w:t>TM</w:t>
      </w:r>
      <w:r>
        <w:rPr>
          <w:rFonts w:ascii="Franklin Gothic Medium" w:hAnsi="Franklin Gothic Medium"/>
          <w:color w:val="000000"/>
          <w:shd w:val="clear" w:color="auto" w:fill="FFFFFF"/>
        </w:rPr>
        <w:t xml:space="preserve"> PLUS y los trazadores nacionales de tecnología molecular FT36 y FT39</w:t>
      </w:r>
      <w:r>
        <w:rPr>
          <w:rFonts w:ascii="Franklin Gothic Medium" w:hAnsi="Franklin Gothic Medium"/>
          <w:color w:val="000000"/>
        </w:rPr>
        <w:t>, si puede demostrarse que proporciona al menos la misma precisión y al menos el mismo nivel de precisión que el método analítico al que sustituye.</w:t>
      </w:r>
    </w:p>
    <w:p w14:paraId="5F6F927C"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56538626"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p>
    <w:p w14:paraId="5D4E373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ab/>
        <w:t xml:space="preserve"> </w:t>
      </w:r>
    </w:p>
    <w:p w14:paraId="1CAA44C1"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rFonts w:ascii="Franklin Gothic Medium" w:hAnsi="Franklin Gothic Medium"/>
          <w:color w:val="000000"/>
        </w:rPr>
      </w:pPr>
      <w:r>
        <w:rPr>
          <w:rFonts w:ascii="Franklin Gothic Medium" w:hAnsi="Franklin Gothic Medium"/>
          <w:b/>
          <w:color w:val="000000"/>
        </w:rPr>
        <w:t>Artículo 4</w:t>
      </w:r>
    </w:p>
    <w:p w14:paraId="4B1C63EC" w14:textId="43DE501A" w:rsidR="00CF0688" w:rsidRDefault="00FE2D8D">
      <w:pPr>
        <w:tabs>
          <w:tab w:val="left" w:pos="0"/>
        </w:tabs>
        <w:ind w:hanging="1080"/>
        <w:jc w:val="center"/>
        <w:rPr>
          <w:rFonts w:ascii="Franklin Gothic Medium" w:hAnsi="Franklin Gothic Medium"/>
          <w:color w:val="000000"/>
        </w:rPr>
      </w:pPr>
      <w:r>
        <w:rPr>
          <w:rFonts w:ascii="Franklin Gothic Medium" w:hAnsi="Franklin Gothic Medium"/>
          <w:b/>
          <w:color w:val="000000"/>
        </w:rPr>
        <w:t>Características de calidad del método de ensayo</w:t>
      </w:r>
    </w:p>
    <w:p w14:paraId="1B323D56" w14:textId="77777777" w:rsidR="00CF0688" w:rsidRDefault="00FE2D8D">
      <w:pPr>
        <w:tabs>
          <w:tab w:val="left" w:pos="0"/>
        </w:tabs>
        <w:ind w:hanging="1080"/>
        <w:jc w:val="both"/>
        <w:rPr>
          <w:rFonts w:ascii="Franklin Gothic Medium" w:hAnsi="Franklin Gothic Medium"/>
          <w:color w:val="000000"/>
        </w:rPr>
      </w:pPr>
      <w:r>
        <w:rPr>
          <w:rFonts w:ascii="Franklin Gothic Medium" w:hAnsi="Franklin Gothic Medium"/>
          <w:color w:val="000000"/>
        </w:rPr>
        <w:tab/>
      </w:r>
      <w:r>
        <w:rPr>
          <w:rFonts w:ascii="Franklin Gothic Medium" w:hAnsi="Franklin Gothic Medium"/>
          <w:color w:val="000000"/>
        </w:rPr>
        <w:tab/>
      </w:r>
    </w:p>
    <w:p w14:paraId="7167D598" w14:textId="77777777" w:rsidR="00CF0688" w:rsidRDefault="00FE2D8D">
      <w:pPr>
        <w:tabs>
          <w:tab w:val="left" w:pos="0"/>
        </w:tabs>
        <w:ind w:hanging="1080"/>
        <w:jc w:val="both"/>
        <w:rPr>
          <w:rFonts w:ascii="Franklin Gothic Medium" w:hAnsi="Franklin Gothic Medium"/>
          <w:color w:val="000000"/>
        </w:rPr>
      </w:pPr>
      <w:r>
        <w:rPr>
          <w:rFonts w:ascii="Franklin Gothic Medium" w:hAnsi="Franklin Gothic Medium"/>
          <w:color w:val="000000"/>
        </w:rPr>
        <w:tab/>
      </w:r>
      <w:r>
        <w:rPr>
          <w:rFonts w:ascii="Franklin Gothic Medium" w:hAnsi="Franklin Gothic Medium"/>
          <w:color w:val="000000"/>
        </w:rPr>
        <w:tab/>
        <w:t xml:space="preserve">Las características de rendimiento del método se determinarán tras su validación de conformidad con los requisitos de la norma ELOT EN ISO IEC 17025. </w:t>
      </w:r>
    </w:p>
    <w:p w14:paraId="377A21C1" w14:textId="77777777" w:rsidR="00CF0688" w:rsidRDefault="00FE2D8D">
      <w:pPr>
        <w:shd w:val="clear" w:color="auto" w:fill="FFFFFF"/>
        <w:tabs>
          <w:tab w:val="left" w:pos="0"/>
        </w:tabs>
        <w:ind w:hanging="1080"/>
        <w:jc w:val="both"/>
        <w:rPr>
          <w:rFonts w:ascii="Franklin Gothic Medium" w:hAnsi="Franklin Gothic Medium"/>
          <w:color w:val="000000"/>
        </w:rPr>
      </w:pPr>
      <w:r>
        <w:rPr>
          <w:rFonts w:ascii="Franklin Gothic Medium" w:hAnsi="Franklin Gothic Medium"/>
          <w:b/>
          <w:color w:val="000000"/>
        </w:rPr>
        <w:tab/>
      </w:r>
      <w:r>
        <w:rPr>
          <w:rFonts w:ascii="Franklin Gothic Medium" w:hAnsi="Franklin Gothic Medium"/>
          <w:b/>
          <w:color w:val="000000"/>
        </w:rPr>
        <w:tab/>
      </w:r>
      <w:r>
        <w:rPr>
          <w:rFonts w:ascii="Franklin Gothic Medium" w:hAnsi="Franklin Gothic Medium"/>
          <w:color w:val="000000"/>
        </w:rPr>
        <w:t>En caso de duda sobre los resultados de los ensayos, estos se evaluarán e interpretarán de acuerdo con la norma ELOT EN ISO 4259:2018.</w:t>
      </w:r>
    </w:p>
    <w:p w14:paraId="636DB490" w14:textId="77777777" w:rsidR="00CF0688" w:rsidRDefault="00CF0688">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rFonts w:ascii="Franklin Gothic Medium" w:hAnsi="Franklin Gothic Medium" w:cs="Franklin Gothic Medium"/>
          <w:b/>
          <w:color w:val="000000"/>
          <w:highlight w:val="yellow"/>
        </w:rPr>
      </w:pPr>
    </w:p>
    <w:p w14:paraId="02B4F526"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rFonts w:ascii="Franklin Gothic Medium" w:hAnsi="Franklin Gothic Medium" w:cs="Franklin Gothic Medium"/>
          <w:b/>
          <w:color w:val="000000"/>
          <w:highlight w:val="yellow"/>
        </w:rPr>
      </w:pPr>
    </w:p>
    <w:p w14:paraId="732D5771" w14:textId="77777777" w:rsidR="00CF0688" w:rsidRDefault="00FE2D8D">
      <w:pPr>
        <w:tabs>
          <w:tab w:val="left" w:pos="0"/>
        </w:tabs>
        <w:ind w:hanging="1080"/>
        <w:jc w:val="both"/>
        <w:rPr>
          <w:rFonts w:ascii="Franklin Gothic Medium" w:hAnsi="Franklin Gothic Medium"/>
          <w:color w:val="000000"/>
        </w:rPr>
      </w:pPr>
      <w:r>
        <w:rPr>
          <w:rFonts w:ascii="Franklin Gothic Medium" w:hAnsi="Franklin Gothic Medium"/>
          <w:color w:val="000000"/>
        </w:rPr>
        <w:tab/>
      </w:r>
    </w:p>
    <w:p w14:paraId="2D808370" w14:textId="77777777" w:rsidR="00CF0688" w:rsidRDefault="00FE2D8D">
      <w:pPr>
        <w:pStyle w:val="Heading8"/>
        <w:jc w:val="center"/>
        <w:rPr>
          <w:rFonts w:ascii="Franklin Gothic Medium" w:hAnsi="Franklin Gothic Medium" w:cs="Franklin Gothic Medium"/>
          <w:b/>
          <w:color w:val="000000"/>
          <w:sz w:val="24"/>
          <w:szCs w:val="24"/>
        </w:rPr>
      </w:pPr>
      <w:r>
        <w:rPr>
          <w:rFonts w:ascii="Franklin Gothic Medium" w:hAnsi="Franklin Gothic Medium"/>
          <w:b/>
          <w:color w:val="000000"/>
          <w:sz w:val="24"/>
        </w:rPr>
        <w:t>Artículo 5</w:t>
      </w:r>
    </w:p>
    <w:p w14:paraId="363F3422"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olor w:val="000000"/>
        </w:rPr>
      </w:pPr>
      <w:r>
        <w:rPr>
          <w:rFonts w:ascii="Franklin Gothic Medium" w:hAnsi="Franklin Gothic Medium"/>
          <w:b/>
          <w:color w:val="000000"/>
        </w:rPr>
        <w:t xml:space="preserve">Método de ensayo para los controles </w:t>
      </w:r>
      <w:r>
        <w:rPr>
          <w:rFonts w:ascii="Franklin Gothic Medium" w:hAnsi="Franklin Gothic Medium"/>
          <w:b/>
          <w:i/>
          <w:iCs/>
          <w:color w:val="000000"/>
        </w:rPr>
        <w:t>in situ</w:t>
      </w:r>
      <w:r>
        <w:rPr>
          <w:rFonts w:ascii="Franklin Gothic Medium" w:hAnsi="Franklin Gothic Medium"/>
          <w:color w:val="000000"/>
        </w:rPr>
        <w:t xml:space="preserve"> </w:t>
      </w:r>
    </w:p>
    <w:p w14:paraId="31BFCB07"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s="Franklin Gothic Medium"/>
          <w:color w:val="000000"/>
        </w:rPr>
      </w:pPr>
    </w:p>
    <w:p w14:paraId="25DC9ABE"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ab/>
        <w:t xml:space="preserve">Para los controles indicativos </w:t>
      </w:r>
      <w:r>
        <w:rPr>
          <w:rFonts w:ascii="Franklin Gothic Medium" w:hAnsi="Franklin Gothic Medium"/>
          <w:i/>
          <w:iCs/>
          <w:color w:val="000000"/>
        </w:rPr>
        <w:t>in situ,</w:t>
      </w:r>
      <w:r>
        <w:rPr>
          <w:rFonts w:ascii="Franklin Gothic Medium" w:hAnsi="Franklin Gothic Medium"/>
          <w:color w:val="000000"/>
        </w:rPr>
        <w:t xml:space="preserve"> la muestra del </w:t>
      </w:r>
      <w:r>
        <w:rPr>
          <w:rFonts w:ascii="Franklin Gothic Medium" w:hAnsi="Franklin Gothic Medium"/>
          <w:color w:val="000000"/>
          <w:highlight w:val="white"/>
        </w:rPr>
        <w:t>producto energético</w:t>
      </w:r>
      <w:r>
        <w:rPr>
          <w:rFonts w:ascii="Franklin Gothic Medium" w:hAnsi="Franklin Gothic Medium"/>
          <w:color w:val="000000"/>
        </w:rPr>
        <w:t xml:space="preserve">, sin tratamiento previo, se analizará con un dispositivo apropiado de cromatografía de gases, columnas capilares y un programa de temperatura adecuado, utilizando detectores adecuados (FID o MS).  </w:t>
      </w:r>
    </w:p>
    <w:p w14:paraId="1B2944A4" w14:textId="77777777" w:rsidR="00CF0688" w:rsidRDefault="00CF0688">
      <w:pPr>
        <w:tabs>
          <w:tab w:val="left" w:pos="0"/>
        </w:tabs>
        <w:rPr>
          <w:rFonts w:ascii="Franklin Gothic Medium" w:hAnsi="Franklin Gothic Medium" w:cs="Franklin Gothic Medium"/>
          <w:color w:val="000000"/>
        </w:rPr>
      </w:pPr>
    </w:p>
    <w:p w14:paraId="193B0459" w14:textId="77777777" w:rsidR="00CF0688" w:rsidRDefault="00CF0688">
      <w:pPr>
        <w:tabs>
          <w:tab w:val="left" w:pos="0"/>
        </w:tabs>
        <w:jc w:val="center"/>
        <w:rPr>
          <w:rFonts w:ascii="Franklin Gothic Medium" w:hAnsi="Franklin Gothic Medium" w:cs="Franklin Gothic Medium"/>
          <w:color w:val="000000"/>
        </w:rPr>
      </w:pPr>
    </w:p>
    <w:p w14:paraId="082289BA" w14:textId="77777777" w:rsidR="00CF0688" w:rsidRDefault="00FE2D8D">
      <w:pPr>
        <w:jc w:val="center"/>
        <w:rPr>
          <w:rFonts w:ascii="Franklin Gothic Medium" w:hAnsi="Franklin Gothic Medium"/>
          <w:color w:val="000000"/>
        </w:rPr>
      </w:pPr>
      <w:r>
        <w:rPr>
          <w:rFonts w:ascii="Franklin Gothic Medium" w:hAnsi="Franklin Gothic Medium"/>
          <w:color w:val="000000"/>
        </w:rPr>
        <w:tab/>
      </w:r>
      <w:r>
        <w:rPr>
          <w:rFonts w:ascii="Franklin Gothic Medium" w:hAnsi="Franklin Gothic Medium"/>
          <w:color w:val="000000"/>
        </w:rPr>
        <w:tab/>
      </w:r>
      <w:r>
        <w:rPr>
          <w:rFonts w:ascii="Franklin Gothic Medium" w:hAnsi="Franklin Gothic Medium"/>
          <w:b/>
          <w:color w:val="000000"/>
        </w:rPr>
        <w:t>Artículo 6</w:t>
      </w:r>
      <w:r>
        <w:rPr>
          <w:rFonts w:ascii="Franklin Gothic Medium" w:hAnsi="Franklin Gothic Medium"/>
          <w:color w:val="000000"/>
        </w:rPr>
        <w:tab/>
      </w:r>
      <w:r>
        <w:rPr>
          <w:rFonts w:ascii="Franklin Gothic Medium" w:hAnsi="Franklin Gothic Medium"/>
          <w:color w:val="000000"/>
        </w:rPr>
        <w:tab/>
      </w:r>
    </w:p>
    <w:p w14:paraId="300A4B4F"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olor w:val="000000"/>
        </w:rPr>
      </w:pPr>
      <w:r>
        <w:rPr>
          <w:rFonts w:ascii="Franklin Gothic Medium" w:hAnsi="Franklin Gothic Medium"/>
          <w:b/>
          <w:color w:val="000000"/>
        </w:rPr>
        <w:t>Disposiciones derogatorias</w:t>
      </w:r>
    </w:p>
    <w:p w14:paraId="15F7EC05"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Franklin Gothic Medium"/>
          <w:color w:val="000000"/>
        </w:rPr>
      </w:pPr>
    </w:p>
    <w:p w14:paraId="632638E2"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ab/>
        <w:t>A partir de la entrada en vigor de la presente Decisión, quedarán derogadas las disposiciones siguientes:</w:t>
      </w:r>
    </w:p>
    <w:p w14:paraId="4C61115D"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rPr>
        <w:t xml:space="preserve">1. Artículo 3, apartado 3.2, de la </w:t>
      </w:r>
      <w:r>
        <w:rPr>
          <w:rFonts w:ascii="Franklin Gothic Medium" w:hAnsi="Franklin Gothic Medium"/>
          <w:color w:val="000000"/>
          <w:highlight w:val="white"/>
        </w:rPr>
        <w:t>Decisión del</w:t>
      </w:r>
      <w:r>
        <w:rPr>
          <w:rFonts w:ascii="Franklin Gothic Medium" w:hAnsi="Franklin Gothic Medium"/>
          <w:color w:val="000000"/>
        </w:rPr>
        <w:t xml:space="preserve"> CSQ</w:t>
      </w:r>
      <w:r>
        <w:rPr>
          <w:rFonts w:ascii="Franklin Gothic Medium" w:hAnsi="Franklin Gothic Medium"/>
          <w:color w:val="000000"/>
          <w:highlight w:val="white"/>
        </w:rPr>
        <w:t xml:space="preserve"> 53/2015, «Combustibles para el abastecimiento de buques. Requisitos, métodos de ensayo y procedimientos para la coloración y el trazado del combustible para uso marítimo».</w:t>
      </w:r>
      <w:r>
        <w:rPr>
          <w:rFonts w:ascii="Franklin Gothic Medium" w:hAnsi="Franklin Gothic Medium"/>
          <w:color w:val="000000"/>
        </w:rPr>
        <w:t xml:space="preserve"> (Boletín Oficial Β’ 987/2015/16).</w:t>
      </w:r>
    </w:p>
    <w:p w14:paraId="42E3FFC4"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highlight w:val="white"/>
        </w:rPr>
        <w:t>2. Artículo 2, apartado 2, de la Decisión del CSQ 468/2002 (Boletín Oficial Β’ 1273/05.09.2003), «Procedimientos para la coloración y el trazado del gasóleo de calefacción». (Boletín Oficial Β’ 1273/2002/03).</w:t>
      </w:r>
    </w:p>
    <w:p w14:paraId="3FD7DA05"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rPr>
      </w:pPr>
      <w:r>
        <w:rPr>
          <w:rFonts w:ascii="Franklin Gothic Medium" w:hAnsi="Franklin Gothic Medium"/>
          <w:color w:val="000000"/>
          <w:highlight w:val="white"/>
        </w:rPr>
        <w:lastRenderedPageBreak/>
        <w:t>3. Artículo 2, apartado 1, de la Decisión del CSQ 469/2002 (Boletín Oficial Β’ 1273/2003), «Especificaciones y métodos de ensayo del queroseno de calefacción». (Boletín Oficial Β’ 1273/2002/03).</w:t>
      </w:r>
    </w:p>
    <w:p w14:paraId="56D3C729"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olor w:val="000000"/>
          <w:lang w:val="en-US"/>
        </w:rPr>
      </w:pPr>
    </w:p>
    <w:p w14:paraId="158C4577" w14:textId="77777777" w:rsidR="00CF0688" w:rsidRDefault="00CF06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s="Franklin Gothic Medium"/>
          <w:color w:val="000000"/>
          <w:lang w:val="en-US"/>
        </w:rPr>
      </w:pPr>
    </w:p>
    <w:p w14:paraId="4151AA57" w14:textId="77777777" w:rsidR="00CF0688" w:rsidRDefault="00FE2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olor w:val="000000"/>
        </w:rPr>
      </w:pPr>
      <w:r>
        <w:rPr>
          <w:rFonts w:ascii="Franklin Gothic Medium" w:hAnsi="Franklin Gothic Medium"/>
          <w:color w:val="000000"/>
        </w:rPr>
        <w:t xml:space="preserve"> </w:t>
      </w:r>
    </w:p>
    <w:p w14:paraId="7500A9B6" w14:textId="77777777" w:rsidR="00CF0688" w:rsidRDefault="00CF0688">
      <w:pPr>
        <w:spacing w:line="276" w:lineRule="auto"/>
        <w:rPr>
          <w:rFonts w:ascii="Franklin Gothic Medium" w:hAnsi="Franklin Gothic Medium"/>
        </w:rPr>
      </w:pPr>
    </w:p>
    <w:tbl>
      <w:tblPr>
        <w:tblpPr w:leftFromText="180" w:rightFromText="180" w:vertAnchor="text" w:horzAnchor="page" w:tblpX="1397" w:tblpY="195"/>
        <w:tblW w:w="10212" w:type="dxa"/>
        <w:tblLayout w:type="fixed"/>
        <w:tblLook w:val="01E0" w:firstRow="1" w:lastRow="1" w:firstColumn="1" w:lastColumn="1" w:noHBand="0" w:noVBand="0"/>
      </w:tblPr>
      <w:tblGrid>
        <w:gridCol w:w="364"/>
        <w:gridCol w:w="4368"/>
        <w:gridCol w:w="457"/>
        <w:gridCol w:w="1590"/>
        <w:gridCol w:w="2934"/>
        <w:gridCol w:w="499"/>
      </w:tblGrid>
      <w:tr w:rsidR="00CF0688" w14:paraId="5C783656" w14:textId="77777777">
        <w:trPr>
          <w:trHeight w:val="1326"/>
        </w:trPr>
        <w:tc>
          <w:tcPr>
            <w:tcW w:w="4731" w:type="dxa"/>
            <w:gridSpan w:val="2"/>
          </w:tcPr>
          <w:p w14:paraId="357BB0B7" w14:textId="77777777" w:rsidR="00CF0688" w:rsidRDefault="00FE2D8D">
            <w:pPr>
              <w:pStyle w:val="BodyText3"/>
              <w:widowControl w:val="0"/>
              <w:spacing w:line="276" w:lineRule="auto"/>
              <w:rPr>
                <w:rFonts w:ascii="Franklin Gothic Medium" w:hAnsi="Franklin Gothic Medium"/>
                <w:b/>
                <w:sz w:val="24"/>
                <w:szCs w:val="24"/>
              </w:rPr>
            </w:pPr>
            <w:r>
              <w:rPr>
                <w:rFonts w:ascii="Franklin Gothic Medium" w:hAnsi="Franklin Gothic Medium"/>
                <w:b/>
                <w:sz w:val="24"/>
              </w:rPr>
              <w:t xml:space="preserve">       EL PRESIDENTE</w:t>
            </w:r>
          </w:p>
          <w:p w14:paraId="65373139" w14:textId="77777777" w:rsidR="00CF0688" w:rsidRDefault="00CF0688">
            <w:pPr>
              <w:pStyle w:val="BodyText3"/>
              <w:widowControl w:val="0"/>
              <w:spacing w:line="276" w:lineRule="auto"/>
              <w:jc w:val="center"/>
              <w:rPr>
                <w:rFonts w:ascii="Franklin Gothic Medium" w:hAnsi="Franklin Gothic Medium"/>
                <w:b/>
                <w:sz w:val="24"/>
                <w:szCs w:val="24"/>
              </w:rPr>
            </w:pPr>
          </w:p>
          <w:p w14:paraId="11684242" w14:textId="77777777" w:rsidR="00CF0688" w:rsidRDefault="00CF0688">
            <w:pPr>
              <w:pStyle w:val="BodyText3"/>
              <w:widowControl w:val="0"/>
              <w:spacing w:line="276" w:lineRule="auto"/>
              <w:rPr>
                <w:rFonts w:ascii="Franklin Gothic Medium" w:hAnsi="Franklin Gothic Medium"/>
                <w:b/>
                <w:bCs/>
                <w:sz w:val="24"/>
                <w:szCs w:val="24"/>
              </w:rPr>
            </w:pPr>
          </w:p>
          <w:p w14:paraId="67C29CB0" w14:textId="42B3C372" w:rsidR="00CF0688" w:rsidRDefault="00FE2D8D">
            <w:pPr>
              <w:pStyle w:val="BodyText3"/>
              <w:widowControl w:val="0"/>
              <w:spacing w:line="276" w:lineRule="auto"/>
              <w:rPr>
                <w:rFonts w:ascii="Franklin Gothic Medium" w:hAnsi="Franklin Gothic Medium"/>
                <w:b/>
                <w:sz w:val="24"/>
                <w:szCs w:val="24"/>
              </w:rPr>
            </w:pPr>
            <w:r>
              <w:rPr>
                <w:rFonts w:ascii="Franklin Gothic Medium" w:hAnsi="Franklin Gothic Medium"/>
                <w:b/>
                <w:sz w:val="24"/>
              </w:rPr>
              <w:t>EVANGELOS BAKEAS</w:t>
            </w:r>
          </w:p>
        </w:tc>
        <w:tc>
          <w:tcPr>
            <w:tcW w:w="457" w:type="dxa"/>
          </w:tcPr>
          <w:p w14:paraId="30020D6A" w14:textId="77777777" w:rsidR="00CF0688" w:rsidRDefault="00CF0688">
            <w:pPr>
              <w:pStyle w:val="BodyText3"/>
              <w:widowControl w:val="0"/>
              <w:spacing w:line="276" w:lineRule="auto"/>
              <w:jc w:val="center"/>
              <w:rPr>
                <w:rFonts w:ascii="Franklin Gothic Medium" w:hAnsi="Franklin Gothic Medium"/>
                <w:b/>
                <w:sz w:val="24"/>
                <w:szCs w:val="24"/>
              </w:rPr>
            </w:pPr>
          </w:p>
          <w:p w14:paraId="59C9708D" w14:textId="77777777" w:rsidR="00CF0688" w:rsidRDefault="00CF0688">
            <w:pPr>
              <w:pStyle w:val="BodyText3"/>
              <w:widowControl w:val="0"/>
              <w:spacing w:line="276" w:lineRule="auto"/>
              <w:jc w:val="center"/>
              <w:rPr>
                <w:rFonts w:ascii="Franklin Gothic Medium" w:hAnsi="Franklin Gothic Medium"/>
                <w:b/>
                <w:sz w:val="24"/>
                <w:szCs w:val="24"/>
              </w:rPr>
            </w:pPr>
          </w:p>
          <w:p w14:paraId="1FEFB148" w14:textId="77777777" w:rsidR="00CF0688" w:rsidRDefault="00CF0688">
            <w:pPr>
              <w:pStyle w:val="BodyText3"/>
              <w:widowControl w:val="0"/>
              <w:spacing w:line="276" w:lineRule="auto"/>
              <w:jc w:val="center"/>
              <w:rPr>
                <w:rFonts w:ascii="Franklin Gothic Medium" w:hAnsi="Franklin Gothic Medium"/>
                <w:b/>
                <w:sz w:val="24"/>
                <w:szCs w:val="24"/>
              </w:rPr>
            </w:pPr>
          </w:p>
          <w:p w14:paraId="4970EBC0" w14:textId="77777777" w:rsidR="00CF0688" w:rsidRDefault="00CF0688">
            <w:pPr>
              <w:pStyle w:val="BodyText3"/>
              <w:widowControl w:val="0"/>
              <w:spacing w:line="276" w:lineRule="auto"/>
              <w:jc w:val="center"/>
              <w:rPr>
                <w:rFonts w:ascii="Franklin Gothic Medium" w:hAnsi="Franklin Gothic Medium"/>
                <w:b/>
                <w:sz w:val="24"/>
                <w:szCs w:val="24"/>
              </w:rPr>
            </w:pPr>
          </w:p>
        </w:tc>
        <w:tc>
          <w:tcPr>
            <w:tcW w:w="4524" w:type="dxa"/>
            <w:gridSpan w:val="2"/>
          </w:tcPr>
          <w:p w14:paraId="0C11015D" w14:textId="77777777" w:rsidR="00CF0688" w:rsidRDefault="00FE2D8D">
            <w:pPr>
              <w:pStyle w:val="BodyText3"/>
              <w:widowControl w:val="0"/>
              <w:spacing w:line="276" w:lineRule="auto"/>
              <w:rPr>
                <w:rFonts w:ascii="Franklin Gothic Medium" w:hAnsi="Franklin Gothic Medium"/>
                <w:b/>
                <w:sz w:val="24"/>
                <w:szCs w:val="24"/>
              </w:rPr>
            </w:pPr>
            <w:r>
              <w:rPr>
                <w:rFonts w:ascii="Franklin Gothic Medium" w:hAnsi="Franklin Gothic Medium"/>
                <w:b/>
                <w:sz w:val="24"/>
              </w:rPr>
              <w:t xml:space="preserve">          LA SECRETARIA</w:t>
            </w:r>
          </w:p>
          <w:p w14:paraId="036E13BF" w14:textId="77777777" w:rsidR="00CF0688" w:rsidRDefault="00CF0688">
            <w:pPr>
              <w:pStyle w:val="BodyText3"/>
              <w:widowControl w:val="0"/>
              <w:spacing w:line="276" w:lineRule="auto"/>
              <w:jc w:val="center"/>
              <w:rPr>
                <w:rFonts w:ascii="Franklin Gothic Medium" w:hAnsi="Franklin Gothic Medium"/>
                <w:b/>
                <w:sz w:val="24"/>
                <w:szCs w:val="24"/>
              </w:rPr>
            </w:pPr>
          </w:p>
          <w:p w14:paraId="30F83A63" w14:textId="77777777" w:rsidR="00CF0688" w:rsidRDefault="00CF0688">
            <w:pPr>
              <w:pStyle w:val="BodyText3"/>
              <w:widowControl w:val="0"/>
              <w:spacing w:line="276" w:lineRule="auto"/>
              <w:rPr>
                <w:rFonts w:ascii="Franklin Gothic Medium" w:hAnsi="Franklin Gothic Medium"/>
                <w:b/>
                <w:sz w:val="24"/>
                <w:szCs w:val="24"/>
              </w:rPr>
            </w:pPr>
          </w:p>
          <w:p w14:paraId="3DE4C40D" w14:textId="77777777" w:rsidR="00CF0688" w:rsidRDefault="00FE2D8D">
            <w:pPr>
              <w:pStyle w:val="BodyText3"/>
              <w:widowControl w:val="0"/>
              <w:spacing w:line="276" w:lineRule="auto"/>
              <w:rPr>
                <w:rFonts w:ascii="Franklin Gothic Medium" w:hAnsi="Franklin Gothic Medium"/>
                <w:b/>
                <w:sz w:val="24"/>
                <w:szCs w:val="24"/>
              </w:rPr>
            </w:pPr>
            <w:r>
              <w:rPr>
                <w:rFonts w:ascii="Franklin Gothic Medium" w:hAnsi="Franklin Gothic Medium"/>
                <w:b/>
                <w:sz w:val="24"/>
              </w:rPr>
              <w:t>ELENI BANIA-GEORGOPOULOU</w:t>
            </w:r>
          </w:p>
        </w:tc>
        <w:tc>
          <w:tcPr>
            <w:tcW w:w="499" w:type="dxa"/>
          </w:tcPr>
          <w:p w14:paraId="0C4209A2" w14:textId="77777777" w:rsidR="00CF0688" w:rsidRDefault="00CF0688">
            <w:pPr>
              <w:widowControl w:val="0"/>
            </w:pPr>
          </w:p>
        </w:tc>
      </w:tr>
      <w:tr w:rsidR="00CF0688" w14:paraId="3658E900" w14:textId="77777777">
        <w:trPr>
          <w:trHeight w:val="267"/>
        </w:trPr>
        <w:tc>
          <w:tcPr>
            <w:tcW w:w="363" w:type="dxa"/>
          </w:tcPr>
          <w:p w14:paraId="0AC95AB6" w14:textId="77777777" w:rsidR="00CF0688" w:rsidRDefault="00CF0688">
            <w:pPr>
              <w:pStyle w:val="BodyText3"/>
              <w:widowControl w:val="0"/>
              <w:spacing w:line="276" w:lineRule="auto"/>
              <w:rPr>
                <w:rFonts w:ascii="Franklin Gothic Medium" w:hAnsi="Franklin Gothic Medium"/>
                <w:b/>
                <w:bCs/>
                <w:sz w:val="24"/>
                <w:szCs w:val="24"/>
              </w:rPr>
            </w:pPr>
          </w:p>
        </w:tc>
        <w:tc>
          <w:tcPr>
            <w:tcW w:w="4825" w:type="dxa"/>
            <w:gridSpan w:val="2"/>
          </w:tcPr>
          <w:p w14:paraId="69A9A6F2" w14:textId="77777777" w:rsidR="00CF0688" w:rsidRDefault="00CF0688">
            <w:pPr>
              <w:pStyle w:val="BodyText3"/>
              <w:widowControl w:val="0"/>
              <w:spacing w:line="276" w:lineRule="auto"/>
              <w:rPr>
                <w:rFonts w:ascii="Franklin Gothic Medium" w:hAnsi="Franklin Gothic Medium"/>
                <w:b/>
                <w:bCs/>
                <w:sz w:val="24"/>
                <w:szCs w:val="24"/>
              </w:rPr>
            </w:pPr>
          </w:p>
        </w:tc>
        <w:tc>
          <w:tcPr>
            <w:tcW w:w="1590" w:type="dxa"/>
          </w:tcPr>
          <w:p w14:paraId="2C767FE9" w14:textId="77777777" w:rsidR="00CF0688" w:rsidRDefault="00CF0688">
            <w:pPr>
              <w:pStyle w:val="BodyText3"/>
              <w:widowControl w:val="0"/>
              <w:spacing w:line="276" w:lineRule="auto"/>
              <w:jc w:val="center"/>
              <w:rPr>
                <w:rFonts w:ascii="Franklin Gothic Medium" w:hAnsi="Franklin Gothic Medium"/>
                <w:b/>
                <w:sz w:val="24"/>
                <w:szCs w:val="24"/>
              </w:rPr>
            </w:pPr>
          </w:p>
        </w:tc>
        <w:tc>
          <w:tcPr>
            <w:tcW w:w="3433" w:type="dxa"/>
            <w:gridSpan w:val="2"/>
          </w:tcPr>
          <w:p w14:paraId="5915D9FF" w14:textId="77777777" w:rsidR="00CF0688" w:rsidRDefault="00CF0688">
            <w:pPr>
              <w:pStyle w:val="BodyText3"/>
              <w:widowControl w:val="0"/>
              <w:spacing w:line="276" w:lineRule="auto"/>
              <w:jc w:val="center"/>
              <w:rPr>
                <w:rFonts w:ascii="Franklin Gothic Medium" w:hAnsi="Franklin Gothic Medium"/>
                <w:b/>
                <w:sz w:val="24"/>
                <w:szCs w:val="24"/>
              </w:rPr>
            </w:pPr>
          </w:p>
        </w:tc>
      </w:tr>
    </w:tbl>
    <w:p w14:paraId="0BEF64EB" w14:textId="77777777" w:rsidR="00CF0688" w:rsidRDefault="00CF0688">
      <w:pPr>
        <w:pStyle w:val="BodyTextIndent"/>
        <w:spacing w:line="276" w:lineRule="auto"/>
        <w:ind w:left="0"/>
        <w:jc w:val="both"/>
        <w:rPr>
          <w:rFonts w:ascii="Franklin Gothic Medium" w:hAnsi="Franklin Gothic Medium" w:cs="Arial"/>
        </w:rPr>
      </w:pPr>
    </w:p>
    <w:sectPr w:rsidR="00CF0688">
      <w:pgSz w:w="11906" w:h="16838"/>
      <w:pgMar w:top="851" w:right="1106" w:bottom="1440" w:left="993"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688"/>
    <w:rsid w:val="00425E76"/>
    <w:rsid w:val="004F5269"/>
    <w:rsid w:val="005D031B"/>
    <w:rsid w:val="00610710"/>
    <w:rsid w:val="006E2E77"/>
    <w:rsid w:val="00B63334"/>
    <w:rsid w:val="00CF0688"/>
    <w:rsid w:val="00FE2D8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59E7E"/>
  <w15:docId w15:val="{047C9FB7-6C49-406C-B3BC-D97FA686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284"/>
    <w:rPr>
      <w:sz w:val="24"/>
      <w:szCs w:val="24"/>
      <w:lang w:eastAsia="el-GR"/>
    </w:rPr>
  </w:style>
  <w:style w:type="paragraph" w:styleId="Heading1">
    <w:name w:val="heading 1"/>
    <w:basedOn w:val="Normal"/>
    <w:next w:val="Normal"/>
    <w:qFormat/>
    <w:rsid w:val="00942284"/>
    <w:pPr>
      <w:keepNext/>
      <w:jc w:val="both"/>
      <w:outlineLvl w:val="0"/>
    </w:pPr>
    <w:rPr>
      <w:rFonts w:ascii="Arial" w:eastAsia="Arial Unicode MS" w:hAnsi="Arial" w:cs="Arial"/>
      <w:b/>
      <w:bCs/>
      <w:sz w:val="22"/>
    </w:rPr>
  </w:style>
  <w:style w:type="paragraph" w:styleId="Heading3">
    <w:name w:val="heading 3"/>
    <w:basedOn w:val="Normal"/>
    <w:next w:val="Normal"/>
    <w:qFormat/>
    <w:rsid w:val="00942284"/>
    <w:pPr>
      <w:keepNext/>
      <w:outlineLvl w:val="2"/>
    </w:pPr>
    <w:rPr>
      <w:rFonts w:ascii="Arial" w:eastAsia="Arial Unicode MS" w:hAnsi="Arial" w:cs="Arial"/>
      <w:b/>
      <w:bCs/>
      <w:sz w:val="20"/>
    </w:rPr>
  </w:style>
  <w:style w:type="paragraph" w:styleId="Heading8">
    <w:name w:val="heading 8"/>
    <w:basedOn w:val="Normal"/>
    <w:next w:val="Normal"/>
    <w:link w:val="Heading8Char"/>
    <w:uiPriority w:val="9"/>
    <w:unhideWhenUsed/>
    <w:qFormat/>
    <w:rsid w:val="009E59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42284"/>
    <w:rPr>
      <w:color w:val="0000FF"/>
      <w:u w:val="single"/>
    </w:rPr>
  </w:style>
  <w:style w:type="character" w:customStyle="1" w:styleId="BodyTextChar">
    <w:name w:val="Body Text Char"/>
    <w:basedOn w:val="DefaultParagraphFont"/>
    <w:link w:val="BodyText"/>
    <w:uiPriority w:val="99"/>
    <w:qFormat/>
    <w:rsid w:val="009352AE"/>
    <w:rPr>
      <w:rFonts w:ascii="Arial" w:hAnsi="Arial" w:cs="Arial"/>
      <w:sz w:val="24"/>
      <w:szCs w:val="24"/>
      <w:lang w:val="es-ES" w:eastAsia="el-GR" w:bidi="ar-SA"/>
    </w:rPr>
  </w:style>
  <w:style w:type="character" w:styleId="PlaceholderText">
    <w:name w:val="Placeholder Text"/>
    <w:basedOn w:val="DefaultParagraphFont"/>
    <w:uiPriority w:val="99"/>
    <w:semiHidden/>
    <w:qFormat/>
    <w:rsid w:val="00671BD0"/>
    <w:rPr>
      <w:color w:val="808080"/>
    </w:rPr>
  </w:style>
  <w:style w:type="character" w:customStyle="1" w:styleId="Style1">
    <w:name w:val="Style1"/>
    <w:basedOn w:val="DefaultParagraphFont"/>
    <w:uiPriority w:val="1"/>
    <w:qFormat/>
    <w:rsid w:val="00671BD0"/>
    <w:rPr>
      <w:rFonts w:ascii="Comic Sans MS" w:hAnsi="Comic Sans MS"/>
      <w:sz w:val="22"/>
    </w:rPr>
  </w:style>
  <w:style w:type="character" w:customStyle="1" w:styleId="ListParagraphChar">
    <w:name w:val="List Paragraph Char"/>
    <w:basedOn w:val="DefaultParagraphFont"/>
    <w:link w:val="ListParagraph"/>
    <w:uiPriority w:val="34"/>
    <w:qFormat/>
    <w:rsid w:val="000F7BA1"/>
    <w:rPr>
      <w:rFonts w:ascii="Calibri" w:hAnsi="Calibri"/>
      <w:sz w:val="22"/>
      <w:szCs w:val="22"/>
    </w:rPr>
  </w:style>
  <w:style w:type="character" w:styleId="CommentReference">
    <w:name w:val="annotation reference"/>
    <w:basedOn w:val="DefaultParagraphFont"/>
    <w:uiPriority w:val="99"/>
    <w:semiHidden/>
    <w:unhideWhenUsed/>
    <w:qFormat/>
    <w:rsid w:val="00E17D4B"/>
    <w:rPr>
      <w:sz w:val="16"/>
      <w:szCs w:val="16"/>
    </w:rPr>
  </w:style>
  <w:style w:type="character" w:customStyle="1" w:styleId="CommentTextChar">
    <w:name w:val="Comment Text Char"/>
    <w:basedOn w:val="DefaultParagraphFont"/>
    <w:link w:val="CommentText"/>
    <w:uiPriority w:val="99"/>
    <w:semiHidden/>
    <w:qFormat/>
    <w:rsid w:val="00E17D4B"/>
    <w:rPr>
      <w:lang w:val="es-ES" w:eastAsia="el-GR"/>
    </w:rPr>
  </w:style>
  <w:style w:type="character" w:customStyle="1" w:styleId="CommentSubjectChar">
    <w:name w:val="Comment Subject Char"/>
    <w:basedOn w:val="CommentTextChar"/>
    <w:link w:val="CommentSubject"/>
    <w:uiPriority w:val="99"/>
    <w:semiHidden/>
    <w:qFormat/>
    <w:rsid w:val="00E17D4B"/>
    <w:rPr>
      <w:b/>
      <w:bCs/>
      <w:lang w:val="es-ES" w:eastAsia="el-GR"/>
    </w:rPr>
  </w:style>
  <w:style w:type="character" w:customStyle="1" w:styleId="BodyTextIndent2Char">
    <w:name w:val="Body Text Indent 2 Char"/>
    <w:qFormat/>
    <w:rsid w:val="00334B2A"/>
    <w:rPr>
      <w:sz w:val="24"/>
      <w:szCs w:val="24"/>
    </w:rPr>
  </w:style>
  <w:style w:type="character" w:customStyle="1" w:styleId="Char">
    <w:name w:val="Απλό κείμενο Char"/>
    <w:basedOn w:val="DefaultParagraphFont"/>
    <w:uiPriority w:val="99"/>
    <w:semiHidden/>
    <w:qFormat/>
    <w:rsid w:val="003D1F0F"/>
    <w:rPr>
      <w:rFonts w:ascii="Consolas" w:hAnsi="Consolas"/>
      <w:sz w:val="21"/>
      <w:szCs w:val="21"/>
      <w:lang w:val="es-ES" w:eastAsia="el-GR"/>
    </w:rPr>
  </w:style>
  <w:style w:type="character" w:customStyle="1" w:styleId="PlainTextChar">
    <w:name w:val="Plain Text Char"/>
    <w:link w:val="PlainText"/>
    <w:qFormat/>
    <w:rsid w:val="003D1F0F"/>
    <w:rPr>
      <w:rFonts w:ascii="Courier New" w:hAnsi="Courier New"/>
      <w:lang w:val="es-ES" w:eastAsia="el-GR"/>
    </w:rPr>
  </w:style>
  <w:style w:type="character" w:customStyle="1" w:styleId="UnresolvedMention1">
    <w:name w:val="Unresolved Mention1"/>
    <w:basedOn w:val="DefaultParagraphFont"/>
    <w:uiPriority w:val="99"/>
    <w:semiHidden/>
    <w:unhideWhenUsed/>
    <w:qFormat/>
    <w:rsid w:val="00EF7090"/>
    <w:rPr>
      <w:color w:val="605E5C"/>
      <w:shd w:val="clear" w:color="auto" w:fill="E1DFDD"/>
    </w:rPr>
  </w:style>
  <w:style w:type="character" w:customStyle="1" w:styleId="Heading8Char">
    <w:name w:val="Heading 8 Char"/>
    <w:basedOn w:val="DefaultParagraphFont"/>
    <w:link w:val="Heading8"/>
    <w:uiPriority w:val="9"/>
    <w:qFormat/>
    <w:rsid w:val="009E59BD"/>
    <w:rPr>
      <w:rFonts w:asciiTheme="majorHAnsi" w:eastAsiaTheme="majorEastAsia" w:hAnsiTheme="majorHAnsi" w:cstheme="majorBidi"/>
      <w:color w:val="272727" w:themeColor="text1" w:themeTint="D8"/>
      <w:sz w:val="21"/>
      <w:szCs w:val="21"/>
      <w:lang w:val="es-ES" w:eastAsia="el-GR"/>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rsid w:val="00942284"/>
    <w:pPr>
      <w:jc w:val="both"/>
    </w:pPr>
    <w:rPr>
      <w:rFonts w:ascii="Arial" w:hAnsi="Arial" w:cs="Arial"/>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Indent2">
    <w:name w:val="Body Text Indent 2"/>
    <w:basedOn w:val="Normal"/>
    <w:qFormat/>
    <w:rsid w:val="00A44D8E"/>
    <w:pPr>
      <w:ind w:firstLine="720"/>
      <w:jc w:val="both"/>
    </w:pPr>
    <w:rPr>
      <w:rFonts w:ascii="Comic Sans MS" w:hAnsi="Comic Sans MS" w:cs="Arial"/>
      <w:sz w:val="22"/>
      <w:szCs w:val="22"/>
    </w:rPr>
  </w:style>
  <w:style w:type="paragraph" w:styleId="BodyText3">
    <w:name w:val="Body Text 3"/>
    <w:basedOn w:val="Normal"/>
    <w:qFormat/>
    <w:rsid w:val="00942284"/>
    <w:pPr>
      <w:jc w:val="both"/>
    </w:pPr>
    <w:rPr>
      <w:rFonts w:ascii="Arial" w:hAnsi="Arial" w:cs="Arial"/>
      <w:sz w:val="20"/>
      <w:szCs w:val="22"/>
    </w:rPr>
  </w:style>
  <w:style w:type="paragraph" w:styleId="ListParagraph">
    <w:name w:val="List Paragraph"/>
    <w:basedOn w:val="Normal"/>
    <w:link w:val="ListParagraphChar"/>
    <w:uiPriority w:val="34"/>
    <w:qFormat/>
    <w:rsid w:val="001D3516"/>
    <w:pPr>
      <w:spacing w:after="200" w:line="276" w:lineRule="auto"/>
      <w:ind w:left="720"/>
    </w:pPr>
    <w:rPr>
      <w:rFonts w:ascii="Calibri" w:hAnsi="Calibri"/>
      <w:sz w:val="22"/>
      <w:szCs w:val="22"/>
      <w:lang w:eastAsia="en-US"/>
    </w:rPr>
  </w:style>
  <w:style w:type="paragraph" w:styleId="BodyTextIndent">
    <w:name w:val="Body Text Indent"/>
    <w:basedOn w:val="Normal"/>
    <w:rsid w:val="0007142E"/>
    <w:pPr>
      <w:spacing w:after="120"/>
      <w:ind w:left="283"/>
    </w:pPr>
  </w:style>
  <w:style w:type="paragraph" w:styleId="BodyText2">
    <w:name w:val="Body Text 2"/>
    <w:basedOn w:val="Normal"/>
    <w:qFormat/>
    <w:rsid w:val="00BD5E82"/>
    <w:pPr>
      <w:spacing w:after="120" w:line="480" w:lineRule="auto"/>
    </w:pPr>
  </w:style>
  <w:style w:type="paragraph" w:styleId="BalloonText">
    <w:name w:val="Balloon Text"/>
    <w:basedOn w:val="Normal"/>
    <w:semiHidden/>
    <w:qFormat/>
    <w:rsid w:val="002B174B"/>
    <w:rPr>
      <w:rFonts w:ascii="Tahoma" w:hAnsi="Tahoma" w:cs="Tahoma"/>
      <w:sz w:val="16"/>
      <w:szCs w:val="16"/>
    </w:rPr>
  </w:style>
  <w:style w:type="paragraph" w:customStyle="1" w:styleId="Standard">
    <w:name w:val="Standard"/>
    <w:qFormat/>
    <w:rsid w:val="009904FD"/>
    <w:pPr>
      <w:textAlignment w:val="baseline"/>
    </w:pPr>
    <w:rPr>
      <w:kern w:val="2"/>
      <w:sz w:val="24"/>
      <w:szCs w:val="24"/>
      <w:lang w:eastAsia="zh-CN"/>
    </w:rPr>
  </w:style>
  <w:style w:type="paragraph" w:styleId="CommentText">
    <w:name w:val="annotation text"/>
    <w:basedOn w:val="Normal"/>
    <w:link w:val="CommentTextChar"/>
    <w:uiPriority w:val="99"/>
    <w:semiHidden/>
    <w:unhideWhenUsed/>
    <w:qFormat/>
    <w:rsid w:val="00E17D4B"/>
    <w:rPr>
      <w:sz w:val="20"/>
      <w:szCs w:val="20"/>
    </w:rPr>
  </w:style>
  <w:style w:type="paragraph" w:styleId="CommentSubject">
    <w:name w:val="annotation subject"/>
    <w:basedOn w:val="CommentText"/>
    <w:next w:val="CommentText"/>
    <w:link w:val="CommentSubjectChar"/>
    <w:uiPriority w:val="99"/>
    <w:semiHidden/>
    <w:unhideWhenUsed/>
    <w:qFormat/>
    <w:rsid w:val="00E17D4B"/>
    <w:rPr>
      <w:b/>
      <w:bCs/>
    </w:rPr>
  </w:style>
  <w:style w:type="paragraph" w:styleId="PlainText">
    <w:name w:val="Plain Text"/>
    <w:basedOn w:val="Normal"/>
    <w:link w:val="PlainTextChar"/>
    <w:qFormat/>
    <w:rsid w:val="003D1F0F"/>
    <w:rPr>
      <w:rFonts w:ascii="Courier New" w:hAnsi="Courier New"/>
      <w:sz w:val="20"/>
      <w:szCs w:val="20"/>
    </w:rPr>
  </w:style>
  <w:style w:type="paragraph" w:customStyle="1" w:styleId="-HTML1">
    <w:name w:val="Προ-διαμορφωμένο HTML1"/>
    <w:basedOn w:val="Normal"/>
    <w:qFormat/>
    <w:rsid w:val="009E5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paragraph" w:customStyle="1" w:styleId="ListParagraph1">
    <w:name w:val="List Paragraph1"/>
    <w:basedOn w:val="Normal"/>
    <w:qFormat/>
    <w:rsid w:val="009E59BD"/>
    <w:pPr>
      <w:ind w:left="720"/>
    </w:pPr>
    <w:rPr>
      <w:lang w:eastAsia="zh-CN"/>
    </w:rPr>
  </w:style>
  <w:style w:type="paragraph" w:customStyle="1" w:styleId="FrameContents">
    <w:name w:val="Frame Contents"/>
    <w:basedOn w:val="Normal"/>
    <w:qFormat/>
  </w:style>
  <w:style w:type="table" w:styleId="TableGrid">
    <w:name w:val="Table Grid"/>
    <w:basedOn w:val="TableNormal"/>
    <w:rsid w:val="009422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1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axs@aade.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CF9F-29E7-43B7-93BC-45FF26F69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1610</Words>
  <Characters>9181</Characters>
  <Application>Microsoft Office Word</Application>
  <DocSecurity>0</DocSecurity>
  <Lines>76</Lines>
  <Paragraphs>21</Paragraphs>
  <ScaleCrop>false</ScaleCrop>
  <Company>GXK</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dc:description/>
  <cp:lastModifiedBy>Liana Brili</cp:lastModifiedBy>
  <cp:revision>9</cp:revision>
  <cp:lastPrinted>2022-10-17T05:05:00Z</cp:lastPrinted>
  <dcterms:created xsi:type="dcterms:W3CDTF">2022-10-17T05:13:00Z</dcterms:created>
  <dcterms:modified xsi:type="dcterms:W3CDTF">2022-11-03T08:20:00Z</dcterms:modified>
  <dc:language>en-US</dc:language>
</cp:coreProperties>
</file>