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447B" w14:textId="77777777" w:rsidR="009F4B3F" w:rsidRPr="00377668" w:rsidRDefault="009F4B3F" w:rsidP="00406F2F">
      <w:pPr>
        <w:pStyle w:val="11Titel"/>
      </w:pPr>
      <w:r>
        <w:t xml:space="preserve">Pravilnik Saveznog ministra socijalne skrbi, zdravstva, skrbi i zaštite potrošača o obvezi pružanja informacija o podrijetlu mesa, mlijeka i jaja duž lanca opskrbe hranom </w:t>
      </w:r>
    </w:p>
    <w:p w14:paraId="405F10E7" w14:textId="77777777" w:rsidR="009F4B3F" w:rsidRPr="00377668" w:rsidRDefault="009F4B3F" w:rsidP="00292EF1">
      <w:pPr>
        <w:pStyle w:val="12PromKlEinlSatz"/>
      </w:pPr>
      <w:r>
        <w:t>Na temelju članka 4. stavka 3. i članka 6. stavaka 1. i 2. Zakona o sigurnosti hrane i zaštiti potrošača – LMSVG, Savezni službeni list I br. 13/2006, kako je zadnje izmijenjen Saveznim zakonom objavljenim u Saveznom službenom listu I br. 104/2019, ovime se u dogovoru sa saveznim ministrom za digitalne i gospodarske poslove određuje sljedeće:</w:t>
      </w:r>
    </w:p>
    <w:p w14:paraId="1A184F2D" w14:textId="77777777" w:rsidR="009F4B3F" w:rsidRPr="00377668" w:rsidRDefault="00406F2F" w:rsidP="00292EF1">
      <w:pPr>
        <w:pStyle w:val="45UeberschrPara"/>
      </w:pPr>
      <w:r>
        <w:t>Predmet</w:t>
      </w:r>
    </w:p>
    <w:p w14:paraId="31A24259" w14:textId="77777777" w:rsidR="009F4B3F" w:rsidRPr="00377668" w:rsidRDefault="009F4B3F" w:rsidP="00430649">
      <w:pPr>
        <w:pStyle w:val="51Abs"/>
      </w:pPr>
      <w:r>
        <w:rPr>
          <w:rStyle w:val="991GldSymbol"/>
        </w:rPr>
        <w:t>Članak 1.</w:t>
      </w:r>
      <w:r>
        <w:t xml:space="preserve"> Svrha je ovog Pravilnika obveza pružanja informacija o podrijetlu mesa, mlijeka i jaja duž lanca opskrbe hranom.</w:t>
      </w:r>
    </w:p>
    <w:p w14:paraId="38D8115F" w14:textId="77777777" w:rsidR="003F0718" w:rsidRPr="00377668" w:rsidRDefault="003F0718" w:rsidP="00430649">
      <w:pPr>
        <w:pStyle w:val="45UeberschrPara"/>
      </w:pPr>
      <w:r>
        <w:t>Područje primjene</w:t>
      </w:r>
    </w:p>
    <w:p w14:paraId="541F3676" w14:textId="77777777" w:rsidR="009F4B3F" w:rsidRPr="00377668" w:rsidRDefault="009F4B3F" w:rsidP="003F0718">
      <w:pPr>
        <w:pStyle w:val="51Abs"/>
      </w:pPr>
      <w:r>
        <w:rPr>
          <w:rStyle w:val="991GldSymbol"/>
        </w:rPr>
        <w:t>Članak 2.</w:t>
      </w:r>
      <w:r>
        <w:t xml:space="preserve"> Ovaj se Pravilnik primjenjuje na domaće</w:t>
      </w:r>
    </w:p>
    <w:p w14:paraId="4C793B9C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 xml:space="preserve">klaonice i </w:t>
      </w:r>
      <w:proofErr w:type="spellStart"/>
      <w:r>
        <w:t>rasjekavaonice</w:t>
      </w:r>
      <w:proofErr w:type="spellEnd"/>
      <w:r>
        <w:t>,</w:t>
      </w:r>
    </w:p>
    <w:p w14:paraId="61F0BB58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mljekare i</w:t>
      </w:r>
    </w:p>
    <w:p w14:paraId="6B4FF97B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postrojenja za proizvodnju jaja.</w:t>
      </w:r>
    </w:p>
    <w:p w14:paraId="7622CDB4" w14:textId="77777777" w:rsidR="009F4B3F" w:rsidRPr="00377668" w:rsidRDefault="00FA095C" w:rsidP="003F0718">
      <w:pPr>
        <w:pStyle w:val="51Abs"/>
      </w:pPr>
      <w:r>
        <w:t>koji druga poduzeća u poslovanju s hranom opskrbljuju prehrambenim proizvodima koji nisu namijenjeni za distribuciju krajnjim potrošačima.</w:t>
      </w:r>
    </w:p>
    <w:p w14:paraId="303A737E" w14:textId="77777777" w:rsidR="009F4B3F" w:rsidRPr="00377668" w:rsidRDefault="009F4B3F" w:rsidP="00292EF1">
      <w:pPr>
        <w:pStyle w:val="45UeberschrPara"/>
      </w:pPr>
      <w:r>
        <w:t>Definicije</w:t>
      </w:r>
    </w:p>
    <w:p w14:paraId="4D6D816A" w14:textId="77777777" w:rsidR="009F4B3F" w:rsidRPr="00377668" w:rsidRDefault="009F4B3F" w:rsidP="00292EF1">
      <w:pPr>
        <w:pStyle w:val="51Abs"/>
      </w:pPr>
      <w:r>
        <w:rPr>
          <w:rStyle w:val="991GldSymbol"/>
        </w:rPr>
        <w:t>§ 3.</w:t>
      </w:r>
      <w:r>
        <w:t xml:space="preserve"> Za potrebe ovog Pravilnika,</w:t>
      </w:r>
    </w:p>
    <w:p w14:paraId="7D0A94C6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„mljekare”: poduzeća u poslovanju s hranom koja proizvode ili obrađuju mlijeko ili mliječne proizvode;</w:t>
      </w:r>
    </w:p>
    <w:p w14:paraId="19FA64E5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„mliječni proizvodi”: konzumno mlijeko, maslac, kiselo vrhnje, skuta, prirodni jogurt, vrhnje za šlag i mekani sir;</w:t>
      </w:r>
    </w:p>
    <w:p w14:paraId="35FD6D80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„postrojenja za proizvodnju jaja”: poduzeća u poslovanju s hranom koja proizvode ili obrađuju jaja, tekuća jaja, tekuće žumanjke, tekuće bjelanjke ili jaja u prahu.</w:t>
      </w:r>
    </w:p>
    <w:p w14:paraId="565E85D7" w14:textId="77777777" w:rsidR="009F4B3F" w:rsidRPr="00377668" w:rsidRDefault="009F4B3F" w:rsidP="000C31E5">
      <w:pPr>
        <w:pStyle w:val="45UeberschrPara"/>
      </w:pPr>
      <w:r>
        <w:t>Pružanje informacija</w:t>
      </w:r>
    </w:p>
    <w:p w14:paraId="034167BE" w14:textId="77777777" w:rsidR="009F4B3F" w:rsidRPr="00377668" w:rsidRDefault="009F4B3F" w:rsidP="00292EF1">
      <w:pPr>
        <w:pStyle w:val="51Abs"/>
      </w:pPr>
      <w:r>
        <w:rPr>
          <w:rStyle w:val="991GldSymbol"/>
        </w:rPr>
        <w:t>Članak 4.</w:t>
      </w:r>
      <w:r>
        <w:t xml:space="preserve"> (1) Klaonice i </w:t>
      </w:r>
      <w:proofErr w:type="spellStart"/>
      <w:r>
        <w:t>rasjekavaonice</w:t>
      </w:r>
      <w:proofErr w:type="spellEnd"/>
      <w:r>
        <w:t xml:space="preserve"> u slučaju mesa svinja, ovaca, koza i peradi namijenjenih daljnjoj preradi, u komercijalnim dokumentima koji se odnose na hranu navode zemlju podrijetla iz članka 5. Provedbene uredbe (EU) br. 1337/2013 u pogledu navođenja zemlje podrijetla ili mjesta podrijetla za svježe, rashlađeno ili smrznuto svinjsko, ovčje i kozje meso te meso peradi, SL L 335, 14. 12. 2013., str. 19., kako je ispravljeno u SL L 95, 29.3.2014., str. 70.</w:t>
      </w:r>
    </w:p>
    <w:p w14:paraId="7F35A74E" w14:textId="77777777" w:rsidR="009F4B3F" w:rsidRPr="00377668" w:rsidRDefault="009F4B3F" w:rsidP="00292EF1">
      <w:pPr>
        <w:pStyle w:val="51Abs"/>
      </w:pPr>
      <w:r>
        <w:t xml:space="preserve">(2) Mljekare u slučaju mlijeka ili mliječnih proizvoda kako je definirano u članku 3. točki 2., navode zemlju podrijetla (naziv zemlje u kojoj je životinja </w:t>
      </w:r>
      <w:proofErr w:type="spellStart"/>
      <w:r>
        <w:t>mužena</w:t>
      </w:r>
      <w:proofErr w:type="spellEnd"/>
      <w:r>
        <w:t>) u komercijalnim ispravama koje se odnose na hranu.</w:t>
      </w:r>
    </w:p>
    <w:p w14:paraId="48605FE3" w14:textId="77777777" w:rsidR="009F4B3F" w:rsidRPr="00377668" w:rsidRDefault="009F4B3F" w:rsidP="00292EF1">
      <w:pPr>
        <w:pStyle w:val="51Abs"/>
      </w:pPr>
      <w:r>
        <w:t>(3) Postrojenja za proizvodnju jaja, u slučaju jaja, tekućih jaja, tekućeg žumanjka, tekućeg bjelanjka i jaja u prahu navode zemlju podrijetla (naziv zemlje u kojoj je jaje položeno) u komercijalnim ispravama koje se odnose na hranu.</w:t>
      </w:r>
    </w:p>
    <w:p w14:paraId="344B5E4F" w14:textId="77777777" w:rsidR="009F4B3F" w:rsidRPr="00377668" w:rsidRDefault="00504F11" w:rsidP="00261365">
      <w:pPr>
        <w:pStyle w:val="51Abs"/>
      </w:pPr>
      <w:r>
        <w:t>(4) Navođenje zemlje podrijetla u skladu sa stavcima od 1. do 3. provodi se u skladu sa člankom 2. Provedbene uredbe Komisije (EU) 2018/775 o utvrđivanju pravila za primjenu članka 26. stavka 3. Uredbe (EU) br. 1169/2011 Europskog parlamenta i Vijeća o informiranju potrošača o hrani u pogledu pravila o navođenja zemlje podrijetla ili mjesta podrijetla glavnog sastojka hrane, SL L 131, 29.5.2018., str. 8.</w:t>
      </w:r>
    </w:p>
    <w:p w14:paraId="4A6DC42E" w14:textId="77777777" w:rsidR="009F4B3F" w:rsidRPr="00377668" w:rsidRDefault="00FC31C7" w:rsidP="00292EF1">
      <w:pPr>
        <w:pStyle w:val="45UeberschrPara"/>
      </w:pPr>
      <w:r>
        <w:t>Dokumentacija</w:t>
      </w:r>
    </w:p>
    <w:p w14:paraId="700BFD7D" w14:textId="77777777" w:rsidR="009F4B3F" w:rsidRPr="00377668" w:rsidRDefault="009F4B3F" w:rsidP="00292EF1">
      <w:pPr>
        <w:pStyle w:val="51Abs"/>
      </w:pPr>
      <w:r>
        <w:rPr>
          <w:rStyle w:val="991GldSymbol"/>
        </w:rPr>
        <w:t>Članak 5.</w:t>
      </w:r>
      <w:r>
        <w:t xml:space="preserve"> (1) Subjekti u poslovanju s hranom iz stavka 2. moraju imati odgovarajuću dokumentaciju, sustave ili postupke za dokazivanje zemlje podrijetla nadležnom tijelu (provincijski guverner u skladu s člankom 24. LMSVG-a).</w:t>
      </w:r>
    </w:p>
    <w:p w14:paraId="17088A04" w14:textId="77777777" w:rsidR="008D3683" w:rsidRPr="00377668" w:rsidRDefault="008D3683" w:rsidP="008D3683">
      <w:pPr>
        <w:pStyle w:val="51Abs"/>
      </w:pPr>
      <w:r>
        <w:t>(2) Sudjelovanje u pravno priznatim sustavima podrijetla smatra se dokazom u skladu sa stavkom 1.</w:t>
      </w:r>
    </w:p>
    <w:p w14:paraId="3DA37A9E" w14:textId="77777777" w:rsidR="009F4B3F" w:rsidRPr="00377668" w:rsidRDefault="009F4B3F" w:rsidP="00292EF1">
      <w:pPr>
        <w:pStyle w:val="45UeberschrPara"/>
      </w:pPr>
      <w:r>
        <w:t>Stupanje na snagu</w:t>
      </w:r>
    </w:p>
    <w:p w14:paraId="43A3DDF5" w14:textId="77777777" w:rsidR="009F4B3F" w:rsidRPr="00377668" w:rsidRDefault="009F4B3F" w:rsidP="00292EF1">
      <w:pPr>
        <w:pStyle w:val="51Abs"/>
      </w:pPr>
      <w:r>
        <w:rPr>
          <w:rStyle w:val="991GldSymbol"/>
        </w:rPr>
        <w:t>Stavak 6.</w:t>
      </w:r>
      <w:r>
        <w:t xml:space="preserve"> Ovaj Pravilnik stupa na snagu šest mjeseci nakon prvog mjeseca koji slijedi nakon objave u Saveznom službenom listu.</w:t>
      </w:r>
    </w:p>
    <w:p w14:paraId="0086E2B0" w14:textId="77777777" w:rsidR="00AF5F64" w:rsidRPr="00377668" w:rsidRDefault="00AF5F64" w:rsidP="00AF5F64">
      <w:pPr>
        <w:pStyle w:val="45UeberschrPara"/>
      </w:pPr>
      <w:r>
        <w:lastRenderedPageBreak/>
        <w:t>Završne odredbe</w:t>
      </w:r>
    </w:p>
    <w:p w14:paraId="51B335E1" w14:textId="77777777" w:rsidR="00AF5F64" w:rsidRPr="00377668" w:rsidRDefault="00EA0B4C" w:rsidP="00EA0B4C">
      <w:pPr>
        <w:pStyle w:val="51Abs"/>
      </w:pPr>
      <w:r>
        <w:rPr>
          <w:rStyle w:val="991GldSymbol"/>
        </w:rPr>
        <w:t>Odjeljak 7.</w:t>
      </w:r>
      <w:r>
        <w:t xml:space="preserve"> Ovaj je Pravilnik priopćen u skladu s odredbama Direktive (EU) 2015/1535 o utvrđivanju postupka pružanja informacija u području tehničkih propisa, SL L 241, 17.9.2015., str. 1.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F6D1" w14:textId="77777777" w:rsidR="000F0225" w:rsidRDefault="000F0225" w:rsidP="00E60B7C">
      <w:r>
        <w:separator/>
      </w:r>
    </w:p>
    <w:p w14:paraId="0AFDA5CB" w14:textId="77777777" w:rsidR="000F0225" w:rsidRDefault="000F0225"/>
  </w:endnote>
  <w:endnote w:type="continuationSeparator" w:id="0">
    <w:p w14:paraId="5DB61EDF" w14:textId="77777777" w:rsidR="000F0225" w:rsidRDefault="000F0225" w:rsidP="00E60B7C">
      <w:r>
        <w:continuationSeparator/>
      </w:r>
    </w:p>
    <w:p w14:paraId="2ECB3844" w14:textId="77777777" w:rsidR="000F0225" w:rsidRDefault="000F0225"/>
  </w:endnote>
  <w:endnote w:type="continuationNotice" w:id="1">
    <w:p w14:paraId="67DE2E77" w14:textId="77777777" w:rsidR="000F0225" w:rsidRDefault="000F0225"/>
    <w:p w14:paraId="51A97627" w14:textId="77777777" w:rsidR="000F0225" w:rsidRDefault="000F0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5B45" w14:textId="77777777" w:rsidR="00865166" w:rsidRPr="00377668" w:rsidRDefault="00865166" w:rsidP="00E60B7C">
    <w:pPr>
      <w:pStyle w:val="Footer"/>
    </w:pPr>
  </w:p>
  <w:p w14:paraId="6DA93EA1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F9F7" w14:textId="77777777" w:rsidR="00865166" w:rsidRPr="00377668" w:rsidRDefault="00865166" w:rsidP="00BB7740">
    <w:pPr>
      <w:pStyle w:val="63Fuzeile"/>
    </w:pPr>
  </w:p>
  <w:p w14:paraId="0892478F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06B4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E7E7" w14:textId="77777777" w:rsidR="000F0225" w:rsidRDefault="000F0225" w:rsidP="00E60B7C">
      <w:r>
        <w:separator/>
      </w:r>
    </w:p>
    <w:p w14:paraId="5E697E8E" w14:textId="77777777" w:rsidR="000F0225" w:rsidRDefault="000F0225"/>
  </w:footnote>
  <w:footnote w:type="continuationSeparator" w:id="0">
    <w:p w14:paraId="10B83EEE" w14:textId="77777777" w:rsidR="000F0225" w:rsidRDefault="000F0225" w:rsidP="00E60B7C">
      <w:r>
        <w:continuationSeparator/>
      </w:r>
    </w:p>
    <w:p w14:paraId="0752F10E" w14:textId="77777777" w:rsidR="000F0225" w:rsidRDefault="000F0225"/>
  </w:footnote>
  <w:footnote w:type="continuationNotice" w:id="1">
    <w:p w14:paraId="6A64172D" w14:textId="77777777" w:rsidR="000F0225" w:rsidRDefault="000F0225"/>
    <w:p w14:paraId="1CDA02C6" w14:textId="77777777" w:rsidR="000F0225" w:rsidRDefault="000F02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3DCE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od </w:t>
    </w:r>
    <w:r w:rsidR="000F0225">
      <w:fldChar w:fldCharType="begin"/>
    </w:r>
    <w:r w:rsidR="000F0225">
      <w:instrText xml:space="preserve"> NUMPAGES  \* Arabic  \* MERGEFOR</w:instrText>
    </w:r>
    <w:r w:rsidR="000F0225">
      <w:instrText xml:space="preserve">MAT </w:instrText>
    </w:r>
    <w:r w:rsidR="000F0225">
      <w:fldChar w:fldCharType="separate"/>
    </w:r>
    <w:r w:rsidR="00ED4A2E" w:rsidRPr="00377668">
      <w:t>2</w:t>
    </w:r>
    <w:r w:rsidR="000F0225">
      <w:fldChar w:fldCharType="end"/>
    </w:r>
  </w:p>
  <w:p w14:paraId="5C020D22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3F2A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od </w:t>
    </w:r>
    <w:r w:rsidR="000F0225">
      <w:fldChar w:fldCharType="begin"/>
    </w:r>
    <w:r w:rsidR="000F0225">
      <w:instrText xml:space="preserve"> NUMPAGES  \* Arabic  \* MERGEFORMAT </w:instrText>
    </w:r>
    <w:r w:rsidR="000F0225">
      <w:fldChar w:fldCharType="separate"/>
    </w:r>
    <w:r w:rsidR="00AD248D">
      <w:rPr>
        <w:noProof/>
      </w:rPr>
      <w:t>2</w:t>
    </w:r>
    <w:r w:rsidR="000F0225">
      <w:rPr>
        <w:noProof/>
      </w:rPr>
      <w:fldChar w:fldCharType="end"/>
    </w:r>
  </w:p>
  <w:p w14:paraId="1F48EB7A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5D94" w14:textId="77777777" w:rsidR="00865166" w:rsidRPr="00377668" w:rsidRDefault="00865166" w:rsidP="00E60B7C">
    <w:pPr>
      <w:pStyle w:val="62Kopfzeile"/>
    </w:pPr>
    <w:r>
      <w:tab/>
    </w:r>
    <w:r>
      <w:tab/>
      <w:t xml:space="preserve"> </w:t>
    </w:r>
    <w:r>
      <w:t>od</w:t>
    </w:r>
  </w:p>
  <w:p w14:paraId="530EDACB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0F0225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680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84979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CBC98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1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507</Words>
  <Characters>2906</Characters>
  <Application>Microsoft Office Word</Application>
  <DocSecurity>0</DocSecurity>
  <Lines>51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2022-04-04T13:14:00Z</dcterms:created>
  <dcterms:modified xsi:type="dcterms:W3CDTF">2022-04-04T13:14:00Z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