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417729" w:rsidRDefault="00624C2A" w:rsidP="00624C2A">
      <w:pPr>
        <w:spacing w:after="120"/>
        <w:jc w:val="center"/>
        <w:rPr>
          <w:rFonts w:ascii="Courier New" w:hAnsi="Courier New"/>
          <w:sz w:val="20"/>
          <w:szCs w:val="20"/>
        </w:rPr>
      </w:pPr>
      <w:r w:rsidRPr="00417729">
        <w:rPr>
          <w:rFonts w:ascii="Courier New" w:hAnsi="Courier New"/>
          <w:sz w:val="20"/>
          <w:szCs w:val="20"/>
        </w:rPr>
        <w:t>1. ------IND- 2019 0340 PL- DE- ------ 20190729 --- --- PROJET</w:t>
      </w:r>
    </w:p>
    <w:p w:rsidR="00E4313A" w:rsidRPr="003136B9" w:rsidRDefault="00E4313A" w:rsidP="00624C2A">
      <w:pPr>
        <w:pStyle w:val="OZNPROJEKTUwskazaniedatylubwersjiprojektu"/>
      </w:pPr>
      <w:r>
        <w:t>Entwurf</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GESETZ</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vom</w:t>
      </w:r>
    </w:p>
    <w:p w:rsidR="00E4313A" w:rsidRPr="00C12D18" w:rsidRDefault="00E4313A" w:rsidP="00624C2A">
      <w:pPr>
        <w:pStyle w:val="TYTDZPRZEDMprzedmiotregulacjitytuulubdziau"/>
        <w:keepNext w:val="0"/>
        <w:rPr>
          <w:rStyle w:val="IGindeksgrny"/>
        </w:rPr>
      </w:pPr>
      <w:r>
        <w:rPr>
          <w:rFonts w:ascii="Times New Roman" w:hAnsi="Times New Roman"/>
          <w:bCs/>
          <w:szCs w:val="24"/>
        </w:rPr>
        <w:t>zur Änderung des Gesetzes über die Organisation bestimmter Agrarmärkte und des Gesetzes zur Verhinderung der missbräuchlichen Nutzung von Vertragsvorteilen beim Handel mit landwirtschaftlichen Erzeugnissen und Lebensmitteln</w:t>
      </w:r>
      <w:r w:rsidR="00717F00" w:rsidRPr="009F0C73">
        <w:rPr>
          <w:rStyle w:val="FootnoteReference"/>
          <w:rFonts w:ascii="Times New Roman" w:hAnsi="Times New Roman"/>
          <w:b w:val="0"/>
          <w:bCs/>
          <w:szCs w:val="24"/>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szCs w:val="24"/>
        </w:rPr>
        <w:t>Artikel 1.</w:t>
      </w:r>
      <w:r>
        <w:rPr>
          <w:rFonts w:ascii="Times New Roman" w:hAnsi="Times New Roman"/>
          <w:szCs w:val="24"/>
        </w:rPr>
        <w:t xml:space="preserve"> Das Gesetz vom 11. März 2004 über die Organisation bestimmter Agrarmärkte (polnisches Gesetzblatt von 2018 Pos. 945) wird wie folgt geändert:</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szCs w:val="24"/>
        </w:rPr>
        <w:t>1)</w:t>
      </w:r>
      <w:r>
        <w:rPr>
          <w:rFonts w:ascii="Times New Roman" w:hAnsi="Times New Roman"/>
          <w:szCs w:val="24"/>
        </w:rPr>
        <w:tab/>
        <w:t>in Artikel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szCs w:val="24"/>
        </w:rPr>
        <w:t>a)</w:t>
      </w:r>
      <w:r>
        <w:rPr>
          <w:rFonts w:ascii="Times New Roman" w:hAnsi="Times New Roman"/>
          <w:szCs w:val="24"/>
        </w:rPr>
        <w:tab/>
        <w:t>wird Absatz 1 wie folgt gefasst:</w:t>
      </w:r>
    </w:p>
    <w:p w:rsidR="00FD19C8" w:rsidRDefault="00FD19C8" w:rsidP="00624C2A">
      <w:pPr>
        <w:pStyle w:val="ZLITUSTzmustliter"/>
        <w:rPr>
          <w:rFonts w:ascii="Times New Roman" w:hAnsi="Times New Roman" w:cs="Times New Roman"/>
          <w:szCs w:val="24"/>
        </w:rPr>
      </w:pPr>
      <w:r>
        <w:rPr>
          <w:rFonts w:ascii="Times New Roman" w:hAnsi="Times New Roman"/>
          <w:szCs w:val="24"/>
        </w:rPr>
        <w:t>„1. Für alle Lieferungen von landwirtschaftlichen Erzeugnissen aus den in Artikel 1 Absatz 2 Buchstabe a der Verordnung (EU) Nr. 1308/2013, Buchstabe c dieser Verordnung ausschließlich für Zuckerrüben, Buchstaben f, h, i, n und o dieser Verordnung, Buchstabe p dieser Verordnung ausschließlich für Rohmilch, Buchstaben q, r, s und t dieser Verordnung sowie Buchstabe x dieser Verordnung ausschließlich für Kartoffeln, Raps und Rübsen genannten Sektoren, davon ausgenommen sind Direktlieferungen und der Einzelhandel mit Agrarerzeugnissen im Sinne des Gesetzes vom 25. August 2006 über die Lebensmittel- und Ernährungssicherheit (polnisches Gesetzblatt von 2018 Pos. 1541 in der jeweils geltenden Fassung</w:t>
      </w:r>
      <w:r w:rsidR="006E575F" w:rsidRPr="006E575F">
        <w:rPr>
          <w:rFonts w:ascii="Times New Roman" w:hAnsi="Times New Roman" w:cs="Times New Roman"/>
          <w:szCs w:val="24"/>
          <w:vertAlign w:val="superscript"/>
        </w:rPr>
        <w:footnoteReference w:id="2"/>
      </w:r>
      <w:r>
        <w:rPr>
          <w:rFonts w:ascii="Times New Roman" w:hAnsi="Times New Roman"/>
          <w:szCs w:val="24"/>
          <w:vertAlign w:val="superscript"/>
        </w:rPr>
        <w:t>)</w:t>
      </w:r>
      <w:r>
        <w:rPr>
          <w:rFonts w:ascii="Times New Roman" w:hAnsi="Times New Roman"/>
          <w:szCs w:val="24"/>
        </w:rPr>
        <w:t xml:space="preserve">) und der Direktverkauf im Sinne des Gesetzes vom 16. Dezember 2005 über Erzeugnisse tierischen Ursprungs (polnisches Gesetzblatt von 2019 Pos. 824), durch einen Erzeuger, bei dem es sich um einen Betriebsinhaber im Sinne des Artikels 4 Absatz 1 Buchstabe a der Verordnung (EU) Nr. 1307/2013 des Europäischen Parlaments und des Rates vom 17. Dezember 2013 mit Vorschriften über Direktzahlungen an Inhaber landwirtschaftlicher Betriebe im Rahmen von Stützungsregelungen der </w:t>
      </w:r>
      <w:r>
        <w:rPr>
          <w:rFonts w:ascii="Times New Roman" w:hAnsi="Times New Roman"/>
          <w:szCs w:val="24"/>
        </w:rPr>
        <w:lastRenderedPageBreak/>
        <w:t>Gemeinsamen Agrarpolitik und zur Aufhebung der Verordnung (EG) Nr. 637/2008 des Rates und der Verordnung (EG) Nr. 73/2009 des Rates (Amtsblatt EU L 347 vom 20.12.2013, S. 608 in der jeweils geltenden Fassung</w:t>
      </w:r>
      <w:r w:rsidR="00753937">
        <w:rPr>
          <w:rStyle w:val="FootnoteReference"/>
          <w:rFonts w:ascii="Times New Roman" w:hAnsi="Times New Roman"/>
          <w:szCs w:val="24"/>
        </w:rPr>
        <w:footnoteReference w:id="3"/>
      </w:r>
      <w:r>
        <w:rPr>
          <w:rFonts w:ascii="Times New Roman" w:hAnsi="Times New Roman"/>
          <w:szCs w:val="24"/>
          <w:vertAlign w:val="superscript"/>
        </w:rPr>
        <w:t>)</w:t>
      </w:r>
      <w:r>
        <w:rPr>
          <w:rFonts w:ascii="Times New Roman" w:hAnsi="Times New Roman"/>
          <w:szCs w:val="24"/>
        </w:rPr>
        <w:t>) handelt, dessen Betrieb sich im Hoheitsgebiet der Republik Polen befindet, an einen Erstkäufer, der ein verarbeitender Betrieb oder ein Vertriebsunternehmen ist und diese landwirtschaftlichen Erzeugnisse nicht direkt an den Endverbraucher abgibt (nachfolgend „Vertriebsunternehmen“ genannt) oder der ein Zwischenhändler ist und diese landwirtschaftlichen Erzeugnisse nicht direkt an den Endverbraucher abgibt (nachfolgend „Zwischenhändler“ genannt), muss ein Vertrag über eine oder mehrere Lieferungen geschlossen werden, der den Bedingungen entspricht, die in den folgenden Artikeln genannt sind:</w:t>
      </w:r>
    </w:p>
    <w:p w:rsidR="00BB0015" w:rsidRDefault="00BB0015" w:rsidP="00624C2A">
      <w:pPr>
        <w:pStyle w:val="ZLITPKTzmpktliter"/>
        <w:rPr>
          <w:rFonts w:ascii="Times New Roman" w:hAnsi="Times New Roman" w:cs="Times New Roman"/>
          <w:szCs w:val="24"/>
        </w:rPr>
      </w:pPr>
      <w:r>
        <w:rPr>
          <w:rFonts w:ascii="Times New Roman" w:hAnsi="Times New Roman"/>
          <w:szCs w:val="24"/>
        </w:rPr>
        <w:t>1)</w:t>
      </w:r>
      <w:r>
        <w:rPr>
          <w:rFonts w:ascii="Times New Roman" w:hAnsi="Times New Roman"/>
          <w:szCs w:val="24"/>
        </w:rPr>
        <w:tab/>
        <w:t>Artikel 125 und Anhang X der Verordnung (EU) Nr. 1308/2013 für landwirtschaftliche Erzeugnisse aus dem in Artikel 1 Absatz 2 Buchstabe c der Verordnung (EU) Nr. 1308/2013 genannten Sektor ausschließlich für Zuckerrüben;</w:t>
      </w:r>
    </w:p>
    <w:p w:rsidR="00E4313A" w:rsidRPr="00072863" w:rsidRDefault="00BB0015" w:rsidP="00624C2A">
      <w:pPr>
        <w:pStyle w:val="ZLITPKTzmpktliter"/>
        <w:rPr>
          <w:rFonts w:ascii="Times New Roman" w:hAnsi="Times New Roman" w:cs="Times New Roman"/>
          <w:szCs w:val="24"/>
        </w:rPr>
      </w:pPr>
      <w:r>
        <w:rPr>
          <w:rFonts w:ascii="Times New Roman" w:hAnsi="Times New Roman"/>
          <w:szCs w:val="24"/>
        </w:rPr>
        <w:t>2)</w:t>
      </w:r>
      <w:r>
        <w:rPr>
          <w:rFonts w:ascii="Times New Roman" w:hAnsi="Times New Roman"/>
          <w:szCs w:val="24"/>
        </w:rPr>
        <w:tab/>
        <w:t>Artikel 148 Absatz 2 der Verordnung (EU) Nr. 1308/2013 für landwirtschaftliche Erzeugnisse aus dem in Artikel 1 Absatz 2 Buchstabe p der Verordnung (EU) Nr. 1308/2013 genannten Sektor ausschließlich für Rohmilch;</w:t>
      </w:r>
    </w:p>
    <w:p w:rsidR="00E4313A" w:rsidRPr="00072863" w:rsidRDefault="00BB0015" w:rsidP="00624C2A">
      <w:pPr>
        <w:pStyle w:val="ZLITPKTzmpktliter"/>
        <w:rPr>
          <w:rFonts w:ascii="Times New Roman" w:hAnsi="Times New Roman" w:cs="Times New Roman"/>
          <w:szCs w:val="24"/>
        </w:rPr>
      </w:pPr>
      <w:r>
        <w:rPr>
          <w:rFonts w:ascii="Times New Roman" w:hAnsi="Times New Roman"/>
          <w:szCs w:val="24"/>
        </w:rPr>
        <w:t>3)</w:t>
      </w:r>
      <w:r>
        <w:rPr>
          <w:rFonts w:ascii="Times New Roman" w:hAnsi="Times New Roman"/>
          <w:szCs w:val="24"/>
        </w:rPr>
        <w:tab/>
        <w:t>Artikel 168 Absätze 4 und 6 der Verordnung (EU) Nr. 1308/2013 für landwirtschaftliche Erzeugnisse aus den in Artikel 1 Absatz 2 Buchstaben a, f, h, i, n, o, q, r, s und t der Verordnung (EU) Nr. 1308/2013 und Buchstabe x der Verordnung (EU) Nr. 1308/2013 genannten Sektoren ausschließlich für Kartoffeln, Raps und Rübsen.“,</w:t>
      </w:r>
    </w:p>
    <w:p w:rsidR="00E4313A" w:rsidRPr="00072863" w:rsidRDefault="003B48AC" w:rsidP="00624C2A">
      <w:pPr>
        <w:pStyle w:val="LITlitera"/>
      </w:pPr>
      <w:r>
        <w:t>b)</w:t>
      </w:r>
      <w:r>
        <w:tab/>
        <w:t>in Absatz 1a wird der Wortlaut „Anhang X und XI“ durch „Anhang X“ ersetzt,</w:t>
      </w:r>
    </w:p>
    <w:p w:rsidR="00EF6289" w:rsidRDefault="009809DC" w:rsidP="00624C2A">
      <w:pPr>
        <w:pStyle w:val="LITlitera"/>
        <w:keepNext/>
        <w:keepLines/>
      </w:pPr>
      <w:r>
        <w:t>c)</w:t>
      </w:r>
      <w:r>
        <w:tab/>
        <w:t>in Absatz 1b:</w:t>
      </w:r>
    </w:p>
    <w:p w:rsidR="00B01B0A" w:rsidRPr="00072863" w:rsidRDefault="00B01B0A" w:rsidP="00624C2A">
      <w:pPr>
        <w:pStyle w:val="TIRtiret"/>
      </w:pPr>
      <w:r>
        <w:t>–</w:t>
      </w:r>
      <w:r>
        <w:tab/>
        <w:t>wird Nummer 2 gestrichen,</w:t>
      </w:r>
    </w:p>
    <w:p w:rsidR="00803781" w:rsidRPr="00072863" w:rsidRDefault="00EF6289" w:rsidP="00624C2A">
      <w:pPr>
        <w:pStyle w:val="TIRtiret"/>
        <w:rPr>
          <w:rFonts w:ascii="Times New Roman" w:hAnsi="Times New Roman" w:cs="Times New Roman"/>
          <w:szCs w:val="24"/>
        </w:rPr>
      </w:pPr>
      <w:r>
        <w:rPr>
          <w:rFonts w:ascii="Times New Roman" w:hAnsi="Times New Roman"/>
          <w:szCs w:val="24"/>
        </w:rPr>
        <w:lastRenderedPageBreak/>
        <w:t>–</w:t>
      </w:r>
      <w:r>
        <w:rPr>
          <w:rFonts w:ascii="Times New Roman" w:hAnsi="Times New Roman"/>
          <w:szCs w:val="24"/>
        </w:rPr>
        <w:tab/>
        <w:t>in dem gemeinsamen Abschnitt der Aufzählung wird der Passus „Artikel 125 bzw. Artikel 127 der Verordnung (EU) Nr. 1308/2013 und entsprechend in Anhang X bzw. XI“ durch den Wortlaut „Artikel 125 der Verordnung (EU) Nr. 1308/2013 und entsprechend in Anhang X“ ersetzt,</w:t>
      </w:r>
    </w:p>
    <w:p w:rsidR="00BF55CF" w:rsidRPr="00072863" w:rsidRDefault="00B01B0A" w:rsidP="00624C2A">
      <w:pPr>
        <w:pStyle w:val="LITlitera"/>
        <w:keepNext/>
        <w:keepLines/>
      </w:pPr>
      <w:r>
        <w:t>d)</w:t>
      </w:r>
      <w:r>
        <w:tab/>
        <w:t>nach Absatz 1b wird folgender Absatz 1ba eingefügt:</w:t>
      </w:r>
    </w:p>
    <w:p w:rsidR="002B5992" w:rsidRPr="00072863" w:rsidRDefault="00A77843" w:rsidP="00624C2A">
      <w:pPr>
        <w:pStyle w:val="ZLITUSTzmustliter"/>
        <w:rPr>
          <w:rFonts w:ascii="Times New Roman" w:hAnsi="Times New Roman" w:cs="Times New Roman"/>
          <w:szCs w:val="24"/>
        </w:rPr>
      </w:pPr>
      <w:r>
        <w:rPr>
          <w:rFonts w:ascii="Times New Roman" w:hAnsi="Times New Roman"/>
          <w:szCs w:val="24"/>
        </w:rPr>
        <w:t>„1ba. Die Bestimmungen in Absatz 1 finden ebenfalls keine Anwendung, wenn der Erzeuger nach Absatz 1 landwirtschaftliche Erzeugnisse auf einer Warenbörse im Sinne der Vorschriften über Warenbörsen oder über ein Handelssystem für Finanzinstrumente im Sinne der Vorschriften über den Handel mit Finanzinstrumenten oder im Großhandel für Agrarerzeugnisse verkauft, der von Handelsgesellschaften betrieben wird, deren Geschäftstätigkeit überwiegend darin besteht, Immobilien und Grundstücke für den Großhandelsverkauf von landwirtschaftlichen Erzeugnissen und Lebensmitteln zu vermieten und zu verwalten.“,</w:t>
      </w:r>
    </w:p>
    <w:p w:rsidR="003B0EDD" w:rsidRDefault="00C95BB7" w:rsidP="0057440B">
      <w:pPr>
        <w:pStyle w:val="LITlitera"/>
        <w:keepNext/>
        <w:keepLines/>
      </w:pPr>
      <w:r>
        <w:t>e)</w:t>
      </w:r>
      <w:r>
        <w:tab/>
        <w:t>wird Absatz 1c wie folgt gefasst:</w:t>
      </w:r>
      <w:bookmarkStart w:id="0" w:name="_GoBack"/>
      <w:bookmarkEnd w:id="0"/>
    </w:p>
    <w:p w:rsidR="00E4313A" w:rsidRPr="00072863" w:rsidRDefault="003B0EDD" w:rsidP="00624C2A">
      <w:pPr>
        <w:pStyle w:val="ZLITUSTzmustliter"/>
      </w:pPr>
      <w:r>
        <w:t>„1c. Der Vertrag nach Absatz 1 wird von dem Erzeuger und dem Käufer nach Absatz 1 über einen Zeitraum von zwei Jahren vom Ende des Jahres an gerechnet, in dem die letzte Lieferung im Rahmen dieses Vertrages erfolgt ist, aufbewahrt.“,</w:t>
      </w:r>
    </w:p>
    <w:p w:rsidR="00CB5759" w:rsidRPr="00072863" w:rsidRDefault="00B91D09" w:rsidP="00624C2A">
      <w:pPr>
        <w:pStyle w:val="LITlitera"/>
        <w:keepNext/>
        <w:keepLines/>
      </w:pPr>
      <w:r>
        <w:t>f)</w:t>
      </w:r>
      <w:r>
        <w:tab/>
        <w:t>wird Absatz 4 wie folgt gefasst:</w:t>
      </w:r>
    </w:p>
    <w:p w:rsidR="00CB5759" w:rsidRPr="00072863" w:rsidRDefault="00CB5759" w:rsidP="00624C2A">
      <w:pPr>
        <w:pStyle w:val="ZLITUSTzmustliter"/>
      </w:pPr>
      <w:r>
        <w:t>„4. Der für Agrarmärkte zuständige Minister kann per Verordnung Folgendes festlegen:</w:t>
      </w:r>
    </w:p>
    <w:p w:rsidR="00137BB1" w:rsidRPr="00072863" w:rsidRDefault="00137BB1" w:rsidP="00624C2A">
      <w:pPr>
        <w:pStyle w:val="ZLITPKTzmpktliter"/>
      </w:pPr>
      <w:r>
        <w:t>1)</w:t>
      </w:r>
      <w:r>
        <w:tab/>
        <w:t>die Mindestlaufzeit des Vertrages nach Absatz 1 oder</w:t>
      </w:r>
    </w:p>
    <w:p w:rsidR="0035086C" w:rsidRPr="00924BC2" w:rsidRDefault="00137BB1" w:rsidP="00624C2A">
      <w:pPr>
        <w:pStyle w:val="ZLITPKTzmpktliter"/>
      </w:pPr>
      <w:r>
        <w:t>2)</w:t>
      </w:r>
      <w:r>
        <w:tab/>
        <w:t>den Mindestzeitraum ab Abschluss des Vertrages nach Absatz 1 bis zur Lieferung der landwirtschaftlichen Erzeugnisse oder</w:t>
      </w:r>
    </w:p>
    <w:p w:rsidR="00774693" w:rsidRPr="00924BC2" w:rsidRDefault="00774693" w:rsidP="00624C2A">
      <w:pPr>
        <w:pStyle w:val="ZLITPKTzmpktliter"/>
      </w:pPr>
      <w:r>
        <w:t>3)</w:t>
      </w:r>
      <w:r>
        <w:tab/>
        <w:t>den Termin für den Abschluss des Vertrages nach Absatz 1</w:t>
      </w:r>
    </w:p>
    <w:p w:rsidR="00137BB1" w:rsidRPr="00072863" w:rsidRDefault="00942A4A" w:rsidP="00624C2A">
      <w:pPr>
        <w:pStyle w:val="ZLITCZWSPPKTzmczciwsppktliter"/>
      </w:pPr>
      <w:r>
        <w:t>– für landwirtschaftliche Erzeugnisse aus den Sektoren gemäß Artikel 1 Absatz 2 Buchstabe a der Verordnung (EU) Nr. 1308/2013, Buchstabe c dieser Verordnung ausschließlich für Zuckerrüben, Buchstaben f, h, i, n und o dieser Verordnung, Buchstabe p dieser Verordnung ausschließlich für Rohmilch, Buchstaben q, r, s und t dieser Verordnung sowie Buchstabe x dieser Verordnung ausschließlich für Kartoffeln, Raps und Rübsen, um das ordnungsgemäße Funktionieren des heimischen Marktes für diese Sektoren sicherzustellen.“,</w:t>
      </w:r>
    </w:p>
    <w:p w:rsidR="00996DE9" w:rsidRPr="00072863" w:rsidRDefault="00D11CF7" w:rsidP="00624C2A">
      <w:pPr>
        <w:pStyle w:val="LITlitera"/>
        <w:keepNext/>
        <w:keepLines/>
      </w:pPr>
      <w:r>
        <w:lastRenderedPageBreak/>
        <w:t>g)</w:t>
      </w:r>
      <w:r>
        <w:tab/>
        <w:t>wird folgender Absatz 5 eingefügt:</w:t>
      </w:r>
    </w:p>
    <w:p w:rsidR="00E4313A" w:rsidRPr="00072863" w:rsidRDefault="00996DE9" w:rsidP="00624C2A">
      <w:pPr>
        <w:pStyle w:val="ZLITUSTzmustliter"/>
      </w:pPr>
      <w:r>
        <w:t>„5. Falls der für Agrarmärkte zuständige Minister in den gemäß Absatz 4 erlassenen Bestimmungen einen Mindestzeitraum ab Abschluss des Vertrages nach Absatz 2 bis zur Lieferung von landwirtschaftlichen Erzeugnissen aus den Sektoren gemäß Artikel 1 Absatz 2 Buchstabe a der Verordnung (EU) Nr. 1308/2013, Buchstabe c dieser Verordnung ausschließlich für Zuckerrüben, Buchstaben f, h, i, n und o dieser Verordnung, Buchstabe p dieser Verordnung ausschließlich für Rohmilch, Buchstaben q, r, s und t dieser Verordnung sowie Buchstabe x dieser Verordnung ausschließlich für Kartoffeln, Raps und Rübsen, oder einen Termin für den Abschluss des Vertrages nach Absatz 1 festlegt, gelten die gemäß Absatz 4 erlassenen Bestimmungen nicht, wenn Artikel 148 Absatz 4 Unterabsatz 3 oder Artikel 168 Absatz 6 Unterabsatz 3 der Verordnung (EU) Nr. 1308/2013 entsprechend Anwendung finden.“;</w:t>
      </w:r>
    </w:p>
    <w:p w:rsidR="00E4313A" w:rsidRPr="00072863" w:rsidRDefault="00241148" w:rsidP="00624C2A">
      <w:pPr>
        <w:pStyle w:val="PKTpunkt"/>
        <w:keepNext/>
        <w:keepLines/>
      </w:pPr>
      <w:r>
        <w:t>2)</w:t>
      </w:r>
      <w:r>
        <w:tab/>
        <w:t xml:space="preserve">in Artikel 40i: </w:t>
      </w:r>
    </w:p>
    <w:p w:rsidR="00E4313A" w:rsidRPr="00072863" w:rsidRDefault="00241148" w:rsidP="00624C2A">
      <w:pPr>
        <w:pStyle w:val="LITlitera"/>
      </w:pPr>
      <w:r>
        <w:t>a)</w:t>
      </w:r>
      <w:r>
        <w:tab/>
        <w:t>Absatz 1 wird der Ausdruck „Vertriebsunternehmen“ durch „Vertriebsunternehmen oder Zwischenhändler“ ersetzt,</w:t>
      </w:r>
    </w:p>
    <w:p w:rsidR="00480DDC" w:rsidRDefault="008A5910" w:rsidP="00624C2A">
      <w:pPr>
        <w:pStyle w:val="LITlitera"/>
      </w:pPr>
      <w:r>
        <w:t>b)</w:t>
      </w:r>
      <w:r>
        <w:tab/>
        <w:t>Absatz 1a wird der Ausdruck „durch ein Vertriebsunternehmen erworben, entgegen den Bestimmungen des Artikels 38q Absatz 1 bzw. 1a“ durch „durch ein Vertriebsunternehmen oder einen Zwischenhändler erworben, entgegen den Bestimmungen des Artikels 38q Absatz 1“ ersetzt,</w:t>
      </w:r>
    </w:p>
    <w:p w:rsidR="00F847AB" w:rsidRPr="00072863" w:rsidRDefault="00480DDC" w:rsidP="00624C2A">
      <w:pPr>
        <w:pStyle w:val="LITlitera"/>
        <w:keepNext/>
        <w:keepLines/>
      </w:pPr>
      <w:r>
        <w:t>c)</w:t>
      </w:r>
      <w:r>
        <w:tab/>
        <w:t>werden die Absätze 1b und 1c wie folgt gefasst:</w:t>
      </w:r>
    </w:p>
    <w:p w:rsidR="002A571F" w:rsidRPr="002A571F" w:rsidRDefault="00F847AB" w:rsidP="00624C2A">
      <w:pPr>
        <w:pStyle w:val="ZLITUSTzmustliter"/>
      </w:pPr>
      <w:r>
        <w:t>„1b. Wer als Erstkäufer, bei dem es sich um einen verarbeitenden Betrieb oder um ein Vertriebsunternehmen oder einen Zwischenhändler handelt, entgegen den Bestimmungen des Artikels 38q Absatz 1 landwirtschaftliche Erzeugnisse aus den Sektoren gemäß Artikel 38q Absatz 1 auf der Grundlage eines Vertrages kauft, der nicht den Bedingungen in den folgenden Artikeln genügt:</w:t>
      </w:r>
    </w:p>
    <w:p w:rsidR="002A571F" w:rsidRPr="002A571F" w:rsidRDefault="002A571F" w:rsidP="00624C2A">
      <w:pPr>
        <w:pStyle w:val="ZLITPKTzmpktliter"/>
      </w:pPr>
      <w:r>
        <w:t>1)</w:t>
      </w:r>
      <w:r>
        <w:tab/>
        <w:t>Artikel 148 Absatz 2 Buchstaben a und c Ziffer i der Verordnung (EU) Nr. 1308/2013 für landwirtschaftliche Erzeugnisse aus dem in Artikel 1 Absatz 2 Buchstabe p der Verordnung (EU) Nr. 1308/2013 genannten Sektor ausschließlich für Rohmilch,</w:t>
      </w:r>
    </w:p>
    <w:p w:rsidR="002A571F" w:rsidRPr="002A571F" w:rsidRDefault="002A571F" w:rsidP="00624C2A">
      <w:pPr>
        <w:pStyle w:val="ZLITPKTzmpktliter"/>
      </w:pPr>
      <w:r>
        <w:t>2)</w:t>
      </w:r>
      <w:r>
        <w:tab/>
        <w:t xml:space="preserve">Artikel 168 Absatz 4 Buchstaben a und c Ziffer i der Verordnung (EU) Nr. 1308/2013 für landwirtschaftliche Erzeugnisse aus den in Artikel 1 Absatz 2 Buchstaben a, f, h, i, n, o, q, r, s und t der </w:t>
      </w:r>
      <w:r>
        <w:lastRenderedPageBreak/>
        <w:t xml:space="preserve">Verordnung (EU) Nr. 1308/2013 und Buchstabe x der Verordnung (EU) Nr. 1308/2013 genannten Sektoren ausschließlich für Kartoffeln, Raps und Rübsen </w:t>
      </w:r>
    </w:p>
    <w:p w:rsidR="002A571F" w:rsidRPr="00B44A77" w:rsidRDefault="002A571F" w:rsidP="00624C2A">
      <w:pPr>
        <w:pStyle w:val="ZLITCZWSPPKTzmczciwsppktliter"/>
      </w:pPr>
      <w:r>
        <w:t>– wird für jede nicht erfüllte Bedingung mit einer Geldstrafe in Höhe von 4 % des Betrages im Sinne des Artikels 29a Absatz 1 des Gesetzes vom 11. März 2004 über die Umsatzsteuer, der für die im Rahmen dieses Vertrages erworbenen Erzeugnisse entrichtet wurde, bestraft.</w:t>
      </w:r>
    </w:p>
    <w:p w:rsidR="00955DCD" w:rsidRDefault="00AC7836" w:rsidP="00624C2A">
      <w:pPr>
        <w:pStyle w:val="ZLITUSTzmustliter"/>
      </w:pPr>
      <w:r>
        <w:t>1c. Wer als Erstkäufer, bei dem es sich um einen verarbeitenden Betrieb oder ein Vertriebsunternehmen oder einen Zwischenhändler handelt, entgegen den Bestimmungen des Artikels 38q Absatz 1 landwirtschaftliche Erzeugnisse aus den Sektoren gemäß Artikel 38q Absatz 1 auf der Grundlage eines Vertrages kauft, der nicht den Bedingungen in Artikel 125 der Verordnung (EU) Nr. 1308/2013 und in Anhang X zur Verordnung (EU) Nr. 1308/2013, ausgenommen die Bedingung in Punkt I Nummer 1 dieses Anhangs im Falle von landwirtschaftlichen Erzeugnissen aus dem in Artikel 1 Absatz 2 Buchstabe c der Verordnung (EU) Nr. 1308/2013 genannten Sektor ausschließlich für Zuckerrüben genügt, wird mit einer Geldstrafe in Höhe von 8 % des Betrages im Sinne des Artikels 29a Absatz 1 des Gesetzes vom 11. März 2004 über die Umsatzsteuer, der für die im Rahmen dieses Vertrages erworbenen Erzeugnisse entrichtet wurde, bestraft.“,</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szCs w:val="24"/>
        </w:rPr>
        <w:t>d)</w:t>
      </w:r>
      <w:r>
        <w:rPr>
          <w:rFonts w:ascii="Times New Roman" w:hAnsi="Times New Roman"/>
          <w:szCs w:val="24"/>
        </w:rPr>
        <w:tab/>
        <w:t>werden nach Absatz 1c die folgenden Absätze 1ca-1cc eingefügt:</w:t>
      </w:r>
    </w:p>
    <w:p w:rsidR="003C7670" w:rsidRPr="00072863" w:rsidRDefault="00694E98" w:rsidP="00624C2A">
      <w:pPr>
        <w:pStyle w:val="ZLITUSTzmustliter"/>
        <w:rPr>
          <w:rFonts w:ascii="Times New Roman" w:hAnsi="Times New Roman" w:cs="Times New Roman"/>
          <w:szCs w:val="24"/>
        </w:rPr>
      </w:pPr>
      <w:r>
        <w:rPr>
          <w:rFonts w:ascii="Times New Roman" w:hAnsi="Times New Roman"/>
          <w:szCs w:val="24"/>
        </w:rPr>
        <w:t xml:space="preserve">„1ca. Wer als Erzeuger, bei dem es sich um einen Betriebsinhaber im Sinne des Artikels 4 Absatz 1 Buchstabe a der Verordnung (EU) Nr. 1307/2013 vom 17. Dezember 2013 mit Vorschriften über Direktzahlungen an Inhaber landwirtschaftlicher Betriebe im Rahmen von Stützungsregelungen der Gemeinsamen Agrarpolitik und zur Aufhebung der Verordnung (EG) Nr. 637/2008 des Rates und der Verordnung (EG) Nr. 73/2009 des Rates handelt, entgegen den Bestimmungen des Artikels 38q Absatz 1 und 1a landwirtschaftliche Erzeugnisse aus den in Artikel 38q Absatz 1 genannten Sektoren verkauft, ohne einen schriftlichen Vertrag oder einen Vertrag in Dokumentenform oder in elektronischer Form abgeschlossen zu haben, wird mit einer Geldstrafe in Höhe von 10 % des Betrages im Sinne des Artikels 29a Absatz 1 des Gesetzes vom 11. März 2004 über die Umsatzsteuer, der für die ohne einen schriftlichen Vertrag bzw. ohne einen </w:t>
      </w:r>
      <w:r>
        <w:rPr>
          <w:rFonts w:ascii="Times New Roman" w:hAnsi="Times New Roman"/>
          <w:szCs w:val="24"/>
        </w:rPr>
        <w:lastRenderedPageBreak/>
        <w:t>Vertrag in Dokumentenform oder in elektronischer Form verkauften Erzeugnisse bezahlt wurde, bestraft.</w:t>
      </w:r>
    </w:p>
    <w:p w:rsidR="00150D74" w:rsidRPr="00072863" w:rsidRDefault="00EA3E9C" w:rsidP="00624C2A">
      <w:pPr>
        <w:pStyle w:val="ZLITUSTzmustliter"/>
        <w:rPr>
          <w:rFonts w:ascii="Times New Roman" w:hAnsi="Times New Roman" w:cs="Times New Roman"/>
          <w:szCs w:val="24"/>
        </w:rPr>
      </w:pPr>
      <w:r>
        <w:rPr>
          <w:rFonts w:ascii="Times New Roman" w:hAnsi="Times New Roman"/>
          <w:szCs w:val="24"/>
        </w:rPr>
        <w:t>1cb. Wer die Mindestlaufzeit des Vertrages nach Artikel 38q Absatz 1 oder den Mindestzeitraum ab Abschluss eines solchen Vertrages bis zur Lieferung der landwirtschaftlichen Erzeugnisse nicht einhält, sofern diese Zeiträume in den gemäß Artikel 38q Absatz 4 Nummer 1 und 2 erlassenen Vorschriften festgelegt wurden, wird für jeden nicht eingehaltenen Termin mit einer Geldstrafe in Höhe von 10 % des Betrages im Sinne des Artikels 29a Absatz 1 des Gesetzes vom 11. März 2004 über die Umsatzsteuer, der für die auf der Grundlage dieses Vertrages verkauften oder gekauften Erzeugnisse bezahlt wurde, bestraft.</w:t>
      </w:r>
    </w:p>
    <w:p w:rsidR="00694E98" w:rsidRPr="00072863" w:rsidRDefault="00150D74" w:rsidP="00624C2A">
      <w:pPr>
        <w:pStyle w:val="ZLITUSTzmustliter"/>
        <w:rPr>
          <w:rFonts w:ascii="Times New Roman" w:hAnsi="Times New Roman" w:cs="Times New Roman"/>
          <w:szCs w:val="24"/>
        </w:rPr>
      </w:pPr>
      <w:r>
        <w:rPr>
          <w:rFonts w:ascii="Times New Roman" w:hAnsi="Times New Roman"/>
          <w:szCs w:val="24"/>
        </w:rPr>
        <w:t>1cc. Wer die Frist nach Artikel 38q Absatz 3 oder den Termin für den Abschluss des Vertrages nach Artikel 38q Absatz 1 nicht einhält, sofern diese Frist bzw. dieser Termin in den gemäß Artikel 38q Absatz 4 Nummer 3 erlassenen Vorschriften festgelegt wurde, wird für jeden Tag der Nichteinhaltung dieser Frist bzw. dieses Termins mit einer Geldstrafe in Höhe von 0,5 % des Betrages im Sinne des Artikels 29a Absatz 1 des Gesetzes vom 11. März 2004 über die Umsatzsteuer, der für die auf der Grundlage dieses Vertrages verkauften oder gekauften Erzeugnisse bezahlt wurde, die jedoch nicht höher ist als 15 % des Betrages, bestraft.“,</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szCs w:val="24"/>
        </w:rPr>
        <w:t>e)</w:t>
      </w:r>
      <w:r>
        <w:rPr>
          <w:rFonts w:ascii="Times New Roman" w:hAnsi="Times New Roman"/>
          <w:szCs w:val="24"/>
        </w:rPr>
        <w:tab/>
        <w:t>wird Absatz 1d wie folgt gefasst:</w:t>
      </w:r>
    </w:p>
    <w:p w:rsidR="00931317" w:rsidRPr="00072863" w:rsidRDefault="0056481C" w:rsidP="00624C2A">
      <w:pPr>
        <w:pStyle w:val="ZLITUSTzmustliter"/>
        <w:rPr>
          <w:rFonts w:ascii="Times New Roman" w:hAnsi="Times New Roman" w:cs="Times New Roman"/>
          <w:szCs w:val="24"/>
        </w:rPr>
      </w:pPr>
      <w:r>
        <w:rPr>
          <w:rFonts w:ascii="Times New Roman" w:hAnsi="Times New Roman"/>
          <w:szCs w:val="24"/>
        </w:rPr>
        <w:t>„1d. Falls der Vertrag nach Artikel 38q Absatz 1 gegen mehr als eine der Bedingungen in Absatz 1a und 1b verstößt, werden die Geldstrafen addiert, dabei darf die Geldstrafe nicht höher sein als 8 % des Betrages im Sinne des Artikels 29a Absatz 1 des Gesetzes vom 11. März 2004 über die Umsatzsteuer, der für die auf der Grundlage dieses Vertrages gekauften Erzeugnisse bezahlt wurde.“;</w:t>
      </w:r>
    </w:p>
    <w:p w:rsidR="00F02D45" w:rsidRDefault="003C2687" w:rsidP="00624C2A">
      <w:pPr>
        <w:pStyle w:val="PKTpunkt"/>
        <w:keepNext/>
        <w:keepLines/>
        <w:rPr>
          <w:rFonts w:ascii="Times New Roman" w:hAnsi="Times New Roman" w:cs="Times New Roman"/>
          <w:szCs w:val="24"/>
        </w:rPr>
      </w:pPr>
      <w:r>
        <w:rPr>
          <w:rFonts w:ascii="Times New Roman" w:hAnsi="Times New Roman"/>
          <w:szCs w:val="24"/>
        </w:rPr>
        <w:t>3)</w:t>
      </w:r>
      <w:r>
        <w:rPr>
          <w:rFonts w:ascii="Times New Roman" w:hAnsi="Times New Roman"/>
          <w:szCs w:val="24"/>
        </w:rPr>
        <w:tab/>
        <w:t>nach Artikel 40i wird folgender Artikel 40ia eingefügt:</w:t>
      </w:r>
    </w:p>
    <w:p w:rsidR="00F02D45" w:rsidRDefault="00F02D45" w:rsidP="00624C2A">
      <w:pPr>
        <w:pStyle w:val="ZARTzmartartykuempunktem"/>
      </w:pPr>
      <w:r>
        <w:t xml:space="preserve">„Artikel 40ia. Wer Vereinbarungen, Beschlüsse oder Praktiken nicht einhält, die von Erzeugerorganisationen, Vereinigungen von Erzeugerorganisationen oder Branchenverbänden vereinbart wurden, sofern solche Vereinbarungen, Beschlüsse oder Praktiken in den gemäß Artikel 38o Absatz 3 erlassenen Vorschriften enthalten sind, wird mit einer Geldstrafe von bis zu 5 000 PLN bestraft, wobei im Falle der Nichtbefolgung dieser Vereinbarungen, Beschlüsse bzw. Praktiken im Hinblick auf die Erstellung von Musterverträgen im Sinne des Artikels 164 Absatz 4 Buchstabe c der </w:t>
      </w:r>
      <w:r>
        <w:lastRenderedPageBreak/>
        <w:t>Verordnung (EU) Nr. 1308/2013 eine Geldstrafe in Höhe von 8 % des Betrages im Sinne des Artikels 29a Absatz 1 des Gesetzes vom 11. März 2004 über die Umsatzsteuer, der für die auf der Grundlage des jeweiligen Vertrages verkauften oder gekauften Erzeugnisse bezahlt wurde, verhängt wird.“;</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szCs w:val="24"/>
        </w:rPr>
        <w:t>4)</w:t>
      </w:r>
      <w:r>
        <w:rPr>
          <w:rFonts w:ascii="Times New Roman" w:hAnsi="Times New Roman"/>
          <w:szCs w:val="24"/>
        </w:rPr>
        <w:tab/>
        <w:t>in Artikel 40j wird Absatz 1 wie folgt gefasst:</w:t>
      </w:r>
    </w:p>
    <w:p w:rsidR="000E419B" w:rsidRPr="000E419B" w:rsidRDefault="00284E0D" w:rsidP="00624C2A">
      <w:pPr>
        <w:pStyle w:val="ZUSTzmustartykuempunktem"/>
        <w:keepNext/>
        <w:keepLines/>
      </w:pPr>
      <w:r>
        <w:t>„1. Die Geldstrafen nach</w:t>
      </w:r>
    </w:p>
    <w:p w:rsidR="000E419B" w:rsidRPr="000E419B" w:rsidRDefault="000E419B" w:rsidP="00624C2A">
      <w:pPr>
        <w:pStyle w:val="ZPKTzmpktartykuempunktem"/>
      </w:pPr>
      <w:r>
        <w:t>1)</w:t>
      </w:r>
      <w:r>
        <w:tab/>
        <w:t>Artikel 40i Absätze 1-1cc sowie Artikel 40ia,</w:t>
      </w:r>
    </w:p>
    <w:p w:rsidR="000E419B" w:rsidRPr="000E419B" w:rsidRDefault="000E419B" w:rsidP="00624C2A">
      <w:pPr>
        <w:pStyle w:val="ZPKTzmpktartykuempunktem"/>
      </w:pPr>
      <w:r>
        <w:t>2)</w:t>
      </w:r>
      <w:r>
        <w:tab/>
        <w:t>Artikel 8 der Verordnung (EU) Nr. 2017/40 betreffend die Beihilfe gemäß Artikel 38u Absatz 1 Nummer 2</w:t>
      </w:r>
    </w:p>
    <w:p w:rsidR="000E419B" w:rsidRDefault="000E419B" w:rsidP="00624C2A">
      <w:pPr>
        <w:pStyle w:val="ZCZWSPPKTzmczciwsppktartykuempunktem"/>
      </w:pPr>
      <w:r>
        <w:t>– werden per Verwaltungsakt vom Leiter der Außenstelle des Landeszentrums, der aufgrund des Sitzes oder des Wohnortes des Erzeugers, Käufers bzw. Antragstellers zuständig ist, verhängt.“.</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szCs w:val="24"/>
        </w:rPr>
        <w:t>Artikel 2.</w:t>
      </w:r>
      <w:r>
        <w:rPr>
          <w:rFonts w:ascii="Times New Roman" w:hAnsi="Times New Roman"/>
          <w:szCs w:val="24"/>
        </w:rPr>
        <w:t xml:space="preserve"> Das Gesetz vom 15. Dezember 2016 zur Verhinderung der missbräuchlichen Nutzung von Vertragsvorteilen beim Handel mit landwirtschaftlichen Erzeugnissen und Lebensmitteln (polnisches Gesetzblatt von 2019 Pos. 517) wird wie folgt geändert:</w:t>
      </w:r>
    </w:p>
    <w:p w:rsidR="001E1984" w:rsidRPr="00072863" w:rsidRDefault="001E1984" w:rsidP="00624C2A">
      <w:pPr>
        <w:pStyle w:val="PKTpunkt"/>
        <w:keepNext/>
        <w:keepLines/>
      </w:pPr>
      <w:r>
        <w:t>1)</w:t>
      </w:r>
      <w:r>
        <w:tab/>
        <w:t>Artikel 2 wird wie folgt gefasst:</w:t>
      </w:r>
    </w:p>
    <w:p w:rsidR="001E1984" w:rsidRPr="00072863" w:rsidRDefault="001E1984" w:rsidP="00624C2A">
      <w:pPr>
        <w:pStyle w:val="ZARTzmartartykuempunktem"/>
      </w:pPr>
      <w:r>
        <w:t>„Artikel 2. Das Gesetz findet Anwendung auf Kaufverträge für landwirtschaftliche Erzeugnisse und Lebensmittel (nachfolgend „Verträge“), ausgenommen Direktlieferungen und der Einzelhandel mit Agrarerzeugnissen im Sinne des Gesetzes vom 25. August 2006 über die Lebensmittel- und Ernährungssicherheit (polnisches Gesetzblatt von 2018 Pos. 1541 in der jeweils geltenden Fassung</w:t>
      </w:r>
      <w:r>
        <w:rPr>
          <w:vertAlign w:val="superscript"/>
        </w:rPr>
        <w:t>2)</w:t>
      </w:r>
      <w:r>
        <w:t>) und der Direktverkauf im Sinne des Gesetzes vom 16. Dezember 2005 über Erzeugnisse tierischen Ursprungs (polnisches Gesetzblatt von 2019 Pos. 824), die zwischen den Käufern und den Lieferanten dieser Erzeugnisse abgeschlossen werden.“;</w:t>
      </w:r>
    </w:p>
    <w:p w:rsidR="00F91F6E" w:rsidRPr="001B4D4B" w:rsidRDefault="001E1984" w:rsidP="00624C2A">
      <w:pPr>
        <w:pStyle w:val="PKTpunkt"/>
        <w:keepNext/>
        <w:keepLines/>
      </w:pPr>
      <w:r>
        <w:t>2)</w:t>
      </w:r>
      <w:r>
        <w:tab/>
        <w:t>in Artikel 3 Nummer 2:</w:t>
      </w:r>
    </w:p>
    <w:p w:rsidR="00F91F6E" w:rsidRDefault="00F91F6E" w:rsidP="00624C2A">
      <w:pPr>
        <w:pStyle w:val="LITlitera"/>
      </w:pPr>
      <w:r>
        <w:t>a)</w:t>
      </w:r>
      <w:r>
        <w:tab/>
        <w:t>wird Buchstabe b gestrichen,</w:t>
      </w:r>
    </w:p>
    <w:p w:rsidR="00930905" w:rsidRDefault="00930905" w:rsidP="00624C2A">
      <w:pPr>
        <w:pStyle w:val="LITlitera"/>
      </w:pPr>
      <w:r>
        <w:t>b)</w:t>
      </w:r>
      <w:r>
        <w:tab/>
        <w:t>wird in Buchstabe c der Punkt durch ein Komma ersetzt und werden folgende Buchstaben d und e eingefügt:</w:t>
      </w:r>
    </w:p>
    <w:p w:rsidR="00930905" w:rsidRPr="00BE3D19" w:rsidRDefault="00930905" w:rsidP="00624C2A">
      <w:pPr>
        <w:pStyle w:val="ZLITLITzmlitliter"/>
      </w:pPr>
      <w:r>
        <w:t>„d)</w:t>
      </w:r>
      <w:r>
        <w:tab/>
        <w:t>einer anerkannten Erzeugerorganisation im Sinne der Vorschriften über die Organisation bestimmter Agrarmärkte landwirtschaftliche Erzeugnisse oder Lebensmittel an eine Organisation verkauft, deren Mitglied er ist,</w:t>
      </w:r>
    </w:p>
    <w:p w:rsidR="00930905" w:rsidRPr="00BE3D19" w:rsidRDefault="00930905" w:rsidP="00624C2A">
      <w:pPr>
        <w:pStyle w:val="ZLITLITzmlitliter"/>
      </w:pPr>
      <w:r>
        <w:t>e)</w:t>
      </w:r>
      <w:r>
        <w:tab/>
        <w:t xml:space="preserve">einer anerkannten Erzeugerorganisation im Sinne der Vorschriften über die Organisation des Marktes für Milch und Milcherzeugnisse landwirtschaftliche </w:t>
      </w:r>
      <w:r>
        <w:lastRenderedPageBreak/>
        <w:t>Erzeugnisse oder Lebensmittel an eine Organisation verkauft, deren Mitglied er ist;“,</w:t>
      </w:r>
    </w:p>
    <w:p w:rsidR="001E1984" w:rsidRPr="00072863" w:rsidRDefault="00930905" w:rsidP="00624C2A">
      <w:pPr>
        <w:pStyle w:val="LITlitera"/>
        <w:keepNext/>
        <w:keepLines/>
      </w:pPr>
      <w:r>
        <w:t>c)</w:t>
      </w:r>
      <w:r>
        <w:tab/>
        <w:t>wird folgende Nummer 3 eingefügt:</w:t>
      </w:r>
    </w:p>
    <w:p w:rsidR="001E1984" w:rsidRDefault="001E1984" w:rsidP="00624C2A">
      <w:pPr>
        <w:pStyle w:val="ZLITPKTzmpktliter"/>
      </w:pPr>
      <w:r>
        <w:t>„3)</w:t>
      </w:r>
      <w:r>
        <w:tab/>
        <w:t>der Lieferant landwirtschaftliche Erzeugnisse oder Lebensmittel auf einer Warenbörse im Sinne der Vorschriften über Warenbörsen oder über ein Handelssystem für Finanzinstrumente im Sinne der Vorschriften über den Handel mit Finanzinstrumenten verkauft.“;</w:t>
      </w:r>
    </w:p>
    <w:p w:rsidR="00F65C42" w:rsidRDefault="00F65C42" w:rsidP="00624C2A">
      <w:pPr>
        <w:pStyle w:val="PKTpunkt"/>
        <w:keepNext/>
        <w:keepLines/>
      </w:pPr>
      <w:r>
        <w:t>3)</w:t>
      </w:r>
      <w:r>
        <w:tab/>
        <w:t>in Artikel 5 wird Nummer 3 wie folgt gefasst:</w:t>
      </w:r>
    </w:p>
    <w:p w:rsidR="00F65C42" w:rsidRDefault="00F65C42" w:rsidP="00624C2A">
      <w:pPr>
        <w:pStyle w:val="ZPKTzmpktartykuempunktem"/>
      </w:pPr>
      <w:r>
        <w:t>„3)</w:t>
      </w:r>
      <w:r>
        <w:tab/>
        <w:t>landwirtschaftliches Erzeugnis oder Lebensmittel: ein Erzeugnis laut Anhang I des Vertrages über die Arbeitsweise der Europäischen Union sowie ein Erzeugnis, das nicht in diesem Anhang genannt ist, das jedoch unter Verwendung der in diesem Anhang genannten Erzeugnisse verarbeitet wurde und für den menschlichen Verzehr bestimmt ist;“;</w:t>
      </w:r>
    </w:p>
    <w:p w:rsidR="000F1029" w:rsidRDefault="00F121DD" w:rsidP="00624C2A">
      <w:pPr>
        <w:pStyle w:val="PKTpunkt"/>
        <w:keepNext/>
        <w:keepLines/>
      </w:pPr>
      <w:r>
        <w:t>4)</w:t>
      </w:r>
      <w:r>
        <w:tab/>
        <w:t>in Artikel 7:</w:t>
      </w:r>
    </w:p>
    <w:p w:rsidR="00F121DD" w:rsidRDefault="000F1029" w:rsidP="00624C2A">
      <w:pPr>
        <w:pStyle w:val="LITlitera"/>
      </w:pPr>
      <w:r>
        <w:t>a)</w:t>
      </w:r>
      <w:r>
        <w:tab/>
        <w:t>Absatz 2 wird nach den Worten „im Widerspruch zu“ der Teilsatz „den Vorschriften zur Verhinderung der missbräuchlichen Nutzung von Vertragsvorteilen beim Handel mit landwirtschaftlichen Erzeugnissen und Lebensmitteln oder“ ergänzt,</w:t>
      </w:r>
    </w:p>
    <w:p w:rsidR="001E1984" w:rsidRPr="00072863" w:rsidRDefault="000F1029" w:rsidP="00624C2A">
      <w:pPr>
        <w:pStyle w:val="LITlitera"/>
        <w:keepNext/>
        <w:keepLines/>
      </w:pPr>
      <w:r>
        <w:t>b)</w:t>
      </w:r>
      <w:r>
        <w:tab/>
        <w:t>Absatz 3 Nummer 4 wird der Punkt durch ein Semikolon ersetzt und folgende Nummer 5 eingefügt:</w:t>
      </w:r>
    </w:p>
    <w:p w:rsidR="0059066D" w:rsidRPr="008509D8" w:rsidRDefault="001E1984" w:rsidP="00624C2A">
      <w:pPr>
        <w:pStyle w:val="ZLITPKTzmpktliter"/>
      </w:pPr>
      <w:r>
        <w:t>„5)</w:t>
      </w:r>
      <w:r>
        <w:tab/>
        <w:t>dem Kauf eines im Hoheitsgebiet der Republik Polen hergestellten landwirtschaftlichen Erzeugnisses oder Lebensmittels, das in Anhang I des Vertrages über die Arbeitsweise der Europäischen Union genannt ist (in diesem Kapitel nachfolgend „Erzeugnis“ genannt), oder einer Unterkategorie des Erzeugnisses, für das ein Referenzpreis festgelegt wurde, unter diesem Preis durch einen Käufer, der dieses Erzeugnis bzw. eine Unterkategorie dieses Erzeugnisses direkt beim Lieferanten erwirbt, der dieses Erzeugnis bzw. diese Unterkategorie des Erzeugnisses hergestellt hat, oder bei:</w:t>
      </w:r>
    </w:p>
    <w:p w:rsidR="0059066D" w:rsidRPr="0059066D" w:rsidRDefault="002A68BF" w:rsidP="00624C2A">
      <w:pPr>
        <w:pStyle w:val="ZLITLITwPKTzmlitwpktliter"/>
      </w:pPr>
      <w:r>
        <w:t>a)</w:t>
      </w:r>
      <w:r>
        <w:tab/>
        <w:t>einer Lieferantengenossenschaft,</w:t>
      </w:r>
    </w:p>
    <w:p w:rsidR="0059066D" w:rsidRPr="008509D8" w:rsidRDefault="002A68BF" w:rsidP="00624C2A">
      <w:pPr>
        <w:pStyle w:val="ZLITLITwPKTzmlitwpktliter"/>
      </w:pPr>
      <w:r>
        <w:t>b)</w:t>
      </w:r>
      <w:r>
        <w:tab/>
        <w:t>einer Gruppe von landwirtschaftlichen Erzeugern im Sinne der Vorschriften über landwirtschaftliche Erzeugergruppierungen und deren Verbände,</w:t>
      </w:r>
    </w:p>
    <w:p w:rsidR="0059066D" w:rsidRPr="008509D8" w:rsidRDefault="002A68BF" w:rsidP="00624C2A">
      <w:pPr>
        <w:pStyle w:val="ZLITLITwPKTzmlitwpktliter"/>
      </w:pPr>
      <w:r>
        <w:lastRenderedPageBreak/>
        <w:t>c)</w:t>
      </w:r>
      <w:r>
        <w:tab/>
        <w:t>einer anerkannten Erzeugerorganisation im Sektor Obst und Gemüse im Sinne der Vorschriften über die Organisation der Obst- und Gemüsemärkte sowie des Hopfenmarktes,</w:t>
      </w:r>
    </w:p>
    <w:p w:rsidR="0059066D" w:rsidRPr="008509D8" w:rsidRDefault="002A68BF" w:rsidP="00624C2A">
      <w:pPr>
        <w:pStyle w:val="ZLITLITwPKTzmlitwpktliter"/>
      </w:pPr>
      <w:r>
        <w:t>d)</w:t>
      </w:r>
      <w:r>
        <w:tab/>
        <w:t>einer anerkannten Erzeugerorganisation im Sinne der Vorschriften über die Organisation bestimmter Agrarmärkte,</w:t>
      </w:r>
    </w:p>
    <w:p w:rsidR="001E1984" w:rsidRPr="008509D8" w:rsidRDefault="003C344E" w:rsidP="00624C2A">
      <w:pPr>
        <w:pStyle w:val="ZLITLITwPKTzmlitwpktliter"/>
      </w:pPr>
      <w:r>
        <w:t>e)</w:t>
      </w:r>
      <w:r>
        <w:tab/>
        <w:t>einer anerkannten Erzeugerorganisation im Sinne der Vorschriften über die Organisation des Marktes für Milch und Milcherzeugnisse.“;</w:t>
      </w:r>
    </w:p>
    <w:p w:rsidR="001E1984" w:rsidRPr="008509D8" w:rsidRDefault="00294536" w:rsidP="00624C2A">
      <w:pPr>
        <w:pStyle w:val="PKTpunkt"/>
        <w:keepNext/>
        <w:keepLines/>
      </w:pPr>
      <w:r>
        <w:t>5)</w:t>
      </w:r>
      <w:r>
        <w:tab/>
        <w:t>nach Artikel 7 wird folgender Artikel 7a eingefügt:</w:t>
      </w:r>
    </w:p>
    <w:p w:rsidR="007B149B" w:rsidRDefault="007B149B" w:rsidP="00624C2A">
      <w:pPr>
        <w:pStyle w:val="ZARTzmartartykuempunktem"/>
        <w:rPr>
          <w:rFonts w:eastAsia="Times New Roman"/>
        </w:rPr>
      </w:pPr>
      <w:r>
        <w:t>„Artikel 7a. 1. Der Referenzpreis eines bestimmten Erzeugnisses und einer bestimmten Unterkategorie dieses Erzeugnisses wird vom für Agrarmärkte zuständigen Minister bis zum 31. März eines jeden Jahres für den Zeitraum ab dem 1. April des jeweiligen Jahres bis zum 31. März des Folgejahres anhand der nachstehenden Formel festgelegt:</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p>
    <w:p w:rsidR="007B149B" w:rsidRPr="008509D8" w:rsidRDefault="007B149B" w:rsidP="00624C2A">
      <w:pPr>
        <w:pStyle w:val="ZLEGWMATFIZCHEMzmlegendywzorumatfizlubchemartykuempunktem"/>
        <w:keepNext/>
        <w:keepLines/>
        <w:rPr>
          <w:rFonts w:ascii="Times" w:hAnsi="Times"/>
          <w:bCs/>
        </w:rPr>
      </w:pPr>
      <w:r>
        <w:rPr>
          <w:rFonts w:ascii="Times" w:hAnsi="Times"/>
          <w:bCs/>
        </w:rPr>
        <w:t>dabei bedeuten:</w:t>
      </w:r>
    </w:p>
    <w:p w:rsidR="007B149B" w:rsidRPr="007B149B" w:rsidRDefault="007B149B" w:rsidP="00624C2A">
      <w:pPr>
        <w:pStyle w:val="ZLEGWMATFIZCHEMzmlegendywzorumatfizlubchemartykuempunktem"/>
        <w:rPr>
          <w:rFonts w:eastAsia="Times New Roman"/>
        </w:rPr>
      </w:pPr>
      <w:r>
        <w:t>C –</w:t>
      </w:r>
      <w:r>
        <w:tab/>
        <w:t>der Referenzpreis des Erzeugnisses bzw. einer Unterkategorie dieses Erzeugnisses in Złoty je Kilogramm,</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die durchschnittlichen Herstellungskosten für das Erzeugnis bzw. eine Unterkategorie dieses Erzeugnisses eines Haupterwerbsbetriebs, ausgenommen Lohnkosten, in dem Jahr vor dem betreffenden Jahr in Złoty je Hektar,</w:t>
      </w:r>
    </w:p>
    <w:p w:rsidR="007B149B" w:rsidRPr="007B149B" w:rsidRDefault="007B149B" w:rsidP="00624C2A">
      <w:pPr>
        <w:pStyle w:val="ZLEGWMATFIZCHEMzmlegendywzorumatfizlubchemartykuempunktem"/>
        <w:rPr>
          <w:rFonts w:eastAsia="Times New Roman"/>
        </w:rPr>
      </w:pPr>
      <w:r>
        <w:t>k</w:t>
      </w:r>
      <w:r>
        <w:rPr>
          <w:vertAlign w:val="subscript"/>
        </w:rPr>
        <w:t>n-2</w:t>
      </w:r>
      <w:r>
        <w:t xml:space="preserve"> –</w:t>
      </w:r>
      <w:r>
        <w:tab/>
        <w:t>die durchschnittlichen Herstellungskosten für das Erzeugnis bzw. eine Unterkategorie dieses Erzeugnisses eines Haupterwerbsbetriebs, ausgenommen Lohnkosten, im zweiten Jahr vor dem betreffenden Jahr in Zoty je Hektar,</w:t>
      </w:r>
    </w:p>
    <w:p w:rsidR="007B149B" w:rsidRPr="007B149B" w:rsidRDefault="007B149B" w:rsidP="00624C2A">
      <w:pPr>
        <w:pStyle w:val="ZLEGWMATFIZCHEMzmlegendywzorumatfizlubchemartykuempunktem"/>
        <w:rPr>
          <w:rFonts w:eastAsia="Times New Roman"/>
        </w:rPr>
      </w:pPr>
      <w:r>
        <w:t>k</w:t>
      </w:r>
      <w:r>
        <w:rPr>
          <w:vertAlign w:val="subscript"/>
        </w:rPr>
        <w:t>n-3</w:t>
      </w:r>
      <w:r>
        <w:t xml:space="preserve"> –</w:t>
      </w:r>
      <w:r>
        <w:tab/>
        <w:t>die durchschnittlichen Herstellungskosten für das Erzeugnis bzw. eine Unterkategorie dieses Erzeugnisses eines Haupterwerbsbetriebs, ausgenommen Lohnkosten, im dritten Jahr vor dem betreffenden Jahr in Zloty je Hektar,</w:t>
      </w:r>
    </w:p>
    <w:p w:rsidR="007B149B" w:rsidRPr="007B149B" w:rsidRDefault="007B149B" w:rsidP="00624C2A">
      <w:pPr>
        <w:pStyle w:val="ZLEGWMATFIZCHEMzmlegendywzorumatfizlubchemartykuempunktem"/>
        <w:rPr>
          <w:rFonts w:eastAsia="Times New Roman"/>
        </w:rPr>
      </w:pPr>
      <w:r>
        <w:lastRenderedPageBreak/>
        <w:t>p</w:t>
      </w:r>
      <w:r>
        <w:rPr>
          <w:vertAlign w:val="subscript"/>
        </w:rPr>
        <w:t xml:space="preserve">n-1 </w:t>
      </w:r>
      <w:r>
        <w:t>–</w:t>
      </w:r>
      <w:r>
        <w:tab/>
        <w:t>der durchschnittliche Ertrag des jeweiligen Erzeugnisses bzw. einer Unterkategorie dieses Erzeugnisses eines Haupterwerbsbetriebs, der im Jahr vor dem betreffenden Jahr in Kilogramm je Hektar erzielt wurde,</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w:t>
      </w:r>
      <w:r>
        <w:tab/>
        <w:t>der durchschnittliche Ertrag des jeweiligen Erzeugnisses bzw. einer Unterkategorie dieses Erzeugnisses eines Haupterwerbsbetriebs, der im zweiten Jahr vor dem betreffenden Jahr in Kilogramm je Hektar erzielt wurde,</w:t>
      </w:r>
    </w:p>
    <w:p w:rsidR="007B149B" w:rsidRPr="007B149B" w:rsidRDefault="007B149B" w:rsidP="00624C2A">
      <w:pPr>
        <w:pStyle w:val="ZLEGWMATFIZCHEMzmlegendywzorumatfizlubchemartykuempunktem"/>
        <w:rPr>
          <w:rFonts w:eastAsia="Times New Roman"/>
        </w:rPr>
      </w:pPr>
      <w:r>
        <w:t>p</w:t>
      </w:r>
      <w:r>
        <w:rPr>
          <w:vertAlign w:val="subscript"/>
        </w:rPr>
        <w:t xml:space="preserve">n-3 </w:t>
      </w:r>
      <w:r>
        <w:t>–</w:t>
      </w:r>
      <w:r>
        <w:tab/>
        <w:t>der durchschnittliche Ertrag des jeweiligen Erzeugnisses bzw. einer Unterkategorie dieses Erzeugnisses eines Haupterwerbsbetriebs, der im dritten Jahr vor dem betreffenden Jahr in Kilogramm je Hektar erzielt wurde,</w:t>
      </w:r>
    </w:p>
    <w:p w:rsidR="007B149B" w:rsidRPr="007B149B" w:rsidRDefault="007B149B" w:rsidP="00624C2A">
      <w:pPr>
        <w:pStyle w:val="ZLEGWMATFIZCHEMzmlegendywzorumatfizlubchemartykuempunktem"/>
        <w:rPr>
          <w:rFonts w:eastAsia="Times New Roman"/>
        </w:rPr>
      </w:pPr>
      <w:r>
        <w:t>t</w:t>
      </w:r>
      <w:r>
        <w:rPr>
          <w:vertAlign w:val="subscript"/>
        </w:rPr>
        <w:t>n-1</w:t>
      </w:r>
      <w:r>
        <w:t xml:space="preserve"> –</w:t>
      </w:r>
      <w:r>
        <w:tab/>
        <w:t>die durchschnittliche Arbeitszeit für die Herstellung des Erzeugnisses bzw. einer Unterkategorie dieses Erzeugnisses im Haupterwerbsbetrieb in dem Jahr vor dem betreffenden Jahr in Stunden je Hektar,</w:t>
      </w:r>
    </w:p>
    <w:p w:rsidR="007B149B" w:rsidRPr="007B149B" w:rsidRDefault="007B149B" w:rsidP="00624C2A">
      <w:pPr>
        <w:pStyle w:val="ZLEGWMATFIZCHEMzmlegendywzorumatfizlubchemartykuempunktem"/>
        <w:rPr>
          <w:rFonts w:eastAsia="Times New Roman"/>
        </w:rPr>
      </w:pPr>
      <w:r>
        <w:t>t</w:t>
      </w:r>
      <w:r>
        <w:rPr>
          <w:vertAlign w:val="subscript"/>
        </w:rPr>
        <w:t>n-2</w:t>
      </w:r>
      <w:r>
        <w:t xml:space="preserve"> –</w:t>
      </w:r>
      <w:r>
        <w:tab/>
        <w:t>die durchschnittliche Arbeitszeit für die Herstellung des Erzeugnisses bzw. einer Unterkategorie dieses Erzeugnisses im Haupterwerbsbetrieb im zweiten Jahr vor dem betreffenden Jahr in Stunden je Hektar,</w:t>
      </w:r>
    </w:p>
    <w:p w:rsidR="007B149B" w:rsidRDefault="007B149B" w:rsidP="00624C2A">
      <w:pPr>
        <w:pStyle w:val="ZLEGWMATFIZCHEMzmlegendywzorumatfizlubchemartykuempunktem"/>
        <w:rPr>
          <w:rFonts w:eastAsia="Times New Roman"/>
        </w:rPr>
      </w:pPr>
      <w:r>
        <w:t>t</w:t>
      </w:r>
      <w:r>
        <w:rPr>
          <w:vertAlign w:val="subscript"/>
        </w:rPr>
        <w:t>n-3</w:t>
      </w:r>
      <w:r>
        <w:t xml:space="preserve"> –</w:t>
      </w:r>
      <w:r>
        <w:tab/>
        <w:t>die durchschnittliche Arbeitszeit für die Herstellung des Erzeugnisses bzw. einer Unterkategorie dieses Erzeugnisses im Haupterwerbsbetrieb im dritten Jahr vor dem betreffenden Jahr in Stunden je Hektar,</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die Lohnkosten im zweiten Jahr vor dem betreffenden Jahr in Zlłty je Hektar,</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die Kennzahl der Lohnentwicklung in der verarbeitenden Industrie in dem Jahr vor dem betreffenden Jahr gegenüber dem zweiten Jahr vor dem betreffenden Jahr.</w:t>
      </w:r>
    </w:p>
    <w:p w:rsidR="007B149B" w:rsidRPr="007B149B" w:rsidRDefault="007B149B" w:rsidP="00900942">
      <w:pPr>
        <w:pStyle w:val="ZUSTzmustartykuempunktem"/>
        <w:keepNext/>
        <w:keepLines/>
        <w:rPr>
          <w:rFonts w:eastAsia="Times New Roman"/>
        </w:rPr>
      </w:pPr>
      <w:r>
        <w:t>2. Bei der Festlegung des Referenzpreises gelten als:</w:t>
      </w:r>
    </w:p>
    <w:p w:rsidR="007B149B" w:rsidRPr="007B149B" w:rsidRDefault="007B149B" w:rsidP="00624C2A">
      <w:pPr>
        <w:pStyle w:val="ZPKTzmpktartykuempunktem"/>
        <w:rPr>
          <w:rFonts w:eastAsia="Times New Roman"/>
        </w:rPr>
      </w:pPr>
      <w:r>
        <w:t>1)</w:t>
      </w:r>
      <w:r>
        <w:tab/>
        <w:t xml:space="preserve">Haupterwerbsbetriebe die Betriebe laut Artikel 5 Absatz 1 erster Unterabsatz der Verordnung (EU) Nr. 1217/2009 des Rates vom 30. November 2009 zur Bildung eines Informationsnetzes landwirtschaftlicher Buchführungen über die Einkommenslage und die betriebswirtschaftlichen Verhältnisse </w:t>
      </w:r>
      <w:r>
        <w:lastRenderedPageBreak/>
        <w:t>landwirtschaftlicher Betriebe in der Europäischen Gemeinschaft (ABl. EU L 328 vom 15.12.2009, S. 27 in der jeweils geltenden Fassung</w:t>
      </w:r>
      <w:r w:rsidR="00264817">
        <w:rPr>
          <w:rStyle w:val="FootnoteReference"/>
          <w:rFonts w:eastAsia="Times New Roman"/>
        </w:rPr>
        <w:footnoteReference w:id="4"/>
      </w:r>
      <w:r>
        <w:rPr>
          <w:rStyle w:val="IGindeksgrny"/>
        </w:rPr>
        <w:t>)</w:t>
      </w:r>
      <w:r>
        <w:t>);</w:t>
      </w:r>
    </w:p>
    <w:p w:rsidR="007B149B" w:rsidRPr="007B149B" w:rsidRDefault="007B149B" w:rsidP="00624C2A">
      <w:pPr>
        <w:pStyle w:val="ZPKTzmpktartykuempunktem"/>
        <w:rPr>
          <w:rFonts w:eastAsia="Times New Roman"/>
        </w:rPr>
      </w:pPr>
      <w:r>
        <w:t>2)</w:t>
      </w:r>
      <w:r>
        <w:tab/>
        <w:t>Lohnkosten die durchschnittliche Vergütung für die in einem Haupterwerbsbetrieb geleistete Arbeit.</w:t>
      </w:r>
    </w:p>
    <w:p w:rsidR="007B149B" w:rsidRPr="007B149B" w:rsidRDefault="007B149B" w:rsidP="00624C2A">
      <w:pPr>
        <w:pStyle w:val="ZUSTzmustartykuempunktem"/>
        <w:rPr>
          <w:rFonts w:eastAsia="Times New Roman"/>
        </w:rPr>
      </w:pPr>
      <w:r>
        <w:t>3. Der Referenzpreis des jeweiligen Erzeugnisses bzw. der jeweiligen Unterkategorie dieses Erzeugnisses wird anhand der Daten festgelegt, die aufgrund der Untersuchungen des Instituts für Landwirtschaftsökonomie und Lebensmittelwirtschaft - staatliches Forschungsinstitut - ausgearbeitet wurden, und die Kennzahl der Lohnentwicklung in der verarbeitenden Industrie in dem Jahr vor dem betreffenden Jahr gegenüber dem zweiten Jahr vor dem betreffenden Jahr wird anhand der statistischen Daten ermittelt, die in Einklang mit den Vorschriften über die öffentliche Statistik bekannt gegeben, zur Verfügung gestellt oder verbreitet wurden.</w:t>
      </w:r>
    </w:p>
    <w:p w:rsidR="00225E1D" w:rsidRDefault="007B149B" w:rsidP="00624C2A">
      <w:pPr>
        <w:pStyle w:val="ZUSTzmustartykuempunktem"/>
      </w:pPr>
      <w:r>
        <w:t>4. Das Institut für Landwirtschaftsökonomie und Lebensmittelwirtschaft - staatliches Forschungsinstitut - veröffentlicht die Daten nach Absatz 3 im Öffentlichen Mitteilungsblatt auf der einschlägigen Seite des Instituts bis zum 10. März eines jeden Jahres.</w:t>
      </w:r>
    </w:p>
    <w:p w:rsidR="001E1984" w:rsidRPr="002016C0" w:rsidRDefault="003B7577" w:rsidP="00624C2A">
      <w:pPr>
        <w:pStyle w:val="ZUSTzmustartykuempunktem"/>
      </w:pPr>
      <w:r>
        <w:t>5. Der für Agrarmärkte zuständige Minister legt per Verordnung ein Verzeichnis der Erzeugnisse und Unterkategorien dieser Erzeugnisse, für die ein Referenzpreis bestimmt wird, fest und berücksichtigt dabei die inländische landwirtschaftliche Produktion der jeweiligen Erzeugnisse bzw. Unterkategorien dieser Erzeugnisse, die Art ihrer Bewirtschaftung sowie die Gefahr einer missbräuchlichen Nutzung von Vertragsvorteilen.</w:t>
      </w:r>
    </w:p>
    <w:p w:rsidR="00CB4B38" w:rsidRPr="00721BB9" w:rsidRDefault="003B7577" w:rsidP="00624C2A">
      <w:pPr>
        <w:pStyle w:val="ZUSTzmustartykuempunktem"/>
      </w:pPr>
      <w:r>
        <w:t>6. Der für Agrarmärkte zuständige Minister veröffentlicht per Bekanntmachung den Referenzpreis des Erzeugnisses und einer Unterkategorie dieses Erzeugnisses, die in dem Verzeichnis nach Absatz 5 gelistet sind, bis zum 31. März eines jeden Jahres.“.</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szCs w:val="24"/>
        </w:rPr>
        <w:t>Artikel 3.</w:t>
      </w:r>
      <w:r>
        <w:rPr>
          <w:rFonts w:ascii="Times New Roman" w:hAnsi="Times New Roman"/>
          <w:szCs w:val="24"/>
        </w:rPr>
        <w:t xml:space="preserve"> Auf Verträge über die Lieferung von landwirtschaftlichen Erzeugnissen aus den in Artikel 1 Absatz 2 der Verordnung (EU) Nr. 1308/2013 des Europäischen Parlaments und des Rates vom 17. Dezember 2013 über eine gemeinsame Marktorganisation für landwirtschaftliche Erzeugnisse und zur Aufhebung der Verordnungen (EWG) Nr. 922/72, (EWG) Nr. 234/79, (EG) Nr. 1037/2001 und (EG) Nr. 1234/2007 (ABl. EU L 347 vom </w:t>
      </w:r>
      <w:r>
        <w:rPr>
          <w:rFonts w:ascii="Times New Roman" w:hAnsi="Times New Roman"/>
          <w:szCs w:val="24"/>
        </w:rPr>
        <w:lastRenderedPageBreak/>
        <w:t>20.12.2013, S. 671 in der jeweils geltenden Fassung</w:t>
      </w:r>
      <w:r w:rsidR="002647D7">
        <w:rPr>
          <w:rStyle w:val="FootnoteReference"/>
          <w:rFonts w:ascii="Times New Roman" w:hAnsi="Times New Roman"/>
          <w:szCs w:val="24"/>
        </w:rPr>
        <w:footnoteReference w:id="5"/>
      </w:r>
      <w:r>
        <w:rPr>
          <w:rFonts w:ascii="Times New Roman" w:hAnsi="Times New Roman"/>
          <w:szCs w:val="24"/>
          <w:vertAlign w:val="superscript"/>
        </w:rPr>
        <w:t>)</w:t>
      </w:r>
      <w:r>
        <w:rPr>
          <w:rFonts w:ascii="Times New Roman" w:hAnsi="Times New Roman"/>
          <w:szCs w:val="24"/>
        </w:rPr>
        <w:t>) genannten Sektoren, die vor dem Tag des Inkrafttretens dieses Gesetzes abgeschlossen wurden, finden die Bestimmungen des in Artikel 1 geänderten Gesetzes in ihrer derzeitigen Fassung Anwendung.</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szCs w:val="24"/>
        </w:rPr>
        <w:t>Artikel 4.</w:t>
      </w:r>
      <w:r>
        <w:rPr>
          <w:rFonts w:ascii="Times New Roman" w:hAnsi="Times New Roman"/>
          <w:szCs w:val="24"/>
        </w:rPr>
        <w:t xml:space="preserve"> Auf Verfahren im Zusammenhang mit der Verhängung von Geldstrafen, die aufgrund des in Artikel 1 geänderten Gesetzes eingeleitet und nicht mit einem endgültigen Beschluss bis zum Tag des Inkrafttretens dieses Gesetzes abgeschlossen wurden, finden die Bestimmungen des in Artikel 1 geänderten Gesetzes in ihrer derzeitigen Fassung Anwendung.</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szCs w:val="24"/>
        </w:rPr>
        <w:t>Artikel 5.</w:t>
      </w:r>
      <w:r>
        <w:rPr>
          <w:rFonts w:ascii="Times New Roman" w:hAnsi="Times New Roman"/>
          <w:szCs w:val="24"/>
        </w:rPr>
        <w:t xml:space="preserve"> Auf Kaufverträge über landwirtschaftliche Erzeugnisse und Lebensmittel, die vor dem Tag der Veröffentlichung der Bekanntmachung nach Artikel 6 abgeschlossen wurden, finden die Bestimmungen des in Artikel 2 geänderten Gesetzes in ihrer derzeitigen Fassung Anwendung.</w:t>
      </w:r>
    </w:p>
    <w:p w:rsidR="000B07C9" w:rsidRDefault="005C67D3" w:rsidP="00624C2A">
      <w:pPr>
        <w:pStyle w:val="ARTartustawynprozporzdzenia"/>
        <w:rPr>
          <w:rFonts w:ascii="Times New Roman" w:hAnsi="Times New Roman" w:cs="Times New Roman"/>
          <w:szCs w:val="24"/>
        </w:rPr>
      </w:pPr>
      <w:r>
        <w:rPr>
          <w:rFonts w:ascii="Times New Roman" w:hAnsi="Times New Roman"/>
          <w:b/>
          <w:szCs w:val="24"/>
        </w:rPr>
        <w:t>Artikel 6.</w:t>
      </w:r>
      <w:r>
        <w:rPr>
          <w:rFonts w:ascii="Times New Roman" w:hAnsi="Times New Roman"/>
          <w:szCs w:val="24"/>
        </w:rPr>
        <w:t xml:space="preserve"> Der für Agrarmärkte zuständige Minister veröffentlicht 2019 innerhalb von 14 Tagen ab dem Tag des Inkrafttretens des Gesetzes per Bekanntmachung den für den Zeitraum ab dem Tag der Bekanntmachung bis zum 31. März 2020 verbindlichen Referenzpreis des Erzeugnisses und der Unterkategorie dieses Erzeugnisses, die in dem Verzeichnis nach Artikel 7a Absatz 5 des in Artikel 2 genannten Gesetzes in dem von diesem Gesetz vorgegebenen Wortlaut gelistet sind .</w:t>
      </w:r>
    </w:p>
    <w:p w:rsidR="00062717" w:rsidRDefault="00C418F0" w:rsidP="00624C2A">
      <w:pPr>
        <w:pStyle w:val="ARTartustawynprozporzdzenia"/>
      </w:pPr>
      <w:r>
        <w:rPr>
          <w:rStyle w:val="Ppogrubienie"/>
          <w:rFonts w:ascii="Times New Roman" w:hAnsi="Times New Roman"/>
          <w:szCs w:val="24"/>
        </w:rPr>
        <w:t>Artikel 7.</w:t>
      </w:r>
      <w:r>
        <w:t xml:space="preserve"> Das Gesetz tritt 14 Tage nach seiner Veröffentlichung in Kraft.</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6E9" w:rsidRDefault="00E116E9">
      <w:r>
        <w:separator/>
      </w:r>
    </w:p>
  </w:endnote>
  <w:endnote w:type="continuationSeparator" w:id="0">
    <w:p w:rsidR="00E116E9" w:rsidRDefault="00E1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6E9" w:rsidRDefault="00E116E9">
      <w:r>
        <w:separator/>
      </w:r>
    </w:p>
  </w:footnote>
  <w:footnote w:type="continuationSeparator" w:id="0">
    <w:p w:rsidR="00E116E9" w:rsidRDefault="00E116E9">
      <w:r>
        <w:continuationSeparator/>
      </w:r>
    </w:p>
  </w:footnote>
  <w:footnote w:id="1">
    <w:p w:rsidR="00717F00" w:rsidRDefault="00717F00" w:rsidP="00B44A77">
      <w:pPr>
        <w:pStyle w:val="ODNONIKtreodnonika"/>
      </w:pPr>
      <w:r>
        <w:rPr>
          <w:rStyle w:val="FootnoteReference"/>
        </w:rPr>
        <w:footnoteRef/>
      </w:r>
      <w:r>
        <w:rPr>
          <w:rStyle w:val="IGindeksgrny"/>
        </w:rPr>
        <w:t>)</w:t>
      </w:r>
      <w:r>
        <w:tab/>
        <w:t>Dieses Gesetz wurde der Europäischen Kommission am ... unter der Nummer ... gemäß § 4 der Verordnung des Ministerrates vom 23. Dezember 2002 über die Funktionsweise des nationalen Notifizierungssystems von Normen und Rechtsakten (polnisches Gesetzblatt Pos. 2039 sowie von 2004 Pos. 597) notifiziert, mit der die Richtlinie (EU) 2015/1535 des Europäischen Parlaments und des Rates vom 9. September 2015 über ein Informationsverfahren auf dem Gebiet der technischen Vorschriften und der Vorschriften für die Dienste der Informationsgesellschaft (Amtsblatt EU L 241 vom 17.9.2015, S. 1) umgesetzt wird.</w:t>
      </w:r>
    </w:p>
  </w:footnote>
  <w:footnote w:id="2">
    <w:p w:rsidR="006E575F" w:rsidRDefault="006E575F" w:rsidP="006E575F">
      <w:pPr>
        <w:pStyle w:val="ODNONIKtreodnonika"/>
      </w:pPr>
      <w:r>
        <w:rPr>
          <w:rStyle w:val="FootnoteReference"/>
        </w:rPr>
        <w:footnoteRef/>
      </w:r>
      <w:r>
        <w:rPr>
          <w:rStyle w:val="IGindeksgrny"/>
        </w:rPr>
        <w:t>)</w:t>
      </w:r>
      <w:r>
        <w:tab/>
        <w:t>Die Änderungen der einheitlichen Fassung des oben genannten Gesetzes wurden im polnischen Gesetzblatt von 2018 Pos. 1669, 2136, 2227, 2242, 2244 und 2245 bekannt gegeben.</w:t>
      </w:r>
    </w:p>
  </w:footnote>
  <w:footnote w:id="3">
    <w:p w:rsidR="00753937" w:rsidRDefault="00753937" w:rsidP="00924BC2">
      <w:pPr>
        <w:pStyle w:val="ODNONIKtreodnonika"/>
      </w:pPr>
      <w:r>
        <w:rPr>
          <w:rStyle w:val="FootnoteReference"/>
        </w:rPr>
        <w:footnoteRef/>
      </w:r>
      <w:r>
        <w:rPr>
          <w:vertAlign w:val="superscript"/>
        </w:rPr>
        <w:t>)</w:t>
      </w:r>
      <w:r>
        <w:tab/>
        <w:t>Die Änderungen der genannten Verordnung wurden im Amtsblatt EU L 347 vom 20.12.2013, S. 865, Amtsblatt EU L 181 vom 20.6.2014, S. 1, Amtsblatt EU L 280 vom 24.9.2014, S. 1, Amtsblatt EU L 281 vom 25.9.2014, S. 1, Amtsblatt EU L 367 vom 23.12.2014, S. 16, Amtsblatt EU L 135 vom 2.6.2015, S. 8, Amtsblatt EU L 28 vom 4.2.2016, S. 8, Amtsblatt EU L 130 vom 19.5.2016, S. 16, Amtsblatt EU L 167 vom 30.6.2017, S. 1, Amtsblatt EU L 350 vom 29.12.2017, S. 15, Amtsblatt EU L 30 vom 2.2.2018, S. 6, Amtsblatt EU L 16 vom 18.1.2019, S. 1 sowie Amtsblatt EU L 53 vom 22.2.2019, S. 14 bekannt gegeben.</w:t>
      </w:r>
    </w:p>
  </w:footnote>
  <w:footnote w:id="4">
    <w:p w:rsidR="00264817" w:rsidRDefault="00264817" w:rsidP="00FF7049">
      <w:pPr>
        <w:pStyle w:val="ODNONIKtreodnonika"/>
      </w:pPr>
      <w:r>
        <w:rPr>
          <w:rStyle w:val="FootnoteReference"/>
        </w:rPr>
        <w:footnoteRef/>
      </w:r>
      <w:r>
        <w:rPr>
          <w:rStyle w:val="IGindeksgrny"/>
        </w:rPr>
        <w:t>)</w:t>
      </w:r>
      <w:r>
        <w:tab/>
        <w:t>Die Änderungen der genannten Verordnung wurden veröffentlicht im Amtsblatt EU L 195 vom 27.7.2011, S. 42, Amtsblatt EU L 158 vom 10.6.2013, S. 1, Amtsblatt EU L 340 vom 17.12.2013, S. 1 sowie Amtsblatt EU L 328 vom 12.12.2017, S. 1.</w:t>
      </w:r>
    </w:p>
  </w:footnote>
  <w:footnote w:id="5">
    <w:p w:rsidR="002647D7" w:rsidRPr="00F90C7E" w:rsidRDefault="002647D7" w:rsidP="00721BB9">
      <w:pPr>
        <w:pStyle w:val="ODNONIKtreodnonika"/>
      </w:pPr>
      <w:r>
        <w:rPr>
          <w:rStyle w:val="FootnoteReference"/>
        </w:rPr>
        <w:footnoteRef/>
      </w:r>
      <w:r>
        <w:rPr>
          <w:vertAlign w:val="superscript"/>
        </w:rPr>
        <w:t>)</w:t>
      </w:r>
      <w:r>
        <w:rPr>
          <w:vertAlign w:val="superscript"/>
        </w:rPr>
        <w:tab/>
      </w:r>
      <w:r>
        <w:t xml:space="preserve">Die Änderungen der erwähnten Verordnung wurden veröffentlicht im Amtsblatt EU L 347 vom 20.12.2013, S. 865, Amtsblatt EU L 189 vom 27.6.2014, S. 261, Amtsblatt EU L 130 vom 19.5.2016, S. 20, Amtsblatt EU L 135 vom 24.5.2016, S. 1, Amtsblatt EU L 193 vom 19.7.2016, S. 17, Amtsblatt EU L 202 vom 28.7.2016, S. 5, Amtsblatt EU L 91 vom 5.4.2017, S. 44, Amtsblatt EU L 350 vom 29.12.2017, S. 15 sowie Amtsblatt EU L 114 vom 4.5.2018, S.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57440B">
      <w:rPr>
        <w:noProof/>
      </w:rPr>
      <w:t>3</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729"/>
    <w:rsid w:val="004178E3"/>
    <w:rsid w:val="00417B22"/>
    <w:rsid w:val="00420BCD"/>
    <w:rsid w:val="00421085"/>
    <w:rsid w:val="00421433"/>
    <w:rsid w:val="0042465E"/>
    <w:rsid w:val="00424DF7"/>
    <w:rsid w:val="00425BDE"/>
    <w:rsid w:val="00427D24"/>
    <w:rsid w:val="004319E1"/>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40B"/>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3B8A"/>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16E9"/>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7C51B8C-D897-403A-B4D2-F972965E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de-DE"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lang w:eastAsia="en-US"/>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D5F79C-E4B6-4B2C-93DC-5C653B40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12</Pages>
  <Words>3528</Words>
  <Characters>20112</Characters>
  <Application>Microsoft Office Word</Application>
  <DocSecurity>0</DocSecurity>
  <Lines>167</Lines>
  <Paragraphs>47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5</cp:revision>
  <cp:lastPrinted>2019-07-03T09:10:00Z</cp:lastPrinted>
  <dcterms:created xsi:type="dcterms:W3CDTF">2019-07-16T12:08:00Z</dcterms:created>
  <dcterms:modified xsi:type="dcterms:W3CDTF">2019-07-30T01:38:00Z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