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372A96" w:rsidRDefault="00624C2A" w:rsidP="00624C2A">
      <w:pPr>
        <w:spacing w:after="120"/>
        <w:jc w:val="center"/>
        <w:rPr>
          <w:rFonts w:ascii="Courier New" w:hAnsi="Courier New"/>
          <w:sz w:val="20"/>
          <w:szCs w:val="20"/>
        </w:rPr>
      </w:pPr>
      <w:r>
        <w:rPr>
          <w:rFonts w:ascii="Courier New" w:hAnsi="Courier New"/>
          <w:sz w:val="20"/>
        </w:rPr>
        <w:t>1. ------IND- 2019 0340 PL- IT- ------ 20190729 --- --- PROJET</w:t>
      </w:r>
    </w:p>
    <w:p w:rsidR="00E4313A" w:rsidRPr="003136B9" w:rsidRDefault="00E4313A" w:rsidP="00624C2A">
      <w:pPr>
        <w:pStyle w:val="OZNPROJEKTUwskazaniedatylubwersjiprojektu"/>
      </w:pPr>
      <w:r>
        <w:t>Progetto</w:t>
      </w:r>
    </w:p>
    <w:p w:rsidR="00E4313A" w:rsidRPr="00C71DFB" w:rsidRDefault="00E4313A" w:rsidP="00624C2A">
      <w:pPr>
        <w:pStyle w:val="OZNRODZAKTUtznustawalubrozporzdzenieiorganwydajcy"/>
        <w:keepNext w:val="0"/>
        <w:rPr>
          <w:rFonts w:ascii="Times New Roman" w:hAnsi="Times New Roman"/>
        </w:rPr>
      </w:pPr>
      <w:r>
        <w:rPr>
          <w:rFonts w:ascii="Times New Roman" w:hAnsi="Times New Roman"/>
        </w:rPr>
        <w:t>LEGGE</w:t>
      </w:r>
    </w:p>
    <w:p w:rsidR="00E4313A" w:rsidRPr="00072863" w:rsidRDefault="00E4313A" w:rsidP="00624C2A">
      <w:pPr>
        <w:pStyle w:val="DATAAKTUdatauchwalenialubwydaniaaktu"/>
        <w:keepNext w:val="0"/>
        <w:rPr>
          <w:rFonts w:ascii="Times New Roman" w:hAnsi="Times New Roman" w:cs="Times New Roman"/>
        </w:rPr>
      </w:pPr>
      <w:r>
        <w:rPr>
          <w:rFonts w:ascii="Times New Roman" w:hAnsi="Times New Roman"/>
        </w:rPr>
        <w:t>del</w:t>
      </w:r>
    </w:p>
    <w:p w:rsidR="00E4313A" w:rsidRPr="00C12D18" w:rsidRDefault="00E4313A" w:rsidP="00624C2A">
      <w:pPr>
        <w:pStyle w:val="TYTDZPRZEDMprzedmiotregulacjitytuulubdziau"/>
        <w:keepNext w:val="0"/>
        <w:rPr>
          <w:rStyle w:val="IGindeksgrny"/>
        </w:rPr>
      </w:pPr>
      <w:r>
        <w:rPr>
          <w:rFonts w:ascii="Times New Roman" w:hAnsi="Times New Roman"/>
        </w:rPr>
        <w:t>recante modifica della legge sull'organizzazione di taluni mercati agricoli e della legge sulla lotta all'uso fraudolento del vantaggio contrattuale nella commercializzazione di prodotti agricoli e alimentari</w:t>
      </w:r>
      <w:r>
        <w:rPr>
          <w:rStyle w:val="FootnoteReference"/>
          <w:rFonts w:ascii="Times New Roman" w:hAnsi="Times New Roman"/>
          <w:b w:val="0"/>
        </w:rPr>
        <w:footnoteReference w:id="1"/>
      </w:r>
      <w:r>
        <w:rPr>
          <w:rStyle w:val="IGindeksgrny"/>
          <w:b w:val="0"/>
        </w:rPr>
        <w:t>)</w:t>
      </w:r>
    </w:p>
    <w:p w:rsidR="00E4313A" w:rsidRPr="00072863" w:rsidRDefault="00B0048D" w:rsidP="00624C2A">
      <w:pPr>
        <w:pStyle w:val="ARTartustawynprozporzdzenia"/>
        <w:rPr>
          <w:rFonts w:ascii="Times New Roman" w:hAnsi="Times New Roman" w:cs="Times New Roman"/>
          <w:szCs w:val="24"/>
        </w:rPr>
      </w:pPr>
      <w:r>
        <w:rPr>
          <w:rStyle w:val="Ppogrubienie"/>
          <w:rFonts w:ascii="Times New Roman" w:hAnsi="Times New Roman"/>
        </w:rPr>
        <w:t>Articolo 1.</w:t>
      </w:r>
      <w:r>
        <w:rPr>
          <w:rFonts w:ascii="Times New Roman" w:hAnsi="Times New Roman"/>
        </w:rPr>
        <w:t xml:space="preserve"> Nella legge dell'11 marzo 2004 sull'organizzazione di taluni mercati agricoli (Dz. U. del 2018, voce 945) sono introdotte le seguenti modifiche:</w:t>
      </w:r>
    </w:p>
    <w:p w:rsidR="00F515DA" w:rsidRPr="00072863" w:rsidRDefault="00B0048D" w:rsidP="00624C2A">
      <w:pPr>
        <w:pStyle w:val="PKTpunkt"/>
        <w:keepNext/>
        <w:keepLines/>
        <w:rPr>
          <w:rFonts w:ascii="Times New Roman" w:hAnsi="Times New Roman" w:cs="Times New Roman"/>
          <w:szCs w:val="24"/>
        </w:rPr>
      </w:pPr>
      <w:r>
        <w:rPr>
          <w:rFonts w:ascii="Times New Roman" w:hAnsi="Times New Roman"/>
        </w:rPr>
        <w:t>1)</w:t>
      </w:r>
      <w:r>
        <w:tab/>
      </w:r>
      <w:r>
        <w:rPr>
          <w:rFonts w:ascii="Times New Roman" w:hAnsi="Times New Roman"/>
        </w:rPr>
        <w:t>all'articolo 38q:</w:t>
      </w:r>
    </w:p>
    <w:p w:rsidR="00F515DA" w:rsidRPr="00072863" w:rsidRDefault="00F515DA" w:rsidP="00624C2A">
      <w:pPr>
        <w:pStyle w:val="LITlitera"/>
        <w:keepNext/>
        <w:keepLines/>
        <w:rPr>
          <w:rFonts w:ascii="Times New Roman" w:hAnsi="Times New Roman" w:cs="Times New Roman"/>
          <w:szCs w:val="24"/>
        </w:rPr>
      </w:pPr>
      <w:r>
        <w:rPr>
          <w:rFonts w:ascii="Times New Roman" w:hAnsi="Times New Roman"/>
        </w:rPr>
        <w:t>a)</w:t>
      </w:r>
      <w:r>
        <w:tab/>
      </w:r>
      <w:r>
        <w:rPr>
          <w:rFonts w:ascii="Times New Roman" w:hAnsi="Times New Roman"/>
        </w:rPr>
        <w:t>il paragrafo 1 è modificato come segue:</w:t>
      </w:r>
    </w:p>
    <w:p w:rsidR="00FD19C8" w:rsidRDefault="00FD19C8" w:rsidP="00624C2A">
      <w:pPr>
        <w:pStyle w:val="ZLITUSTzmustliter"/>
        <w:rPr>
          <w:rFonts w:ascii="Times New Roman" w:hAnsi="Times New Roman" w:cs="Times New Roman"/>
          <w:szCs w:val="24"/>
        </w:rPr>
      </w:pPr>
      <w:r>
        <w:rPr>
          <w:rFonts w:ascii="Times New Roman" w:hAnsi="Times New Roman"/>
        </w:rPr>
        <w:t>"1. Qualsiasi fornitura di prodotti agricoli appartenenti ai settori di cui all'articolo 1, paragrafo 2, lettera a), del regolamento (CE) n. 1308/2013, lettera c), del medesimo regolamento limitatamente alla barbabietola da zucchero, lettere f), h), i), n), o), del medesimo regolamento, lettera p), del medesimo regolamento limitatamente al latte crudo, lettere q), r), s), t), del medesimo regolamento e lettera x) del medesimo regolamento limitatamente alle patate, alla colza e al ravizzone, ad esclusione delle consegne dirette e del commercio al dettaglio di prodotti agricoli ai sensi della legge del 25 agosto 2006 sulla sicurezza dei prodotti alimentari e dell'alimentazione (Dz. U. del 2018, voce 1541, e successive modifiche</w:t>
      </w:r>
      <w:r>
        <w:rPr>
          <w:rFonts w:ascii="Times New Roman" w:hAnsi="Times New Roman"/>
          <w:vertAlign w:val="superscript"/>
        </w:rPr>
        <w:footnoteReference w:id="2"/>
      </w:r>
      <w:r>
        <w:rPr>
          <w:rFonts w:ascii="Times New Roman" w:hAnsi="Times New Roman"/>
          <w:vertAlign w:val="superscript"/>
        </w:rPr>
        <w:t>)</w:t>
      </w:r>
      <w:r>
        <w:rPr>
          <w:rFonts w:ascii="Times New Roman" w:hAnsi="Times New Roman"/>
        </w:rPr>
        <w:t xml:space="preserve">), nonché della vendita diretta ai sensi della legge del 16 dicembre 2005 sui prodotti di origine animale (Dz. U. 2019, voce 824) effettuata da un produttore che è un agricoltore ai sensi dell'articolo 4, paragrafo 1, lettera a), del regolamento (UE) n. 1307/2013 del Parlamento europeo e del Consiglio, del 17 dicembre 2013, recante norme sui pagamenti diretti agli agricoltori nell'ambito dei regimi di sostegno previsti dalla politica agricola comune e che abroga il regolamento (CE) n. 637/2008 del Consiglio </w:t>
      </w:r>
      <w:r>
        <w:rPr>
          <w:rFonts w:ascii="Times New Roman" w:hAnsi="Times New Roman"/>
        </w:rPr>
        <w:lastRenderedPageBreak/>
        <w:t>e il regolamento (CE) n. 73/2009 del Consiglio (GU UE L 347 del 20.12.2013, pag. 608, e successive modifiche.</w:t>
      </w:r>
      <w:r>
        <w:rPr>
          <w:rStyle w:val="FootnoteReference"/>
          <w:rFonts w:ascii="Times New Roman" w:hAnsi="Times New Roman"/>
        </w:rPr>
        <w:footnoteReference w:id="3"/>
      </w:r>
      <w:r>
        <w:rPr>
          <w:rFonts w:ascii="Times New Roman" w:hAnsi="Times New Roman"/>
          <w:vertAlign w:val="superscript"/>
        </w:rPr>
        <w:t>)</w:t>
      </w:r>
      <w:r>
        <w:rPr>
          <w:rFonts w:ascii="Times New Roman" w:hAnsi="Times New Roman"/>
        </w:rPr>
        <w:t>), la cui azienda è situata nel territorio della Repubblica di Polonia, al primo acquirente, il quale è un trasformatore o distributore, che non vende tali prodotti agricoli direttamente ai consumatori finali, in prosieguo: "distributore", o un intermediario che non vende tali prodotti agricoli direttamente ai consumatori finali, in prosieguo: "intermediario", richiede la stipulazione di un contratto relativo a una o più consegne che soddisfi le condizioni stabilite:</w:t>
      </w:r>
    </w:p>
    <w:p w:rsidR="00BB0015" w:rsidRDefault="00BB0015" w:rsidP="00624C2A">
      <w:pPr>
        <w:pStyle w:val="ZLITPKTzmpktliter"/>
        <w:rPr>
          <w:rFonts w:ascii="Times New Roman" w:hAnsi="Times New Roman" w:cs="Times New Roman"/>
          <w:szCs w:val="24"/>
        </w:rPr>
      </w:pPr>
      <w:r>
        <w:rPr>
          <w:rFonts w:ascii="Times New Roman" w:hAnsi="Times New Roman"/>
        </w:rPr>
        <w:t>1)</w:t>
      </w:r>
      <w:r>
        <w:tab/>
      </w:r>
      <w:r>
        <w:rPr>
          <w:rFonts w:ascii="Times New Roman" w:hAnsi="Times New Roman"/>
        </w:rPr>
        <w:t>all'articolo 125 e nell'allegato X del regolamento n. 1308/2013, nel caso dei prodotti agricoli appartenenti al settore di cui all'articolo 1, paragrafo 2, lettera c) del regolamento n. 1308/2013 limitatamente alla barbabietola da zucchero;</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2)</w:t>
      </w:r>
      <w:r>
        <w:tab/>
      </w:r>
      <w:r>
        <w:rPr>
          <w:rFonts w:ascii="Times New Roman" w:hAnsi="Times New Roman"/>
        </w:rPr>
        <w:t>all'articolo 148, paragrafo 2, del regolamento n. 1308/2013, nel caso dei prodotti agricoli appartenenti al settore di cui all'articolo 1, paragrafo 2, lettera p), del regolamento n. 1308/2013, limitatamente al latte crudo;</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3)</w:t>
      </w:r>
      <w:r>
        <w:tab/>
      </w:r>
      <w:r>
        <w:rPr>
          <w:rFonts w:ascii="Times New Roman" w:hAnsi="Times New Roman"/>
        </w:rPr>
        <w:t>all'articolo 168, paragrafi 4 e 6, del regolamento n. 1308/2013, nel caso dei prodotti agricoli appartenenti ai settori di cui all'articolo 1, paragrafo 2, lettere a), f), h), i), n), o), q), r), s), t), del regolamento n. 1308/2013 e lettera x) del regolamento n. 1308/2013, limitatamente alle patate, alla colza e al ravizzone.";</w:t>
      </w:r>
    </w:p>
    <w:p w:rsidR="00E4313A" w:rsidRPr="00072863" w:rsidRDefault="003B48AC" w:rsidP="00624C2A">
      <w:pPr>
        <w:pStyle w:val="LITlitera"/>
      </w:pPr>
      <w:r>
        <w:t>b)</w:t>
      </w:r>
      <w:r>
        <w:tab/>
        <w:t>al paragrafo 1a, l'espressione "all'allegato X e XI" è sostituita dall'espressione "all'allegato X";</w:t>
      </w:r>
    </w:p>
    <w:p w:rsidR="00EF6289" w:rsidRDefault="009809DC" w:rsidP="00624C2A">
      <w:pPr>
        <w:pStyle w:val="LITlitera"/>
        <w:keepNext/>
        <w:keepLines/>
      </w:pPr>
      <w:r>
        <w:t>c)</w:t>
      </w:r>
      <w:r>
        <w:tab/>
        <w:t>al paragrafo 1b:</w:t>
      </w:r>
    </w:p>
    <w:p w:rsidR="00B01B0A" w:rsidRPr="00072863" w:rsidRDefault="00B01B0A" w:rsidP="00624C2A">
      <w:pPr>
        <w:pStyle w:val="TIRtiret"/>
      </w:pPr>
      <w:r>
        <w:t>–</w:t>
      </w:r>
      <w:r>
        <w:tab/>
        <w:t>è abrogato il punto 2,</w:t>
      </w:r>
    </w:p>
    <w:p w:rsidR="00803781" w:rsidRPr="00072863" w:rsidRDefault="00EF6289" w:rsidP="00624C2A">
      <w:pPr>
        <w:pStyle w:val="TIRtiret"/>
        <w:rPr>
          <w:rFonts w:ascii="Times New Roman" w:hAnsi="Times New Roman" w:cs="Times New Roman"/>
          <w:szCs w:val="24"/>
        </w:rPr>
      </w:pPr>
      <w:r>
        <w:rPr>
          <w:rFonts w:ascii="Times New Roman" w:hAnsi="Times New Roman"/>
        </w:rPr>
        <w:t>–</w:t>
      </w:r>
      <w:r>
        <w:tab/>
      </w:r>
      <w:r>
        <w:rPr>
          <w:rFonts w:ascii="Times New Roman" w:hAnsi="Times New Roman"/>
        </w:rPr>
        <w:t>nella parte comune dell'elenco l'espressione "articolo 125 o articolo 127 del regolamento n. 1308/2013 e, rispettivamente, nell'allegato X o XI" è sostituita dall'espressione "articolo 125 del regolamento n. 1308/2013 e, rispettivamente, nell'allegato X";</w:t>
      </w:r>
    </w:p>
    <w:p w:rsidR="00BF55CF" w:rsidRPr="00072863" w:rsidRDefault="00B01B0A" w:rsidP="00624C2A">
      <w:pPr>
        <w:pStyle w:val="LITlitera"/>
        <w:keepNext/>
        <w:keepLines/>
      </w:pPr>
      <w:r>
        <w:t>d)</w:t>
      </w:r>
      <w:r>
        <w:tab/>
        <w:t>dopo il paragrafo 1b è aggiunto il seguente paragrafo 1ba:</w:t>
      </w:r>
    </w:p>
    <w:p w:rsidR="002B5992" w:rsidRPr="00072863" w:rsidRDefault="00A77843" w:rsidP="00624C2A">
      <w:pPr>
        <w:pStyle w:val="ZLITUSTzmustliter"/>
        <w:rPr>
          <w:rFonts w:ascii="Times New Roman" w:hAnsi="Times New Roman" w:cs="Times New Roman"/>
          <w:szCs w:val="24"/>
        </w:rPr>
      </w:pPr>
      <w:r>
        <w:rPr>
          <w:rFonts w:ascii="Times New Roman" w:hAnsi="Times New Roman"/>
        </w:rPr>
        <w:t xml:space="preserve">"1ba. Le disposizioni del paragrafo 1 non si applicano neppure nel caso in cui il produttore di cui al paragrafo 1 vende i prodotti agricoli attraverso una borsa merci, </w:t>
      </w:r>
      <w:r>
        <w:rPr>
          <w:rFonts w:ascii="Times New Roman" w:hAnsi="Times New Roman"/>
        </w:rPr>
        <w:lastRenderedPageBreak/>
        <w:t>ai sensi delle disposizioni sulle borse merci, o un sistema di negoziazione di strumenti finanziari, ai sensi delle disposizioni relative alla negoziazione di strumenti finanziari, o nel perimetro di un mercato all'ingrosso di prodotti agroalimentari gestito da una società di diritto commerciale la cui attività principale consiste nella locazione e nella gestione di beni immobili per il commercio all'ingrosso di prodotti agroalimentari.";</w:t>
      </w:r>
    </w:p>
    <w:p w:rsidR="003B0EDD" w:rsidRDefault="00C95BB7" w:rsidP="006D62ED">
      <w:pPr>
        <w:pStyle w:val="LITlitera"/>
        <w:keepNext/>
        <w:keepLines/>
      </w:pPr>
      <w:r>
        <w:t>e)</w:t>
      </w:r>
      <w:r>
        <w:tab/>
        <w:t>il paragrafo 1c è modificato come segue:</w:t>
      </w:r>
      <w:bookmarkStart w:id="0" w:name="_GoBack"/>
      <w:bookmarkEnd w:id="0"/>
    </w:p>
    <w:p w:rsidR="00E4313A" w:rsidRPr="00072863" w:rsidRDefault="003B0EDD" w:rsidP="00624C2A">
      <w:pPr>
        <w:pStyle w:val="ZLITUSTzmustliter"/>
      </w:pPr>
      <w:r>
        <w:t>"1c. Il contratto di cui al paragrafo 1 è conservato dal produttore e dall'acquirente, di cui al medesimo paragrafo, per due anni a decorrere dalla fine dell'anno in cui è stata effettuata l'ultima consegna prevista da tale contratto.";</w:t>
      </w:r>
    </w:p>
    <w:p w:rsidR="00CB5759" w:rsidRPr="00072863" w:rsidRDefault="00B91D09" w:rsidP="00624C2A">
      <w:pPr>
        <w:pStyle w:val="LITlitera"/>
        <w:keepNext/>
        <w:keepLines/>
      </w:pPr>
      <w:r>
        <w:t>f)</w:t>
      </w:r>
      <w:r>
        <w:tab/>
        <w:t>il paragrafo 4 è modificato come segue:</w:t>
      </w:r>
    </w:p>
    <w:p w:rsidR="00CB5759" w:rsidRPr="00072863" w:rsidRDefault="00CB5759" w:rsidP="00624C2A">
      <w:pPr>
        <w:pStyle w:val="ZLITUSTzmustliter"/>
      </w:pPr>
      <w:r>
        <w:t>"4. Il ministro responsabile dei mercati agricoli può specificare, mediante regolamento:</w:t>
      </w:r>
    </w:p>
    <w:p w:rsidR="00137BB1" w:rsidRPr="00072863" w:rsidRDefault="00137BB1" w:rsidP="00624C2A">
      <w:pPr>
        <w:pStyle w:val="ZLITPKTzmpktliter"/>
      </w:pPr>
      <w:r>
        <w:t>1)</w:t>
      </w:r>
      <w:r>
        <w:tab/>
        <w:t>la durata minima del contratto di cui al paragrafo 1; o</w:t>
      </w:r>
    </w:p>
    <w:p w:rsidR="0035086C" w:rsidRPr="00924BC2" w:rsidRDefault="00137BB1" w:rsidP="00624C2A">
      <w:pPr>
        <w:pStyle w:val="ZLITPKTzmpktliter"/>
      </w:pPr>
      <w:r>
        <w:t>2)</w:t>
      </w:r>
      <w:r>
        <w:tab/>
        <w:t>il periodo minimo tra la stipulazione del contratto di cui al paragrafo 1 e la consegna dei prodotti agricoli; o</w:t>
      </w:r>
    </w:p>
    <w:p w:rsidR="00774693" w:rsidRPr="00924BC2" w:rsidRDefault="00774693" w:rsidP="00624C2A">
      <w:pPr>
        <w:pStyle w:val="ZLITPKTzmpktliter"/>
      </w:pPr>
      <w:r>
        <w:t>3)</w:t>
      </w:r>
      <w:r>
        <w:tab/>
        <w:t>il termine per la stipulazione del contratto di cui al paragrafo 1</w:t>
      </w:r>
    </w:p>
    <w:p w:rsidR="00137BB1" w:rsidRPr="00072863" w:rsidRDefault="00942A4A" w:rsidP="00624C2A">
      <w:pPr>
        <w:pStyle w:val="ZLITCZWSPPKTzmczciwsppktliter"/>
      </w:pPr>
      <w:r>
        <w:t>– in riferimento ai prodotti agricoli scelti tra quelli appartenenti ai settori di cui all'articolo 1, paragrafo 2, lettera a), del regolamento (CE) n. 1308/2013, lettera c), del medesimo regolamento limitatamente alla barbabietola da zucchero, lettere f), h), i), n), o), del medesimo regolamento, lettera p), del medesimo regolamento limitatamente al latte crudo, lettere q), r), s), t), del medesimo regolamento e lettera x) del medesimo regolamento limitatamente alle patate, alla colza e al ravizzone, al fine di garantire il corretto funzionamento del mercato interno per quanto riguarda tali settori.";</w:t>
      </w:r>
    </w:p>
    <w:p w:rsidR="00996DE9" w:rsidRPr="00072863" w:rsidRDefault="00D11CF7" w:rsidP="00624C2A">
      <w:pPr>
        <w:pStyle w:val="LITlitera"/>
        <w:keepNext/>
        <w:keepLines/>
      </w:pPr>
      <w:r>
        <w:t>g)</w:t>
      </w:r>
      <w:r>
        <w:tab/>
        <w:t>è aggiunto il seguente paragrafo 5:</w:t>
      </w:r>
    </w:p>
    <w:p w:rsidR="00E4313A" w:rsidRPr="00072863" w:rsidRDefault="00996DE9" w:rsidP="00624C2A">
      <w:pPr>
        <w:pStyle w:val="ZLITUSTzmustliter"/>
      </w:pPr>
      <w:r>
        <w:t xml:space="preserve">"5. Nel caso in cui nelle disposizioni emesse ai sensi dell'articolo 4 dal ministro responsabile dei mercati agricoli sia stato specificato un periodo minimo tra la stipulazione del contratto di cui al paragrafo 1 e la consegna dei prodotti agricoli appartenenti ai settori di cui all'articolo 1, paragrafo 2, lettera a), del regolamento n. 1308/2013, lettera c), del medesimo regolamento limitatamente alla barbabietola da zucchero, lettere f), h), i), n), o), del medesimo regolamento, lettera p), limitatamente al latte crudo, lettere q), r), s), t), del medesimo regolamento e lettera x) del medesimo </w:t>
      </w:r>
      <w:r>
        <w:lastRenderedPageBreak/>
        <w:t>regolamento limitatamente alle patate, alla colza e al ravizzone, o un termine per la stipulazione del contratto di cui al paragrafo 1, non sono applicate le disposizioni emesse ai sensi dell'articolo 4, in caso di applicazione, rispettivamente, dell'articolo 148, paragrafo 4, terzo capoverso, o dell'articolo 168, paragrafo 6, terzo capoverso del regolamento n. 1308/2013.";</w:t>
      </w:r>
    </w:p>
    <w:p w:rsidR="00E4313A" w:rsidRPr="00072863" w:rsidRDefault="00241148" w:rsidP="00624C2A">
      <w:pPr>
        <w:pStyle w:val="PKTpunkt"/>
        <w:keepNext/>
        <w:keepLines/>
      </w:pPr>
      <w:r>
        <w:t>2)</w:t>
      </w:r>
      <w:r>
        <w:tab/>
        <w:t xml:space="preserve">all'articolo 40i: </w:t>
      </w:r>
    </w:p>
    <w:p w:rsidR="00E4313A" w:rsidRPr="00072863" w:rsidRDefault="00241148" w:rsidP="00624C2A">
      <w:pPr>
        <w:pStyle w:val="LITlitera"/>
      </w:pPr>
      <w:r>
        <w:t>a)</w:t>
      </w:r>
      <w:r>
        <w:tab/>
        <w:t>al paragrafo 1, il termine "distributore" è sostituito dai termini "distributore o intermediario";</w:t>
      </w:r>
    </w:p>
    <w:p w:rsidR="00480DDC" w:rsidRDefault="008A5910" w:rsidP="00624C2A">
      <w:pPr>
        <w:pStyle w:val="LITlitera"/>
      </w:pPr>
      <w:r>
        <w:t>b)</w:t>
      </w:r>
      <w:r>
        <w:tab/>
        <w:t>al paragrafo 1a, l'espressione "distributore acquista, contrariamente alle disposizioni di cui all'articolo 38q, paragrafo 1 o 1a" è sostituita dall'espressione "distributore o intermediario acquista, contrariamente alle disposizioni di cui all'articolo 38q, paragrafo 1";</w:t>
      </w:r>
    </w:p>
    <w:p w:rsidR="00F847AB" w:rsidRPr="00072863" w:rsidRDefault="00480DDC" w:rsidP="00624C2A">
      <w:pPr>
        <w:pStyle w:val="LITlitera"/>
        <w:keepNext/>
        <w:keepLines/>
      </w:pPr>
      <w:r>
        <w:t>c)</w:t>
      </w:r>
      <w:r>
        <w:tab/>
        <w:t>i paragrafi 1b e 1c sono modificati come segue:</w:t>
      </w:r>
    </w:p>
    <w:p w:rsidR="002A571F" w:rsidRPr="002A571F" w:rsidRDefault="00F847AB" w:rsidP="00624C2A">
      <w:pPr>
        <w:pStyle w:val="ZLITUSTzmustliter"/>
      </w:pPr>
      <w:r>
        <w:t>"1b. Chi, in qualità di primo acquirente, trasformatore, distributore o intermediario, acquista, contrariamente a quanto stabilito all'articolo 38q, paragrafo 1, prodotti agricoli appartenenti ai settori di cui all'articolo 38q, paragrafo 1, sulla base di un contratto che non soddisfa le condizioni di cui:</w:t>
      </w:r>
    </w:p>
    <w:p w:rsidR="002A571F" w:rsidRPr="002A571F" w:rsidRDefault="002A571F" w:rsidP="00624C2A">
      <w:pPr>
        <w:pStyle w:val="ZLITPKTzmpktliter"/>
      </w:pPr>
      <w:r>
        <w:t>1)</w:t>
      </w:r>
      <w:r>
        <w:tab/>
        <w:t>all'articolo 148, paragrafo 2, lettera a), e lettera c), punto i, del regolamento n. 1308/2013, nel caso dei prodotti agricoli appartenenti al settore di cui all'articolo 1, paragrafo 2, lettera p), del regolamento n. 1308/2013, limitatamente al latte crudo;</w:t>
      </w:r>
    </w:p>
    <w:p w:rsidR="002A571F" w:rsidRPr="002A571F" w:rsidRDefault="002A571F" w:rsidP="00624C2A">
      <w:pPr>
        <w:pStyle w:val="ZLITPKTzmpktliter"/>
      </w:pPr>
      <w:r>
        <w:t>2)</w:t>
      </w:r>
      <w:r>
        <w:tab/>
        <w:t xml:space="preserve">all'articolo 168, paragrafo 4, lettera a), e lettera c), punto i, del regolamento n. 1308/2013, nel caso dei prodotti agricoli appartenenti ai settori di cui all'articolo 1, paragrafo 2, lettere a), f), h), i), n), o), q), r), s), t), del regolamento n. 1308/2013 e lettera x) del regolamento n. 1308/2013, limitatamente alle patate, alla colza e al ravizzone, </w:t>
      </w:r>
    </w:p>
    <w:p w:rsidR="002A571F" w:rsidRPr="00B44A77" w:rsidRDefault="002A571F" w:rsidP="00624C2A">
      <w:pPr>
        <w:pStyle w:val="ZLITCZWSPPKTzmczciwsppktliter"/>
      </w:pPr>
      <w:r>
        <w:t>– è soggetto a un'ammenda per un importo pari al 4 % del pagamento, ai sensi dell'articolo 29a, paragrafo 1, della legge dell'11 marzo 2004 relativa all'imposta sul valore aggiunto, per i prodotti acquistati in virtù di tale contratto, per ogni condizione non soddisfatta.</w:t>
      </w:r>
    </w:p>
    <w:p w:rsidR="00955DCD" w:rsidRDefault="00AC7836" w:rsidP="00624C2A">
      <w:pPr>
        <w:pStyle w:val="ZLITUSTzmustliter"/>
      </w:pPr>
      <w:r>
        <w:t xml:space="preserve">1c. Chi, in qualità di primo acquirente, trasformatore, distributore o intermediario, acquista, contrariamente a quanto disposto all'articolo 38q, paragrafo 1, prodotti agricoli appartenenti ai settori di cui all'articolo 38q, paragrafo 1, ai sensi </w:t>
      </w:r>
      <w:r>
        <w:lastRenderedPageBreak/>
        <w:t>di un contratto che non soddisfa le condizioni di cui all'articolo 125 del regolamento n. 1308/2013 e all'allegato X del regolamento n. 1308/2013, ad eccezione della condizione di cui al punto I, punto 1, del medesimo allegato, nel caso dei prodotti agricoli appartenenti al settore di cui all'articolo 1, paragrafo 2, lettera c) del regolamento n. 1308/2013 limitatamente alla barbabietola da zucchero, è soggetto a un'ammenda per un importo pari all'8 % del pagamento, ai sensi dell'articolo 29a, paragrafo 1, della legge dell'11 marzo 2004 relativa all'imposta sul valore aggiunto, per i prodotti acquistati in virtù di tale contratto.";</w:t>
      </w:r>
    </w:p>
    <w:p w:rsidR="00694E98" w:rsidRPr="00072863" w:rsidRDefault="00480DDC" w:rsidP="00624C2A">
      <w:pPr>
        <w:pStyle w:val="LITlitera"/>
        <w:keepNext/>
        <w:keepLines/>
        <w:rPr>
          <w:rFonts w:ascii="Times New Roman" w:hAnsi="Times New Roman" w:cs="Times New Roman"/>
          <w:szCs w:val="24"/>
        </w:rPr>
      </w:pPr>
      <w:r>
        <w:rPr>
          <w:rFonts w:ascii="Times New Roman" w:hAnsi="Times New Roman"/>
        </w:rPr>
        <w:t>d)</w:t>
      </w:r>
      <w:r>
        <w:tab/>
      </w:r>
      <w:r>
        <w:rPr>
          <w:rFonts w:ascii="Times New Roman" w:hAnsi="Times New Roman"/>
        </w:rPr>
        <w:t>dopo il paragrafo 1c sono aggiunti i seguenti paragrafi 1ca–1cc:</w:t>
      </w:r>
    </w:p>
    <w:p w:rsidR="003C7670" w:rsidRPr="00072863" w:rsidRDefault="00694E98" w:rsidP="00624C2A">
      <w:pPr>
        <w:pStyle w:val="ZLITUSTzmustliter"/>
        <w:rPr>
          <w:rFonts w:ascii="Times New Roman" w:hAnsi="Times New Roman" w:cs="Times New Roman"/>
          <w:szCs w:val="24"/>
        </w:rPr>
      </w:pPr>
      <w:r>
        <w:rPr>
          <w:rFonts w:ascii="Times New Roman" w:hAnsi="Times New Roman"/>
        </w:rPr>
        <w:t>"1ca. I produttori che sono agricoltori ai sensi dell'articolo 4, paragrafo 1, lettera a), del regolamento (UE) n. 1307/2013 del Parlamento europeo e del Consiglio, del 17 dicembre 2013, recante norme sui pagamenti diretti agli agricoltori nell'ambito dei regimi di sostegno previsti dalla politica agricola comune e che abroga il regolamento (CE) n. 637/2008 del Consiglio e il regolamento (CE) n. 73/2009 del Consiglio, che vendono, contrariamente alle disposizioni dell'articolo 38q, paragrafo 1 o 1a, in assenza di contratto scritto o di contratto stipulato in forma cartacea o elettronica, prodotti agricoli appartenenti ai settori di cui all'articolo 38q, paragrafo 1, sono soggetti a un'ammenda per un importo pari al 10 % del pagamento, ai sensi dell'articolo 29a, paragrafo 1, della legge dell'11 marzo 2004 relativa all'imposta sul valore aggiunto, per i prodotti venduti in assenza di contratto scritto o in assenza di contratto stipulato in forma cartacea o elettronica.</w:t>
      </w:r>
    </w:p>
    <w:p w:rsidR="00150D74" w:rsidRPr="00072863" w:rsidRDefault="00EA3E9C" w:rsidP="00624C2A">
      <w:pPr>
        <w:pStyle w:val="ZLITUSTzmustliter"/>
        <w:rPr>
          <w:rFonts w:ascii="Times New Roman" w:hAnsi="Times New Roman" w:cs="Times New Roman"/>
          <w:szCs w:val="24"/>
        </w:rPr>
      </w:pPr>
      <w:r>
        <w:rPr>
          <w:rFonts w:ascii="Times New Roman" w:hAnsi="Times New Roman"/>
        </w:rPr>
        <w:t>1cb. Chiunque non rispetti la durata minima del contratto di cui all'articolo 38q, paragrafo 1, o il periodo minimo tra la stipulazione di tale contratto e la consegna dei prodotti agricoli, laddove tali periodi siano stati specificati nelle disposizioni emanate ai sensi dell'articolo 38q, paragrafo 4, punto 1 o 2, è soggetto a un'ammenda per un importo pari al 10 % del pagamento, ai sensi dell'articolo 29a, paragrafo 1, della legge dell'11 marzo 2004 relativa all'imposta sul valore aggiunto, per i prodotti venduti o acquistati ai sensi di tale contratto, per l'inosservanza di ciascuno di tali periodi.</w:t>
      </w:r>
    </w:p>
    <w:p w:rsidR="00694E98" w:rsidRPr="00072863" w:rsidRDefault="00150D74" w:rsidP="00624C2A">
      <w:pPr>
        <w:pStyle w:val="ZLITUSTzmustliter"/>
        <w:rPr>
          <w:rFonts w:ascii="Times New Roman" w:hAnsi="Times New Roman" w:cs="Times New Roman"/>
          <w:szCs w:val="24"/>
        </w:rPr>
      </w:pPr>
      <w:r>
        <w:rPr>
          <w:rFonts w:ascii="Times New Roman" w:hAnsi="Times New Roman"/>
        </w:rPr>
        <w:t xml:space="preserve">1cc. Chiunque non rispetti il termine di cui all'articolo 38q, paragrafo 3, o il termine per la stipulazione del contratto, di cui all'articolo 38q, paragrafo 1, laddove tale termine sia stabilito nelle disposizioni emanate ai sensi delll'articolo 38q, paragrafo 4, punto 3, è soggetto a un'ammenda per un importo pari allo 0,5 % del </w:t>
      </w:r>
      <w:r>
        <w:rPr>
          <w:rFonts w:ascii="Times New Roman" w:hAnsi="Times New Roman"/>
        </w:rPr>
        <w:lastRenderedPageBreak/>
        <w:t>pagamento, ai sensi dell'articolo 29a, paragrafo 1, della legge dell'11 marzo 2004 relativa all'imposta sul valore aggiunto, per i prodotti venduti o acquistati ai sensi di tale contratto, per ogni giorno di inosservanza di tale termine, ma senza superare 15 % del pagamento medesimo.";</w:t>
      </w:r>
    </w:p>
    <w:p w:rsidR="0056481C" w:rsidRPr="00072863" w:rsidRDefault="00F13A55" w:rsidP="00624C2A">
      <w:pPr>
        <w:pStyle w:val="LITlitera"/>
        <w:keepNext/>
        <w:keepLines/>
        <w:rPr>
          <w:rFonts w:ascii="Times New Roman" w:hAnsi="Times New Roman" w:cs="Times New Roman"/>
          <w:szCs w:val="24"/>
        </w:rPr>
      </w:pPr>
      <w:r>
        <w:rPr>
          <w:rFonts w:ascii="Times New Roman" w:hAnsi="Times New Roman"/>
        </w:rPr>
        <w:t>e)</w:t>
      </w:r>
      <w:r>
        <w:tab/>
      </w:r>
      <w:r>
        <w:rPr>
          <w:rFonts w:ascii="Times New Roman" w:hAnsi="Times New Roman"/>
        </w:rPr>
        <w:t>il paragrafo 1d è modificato come segue:</w:t>
      </w:r>
    </w:p>
    <w:p w:rsidR="00931317" w:rsidRPr="00072863" w:rsidRDefault="0056481C" w:rsidP="00624C2A">
      <w:pPr>
        <w:pStyle w:val="ZLITUSTzmustliter"/>
        <w:rPr>
          <w:rFonts w:ascii="Times New Roman" w:hAnsi="Times New Roman" w:cs="Times New Roman"/>
          <w:szCs w:val="24"/>
        </w:rPr>
      </w:pPr>
      <w:r>
        <w:rPr>
          <w:rFonts w:ascii="Times New Roman" w:hAnsi="Times New Roman"/>
        </w:rPr>
        <w:t>"1d. Nel caso in cui il contratto di cui all'articolo 38q, paragrafo 1, non soddisfi più di una delle condizioni di cui ai paragrafi 1a e 1b, le ammende sono cumulative; l'importo dell'ammenda, tuttavia, non può superare l'8 % del pagamento, ai sensi dell'articolo 29a, paragrafo 1, della legge dell'11 marzo 2004 relativa all'imposta sul valore aggiunto, per i prodotti acquistati in virtù di tale contratto.";</w:t>
      </w:r>
    </w:p>
    <w:p w:rsidR="00F02D45" w:rsidRDefault="003C2687" w:rsidP="00624C2A">
      <w:pPr>
        <w:pStyle w:val="PKTpunkt"/>
        <w:keepNext/>
        <w:keepLines/>
        <w:rPr>
          <w:rFonts w:ascii="Times New Roman" w:hAnsi="Times New Roman" w:cs="Times New Roman"/>
          <w:szCs w:val="24"/>
        </w:rPr>
      </w:pPr>
      <w:r>
        <w:rPr>
          <w:rFonts w:ascii="Times New Roman" w:hAnsi="Times New Roman"/>
        </w:rPr>
        <w:t>3)</w:t>
      </w:r>
      <w:r>
        <w:tab/>
      </w:r>
      <w:r>
        <w:rPr>
          <w:rFonts w:ascii="Times New Roman" w:hAnsi="Times New Roman"/>
        </w:rPr>
        <w:t>dopo l'articolo 40i è aggiunto il seguente articolo 40ia:</w:t>
      </w:r>
    </w:p>
    <w:p w:rsidR="00F02D45" w:rsidRDefault="00F02D45" w:rsidP="00624C2A">
      <w:pPr>
        <w:pStyle w:val="ZARTzmartartykuempunktem"/>
      </w:pPr>
      <w:r>
        <w:t>"Articolo 40ia. Chiunque non rispetti accordi, decisioni o pratiche concordati nell'ambito di un'organizzazione di produttori riconosciuta, di un'associazione di organizzazioni di produttori o di un'organizzazione interprofessionale riconosciuta, qualora tali accordi, decisioni o pratiche siano introdotti nelle disposizioni emesse a norma dell'articolo 38o, paragrafo 3, è soggetto a un'ammenda per un importo massimo di 5 000 PLN, e, in caso di mancata applicazione di tali accordi, decisioni o pratiche nella stesura di contratti tipo di cui all'articolo 164, paragrafo 4, lettera c), del regolamento n. 1308/2013, è soggetto a un'ammenda per un importo pari all'8 % del pagamento, ai sensi dell'articolo 29a, paragrafo 1, della legge dell'11 marzo 2004 relativa all'imposta sul valore aggiunto, per i prodotti venduti o acquistati nell'ambito del contratto in questione.";</w:t>
      </w:r>
    </w:p>
    <w:p w:rsidR="00627160" w:rsidRPr="00072863" w:rsidRDefault="00F02D45" w:rsidP="00624C2A">
      <w:pPr>
        <w:pStyle w:val="PKTpunkt"/>
        <w:keepNext/>
        <w:keepLines/>
        <w:rPr>
          <w:rFonts w:ascii="Times New Roman" w:hAnsi="Times New Roman" w:cs="Times New Roman"/>
          <w:szCs w:val="24"/>
        </w:rPr>
      </w:pPr>
      <w:r>
        <w:rPr>
          <w:rFonts w:ascii="Times New Roman" w:hAnsi="Times New Roman"/>
        </w:rPr>
        <w:t>4)</w:t>
      </w:r>
      <w:r>
        <w:tab/>
      </w:r>
      <w:r>
        <w:rPr>
          <w:rFonts w:ascii="Times New Roman" w:hAnsi="Times New Roman"/>
        </w:rPr>
        <w:t>all'articolo 40j, il paragrafo 1 è modificato come segue:</w:t>
      </w:r>
    </w:p>
    <w:p w:rsidR="000E419B" w:rsidRPr="000E419B" w:rsidRDefault="00284E0D" w:rsidP="00624C2A">
      <w:pPr>
        <w:pStyle w:val="ZUSTzmustartykuempunktem"/>
        <w:keepNext/>
        <w:keepLines/>
      </w:pPr>
      <w:r>
        <w:t>"1. Le ammende, di cui:</w:t>
      </w:r>
    </w:p>
    <w:p w:rsidR="000E419B" w:rsidRPr="000E419B" w:rsidRDefault="000E419B" w:rsidP="00624C2A">
      <w:pPr>
        <w:pStyle w:val="ZPKTzmpktartykuempunktem"/>
      </w:pPr>
      <w:r>
        <w:t>1)</w:t>
      </w:r>
      <w:r>
        <w:tab/>
        <w:t>all'articolo 40i, paragrafi 1–1cc, e all'articolo 40ia;</w:t>
      </w:r>
    </w:p>
    <w:p w:rsidR="000E419B" w:rsidRPr="000E419B" w:rsidRDefault="000E419B" w:rsidP="00624C2A">
      <w:pPr>
        <w:pStyle w:val="ZPKTzmpktartykuempunktem"/>
      </w:pPr>
      <w:r>
        <w:t>2)</w:t>
      </w:r>
      <w:r>
        <w:tab/>
        <w:t>all'articolo 8 del regolamento 2017/40, in riferimento agli aiuti, di cui all'articolo 38u, paragrafo 1, punto 2</w:t>
      </w:r>
    </w:p>
    <w:p w:rsidR="000E419B" w:rsidRDefault="000E419B" w:rsidP="00624C2A">
      <w:pPr>
        <w:pStyle w:val="ZCZWSPPKTzmczciwsppktartykuempunktem"/>
      </w:pPr>
      <w:r>
        <w:t>– sono comminate, mediante provvedimento amministrativo, dal direttore della sezione territoriale del Centro nazionale competente per il luogo in cui si trova la sede o il domicilio del produttore, dell'acquirente o del richiedente."</w:t>
      </w:r>
    </w:p>
    <w:p w:rsidR="001E1984" w:rsidRPr="00072863" w:rsidRDefault="001E1984" w:rsidP="00624C2A">
      <w:pPr>
        <w:pStyle w:val="ARTartustawynprozporzdzenia"/>
        <w:rPr>
          <w:rFonts w:ascii="Times New Roman" w:hAnsi="Times New Roman" w:cs="Times New Roman"/>
          <w:szCs w:val="24"/>
        </w:rPr>
      </w:pPr>
      <w:r>
        <w:rPr>
          <w:rStyle w:val="Ppogrubienie"/>
          <w:rFonts w:ascii="Times New Roman" w:hAnsi="Times New Roman"/>
        </w:rPr>
        <w:t>Articolo 2.</w:t>
      </w:r>
      <w:r>
        <w:rPr>
          <w:rFonts w:ascii="Times New Roman" w:hAnsi="Times New Roman"/>
        </w:rPr>
        <w:t xml:space="preserve"> La legge del 15 dicembre 2016 sulla lotta all'uso fraudolento del vantaggio contrattuale nella commercializzazione di prodotti agricoli e alimentari (Dz. U. del 2019, voce 517) è modificata come segue:</w:t>
      </w:r>
    </w:p>
    <w:p w:rsidR="001E1984" w:rsidRPr="00072863" w:rsidRDefault="001E1984" w:rsidP="00624C2A">
      <w:pPr>
        <w:pStyle w:val="PKTpunkt"/>
        <w:keepNext/>
        <w:keepLines/>
      </w:pPr>
      <w:r>
        <w:lastRenderedPageBreak/>
        <w:t>1)</w:t>
      </w:r>
      <w:r>
        <w:tab/>
        <w:t>l'articolo 2 è modificato come segue:</w:t>
      </w:r>
    </w:p>
    <w:p w:rsidR="001E1984" w:rsidRPr="00072863" w:rsidRDefault="001E1984" w:rsidP="00624C2A">
      <w:pPr>
        <w:pStyle w:val="ZARTzmartartykuempunktem"/>
      </w:pPr>
      <w:r>
        <w:t>"Articolo 2. La legge si applica ai contratti per l'acquisto di prodotti agricoli o alimentari, in prosieguo: "contratti", ad esclusione delle consegne dirette e del commercio al dettaglio di prodotti agricoli ai sensi della legge del 25 agosto 2006 sulla sicurezza dei prodotti alimentari e dell'alimentazione (Dz. U. del 2018, voce 1541, e successive modifiche,</w:t>
      </w:r>
      <w:r>
        <w:rPr>
          <w:vertAlign w:val="superscript"/>
        </w:rPr>
        <w:t xml:space="preserve">2) </w:t>
      </w:r>
      <w:r>
        <w:t>) e della vendita diretta ai sensi della legge del 16 dicembre 2005 sui prodotti di origine animale (Dz. U. del 2019, voce 824), tra l'acquirente e il fornitore dei prodotti.”;</w:t>
      </w:r>
    </w:p>
    <w:p w:rsidR="00F91F6E" w:rsidRPr="001B4D4B" w:rsidRDefault="001E1984" w:rsidP="00624C2A">
      <w:pPr>
        <w:pStyle w:val="PKTpunkt"/>
        <w:keepNext/>
        <w:keepLines/>
      </w:pPr>
      <w:r>
        <w:t>2)</w:t>
      </w:r>
      <w:r>
        <w:tab/>
        <w:t>all'articolo 3, punto 2:</w:t>
      </w:r>
    </w:p>
    <w:p w:rsidR="00F91F6E" w:rsidRDefault="00F91F6E" w:rsidP="00624C2A">
      <w:pPr>
        <w:pStyle w:val="LITlitera"/>
      </w:pPr>
      <w:r>
        <w:t>a)</w:t>
      </w:r>
      <w:r>
        <w:tab/>
        <w:t>è abrogata la lettera b);</w:t>
      </w:r>
    </w:p>
    <w:p w:rsidR="00930905" w:rsidRDefault="00930905" w:rsidP="00624C2A">
      <w:pPr>
        <w:pStyle w:val="LITlitera"/>
      </w:pPr>
      <w:r>
        <w:t>b)</w:t>
      </w:r>
      <w:r>
        <w:tab/>
        <w:t>alla lettera c) il punto è sostituito dalla virgola e sono aggiunte le seguenti lettere d) ed e):</w:t>
      </w:r>
    </w:p>
    <w:p w:rsidR="00930905" w:rsidRPr="00BE3D19" w:rsidRDefault="00930905" w:rsidP="00624C2A">
      <w:pPr>
        <w:pStyle w:val="ZLITLITzmlitliter"/>
      </w:pPr>
      <w:r>
        <w:t>"d)</w:t>
      </w:r>
      <w:r>
        <w:tab/>
        <w:t>di un'organizzazione di produttori riconosciuta ai sensi delle disposizioni sull'organizzazione di taluni mercati agricoli vende prodotti agricoli o alimentari all'organizzazione di cui è membro,</w:t>
      </w:r>
    </w:p>
    <w:p w:rsidR="00930905" w:rsidRPr="00BE3D19" w:rsidRDefault="00930905" w:rsidP="00624C2A">
      <w:pPr>
        <w:pStyle w:val="ZLITLITzmlitliter"/>
      </w:pPr>
      <w:r>
        <w:t>e)</w:t>
      </w:r>
      <w:r>
        <w:tab/>
        <w:t>di un'organizzazione di produttori riconosciuta ai sensi delle disposizioni sull'organizzazione del mercato del latte e dei prodotti lattiero-caseari, vende prodotti agricoli o alimentari all'organizzazione di cui è membro.”;</w:t>
      </w:r>
    </w:p>
    <w:p w:rsidR="001E1984" w:rsidRPr="00072863" w:rsidRDefault="00930905" w:rsidP="00624C2A">
      <w:pPr>
        <w:pStyle w:val="LITlitera"/>
        <w:keepNext/>
        <w:keepLines/>
      </w:pPr>
      <w:r>
        <w:t>c)</w:t>
      </w:r>
      <w:r>
        <w:tab/>
        <w:t>è aggiunto il seguente punto 3:</w:t>
      </w:r>
    </w:p>
    <w:p w:rsidR="001E1984" w:rsidRDefault="001E1984" w:rsidP="00624C2A">
      <w:pPr>
        <w:pStyle w:val="ZLITPKTzmpktliter"/>
      </w:pPr>
      <w:r>
        <w:t>"3)</w:t>
      </w:r>
      <w:r>
        <w:tab/>
        <w:t>il fornitore vende prodotti agricoli o alimentari attraverso una borsa merci, ai sensi delle disposizioni sulle borse merci, o un sistema di negoziazione di strumenti finanziari, ai sensi delle disposizioni relative alla negoziazione di strumenti finanziari.";</w:t>
      </w:r>
    </w:p>
    <w:p w:rsidR="00F65C42" w:rsidRDefault="00F65C42" w:rsidP="00624C2A">
      <w:pPr>
        <w:pStyle w:val="PKTpunkt"/>
        <w:keepNext/>
        <w:keepLines/>
      </w:pPr>
      <w:r>
        <w:t>3)</w:t>
      </w:r>
      <w:r>
        <w:tab/>
        <w:t>all'articolo 5 il punto 3 è modificato come segue:</w:t>
      </w:r>
    </w:p>
    <w:p w:rsidR="00F65C42" w:rsidRDefault="00F65C42" w:rsidP="00624C2A">
      <w:pPr>
        <w:pStyle w:val="ZPKTzmpktartykuempunktem"/>
      </w:pPr>
      <w:r>
        <w:t>"3)</w:t>
      </w:r>
      <w:r>
        <w:tab/>
        <w:t>per prodotto agricolo o alimentare si intende un prodotto elencato nell'allegato I del trattato sul funzionamento dell'Unione europea, nonché un prodotto non elencato in tale allegato, ma trasformato per il consumo utilizzando prodotti che figurano in suddetto elenco;";</w:t>
      </w:r>
    </w:p>
    <w:p w:rsidR="000F1029" w:rsidRDefault="00F121DD" w:rsidP="00624C2A">
      <w:pPr>
        <w:pStyle w:val="PKTpunkt"/>
        <w:keepNext/>
        <w:keepLines/>
      </w:pPr>
      <w:r>
        <w:t>4)</w:t>
      </w:r>
      <w:r>
        <w:tab/>
        <w:t>all'articolo 7:</w:t>
      </w:r>
    </w:p>
    <w:p w:rsidR="00F121DD" w:rsidRDefault="000F1029" w:rsidP="00624C2A">
      <w:pPr>
        <w:pStyle w:val="LITlitera"/>
      </w:pPr>
      <w:r>
        <w:t>a)</w:t>
      </w:r>
      <w:r>
        <w:tab/>
        <w:t>al paragrafo 2 dopo il termine "contrario” è aggiunta l'espressione "alle disposizioni sulla lotta all'uso fraudolento del vantaggio contrattuale nella commercializzazione di prodotti agricoli e alimentari o";</w:t>
      </w:r>
    </w:p>
    <w:p w:rsidR="001E1984" w:rsidRPr="00072863" w:rsidRDefault="000F1029" w:rsidP="00624C2A">
      <w:pPr>
        <w:pStyle w:val="LITlitera"/>
        <w:keepNext/>
        <w:keepLines/>
      </w:pPr>
      <w:r>
        <w:lastRenderedPageBreak/>
        <w:t>b)</w:t>
      </w:r>
      <w:r>
        <w:tab/>
        <w:t>al paragrafo 3, punto 4, il punto è sostituito da un punto e virgola ed è aggiunto il seguente punto 5:</w:t>
      </w:r>
    </w:p>
    <w:p w:rsidR="0059066D" w:rsidRPr="008509D8" w:rsidRDefault="001E1984" w:rsidP="00624C2A">
      <w:pPr>
        <w:pStyle w:val="ZLITPKTzmpktliter"/>
      </w:pPr>
      <w:r>
        <w:t>"5)</w:t>
      </w:r>
      <w:r>
        <w:tab/>
        <w:t>l'acquisto di un prodotto agricolo o alimentare, ottenuto sul territorio della Repubblica di Polonia, che è un prodotto elencato nell'allegato I del trattato sul funzionamento dell'Unione europea, in prosieguo in questa sezione: "prodotto", o di una sottocategoria di prodotto, per i quali è stato fissato un prezzo di riferimento, a un prezzo inferiore a tale prezzo da parte di un acquirente che acquista tale prodotto o sottocategoria di prodotto direttamente dal fornitore che lo ha prodotto, oppure da:</w:t>
      </w:r>
    </w:p>
    <w:p w:rsidR="0059066D" w:rsidRPr="0059066D" w:rsidRDefault="002A68BF" w:rsidP="00624C2A">
      <w:pPr>
        <w:pStyle w:val="ZLITLITwPKTzmlitwpktliter"/>
      </w:pPr>
      <w:r>
        <w:t>a)</w:t>
      </w:r>
      <w:r>
        <w:tab/>
        <w:t>un'associazione cooperativa di tali fornitori,</w:t>
      </w:r>
    </w:p>
    <w:p w:rsidR="0059066D" w:rsidRPr="008509D8" w:rsidRDefault="002A68BF" w:rsidP="00624C2A">
      <w:pPr>
        <w:pStyle w:val="ZLITLITwPKTzmlitwpktliter"/>
      </w:pPr>
      <w:r>
        <w:t>b)</w:t>
      </w:r>
      <w:r>
        <w:tab/>
        <w:t>un gruppo di produttori agricoli ai sensi delle disposizioni relative ai gruppi di produttori agricoli e alle loro associazioni,</w:t>
      </w:r>
    </w:p>
    <w:p w:rsidR="0059066D" w:rsidRPr="008509D8" w:rsidRDefault="002A68BF" w:rsidP="00624C2A">
      <w:pPr>
        <w:pStyle w:val="ZLITLITwPKTzmlitwpktliter"/>
      </w:pPr>
      <w:r>
        <w:t>c)</w:t>
      </w:r>
      <w:r>
        <w:tab/>
        <w:t>un'organizzazione di produttori ortofrutticoli riconosciuta ai sensi delle disposizioni sull'organizzazione dei mercati ortofrutticoli e del mercato del luppolo,</w:t>
      </w:r>
    </w:p>
    <w:p w:rsidR="0059066D" w:rsidRPr="008509D8" w:rsidRDefault="002A68BF" w:rsidP="00624C2A">
      <w:pPr>
        <w:pStyle w:val="ZLITLITwPKTzmlitwpktliter"/>
      </w:pPr>
      <w:r>
        <w:t>d)</w:t>
      </w:r>
      <w:r>
        <w:tab/>
        <w:t>un'organizzazione di produttori riconosciuta ai sensi delle disposizioni sull'organizzazione di taluni mercati agricoli,</w:t>
      </w:r>
    </w:p>
    <w:p w:rsidR="001E1984" w:rsidRPr="008509D8" w:rsidRDefault="003C344E" w:rsidP="00624C2A">
      <w:pPr>
        <w:pStyle w:val="ZLITLITwPKTzmlitwpktliter"/>
      </w:pPr>
      <w:r>
        <w:t>e)</w:t>
      </w:r>
      <w:r>
        <w:tab/>
        <w:t>un'organizzazione di produttori riconosciuta ai sensi delle disposizioni sull'organizzazione del mercato del latte e dei prodotti lattiero-caseari.";</w:t>
      </w:r>
    </w:p>
    <w:p w:rsidR="001E1984" w:rsidRPr="008509D8" w:rsidRDefault="00294536" w:rsidP="00624C2A">
      <w:pPr>
        <w:pStyle w:val="PKTpunkt"/>
        <w:keepNext/>
        <w:keepLines/>
      </w:pPr>
      <w:r>
        <w:t>5)</w:t>
      </w:r>
      <w:r>
        <w:tab/>
        <w:t>dopo l'articolo 7 è aggiunto il seguente articolo 7a:</w:t>
      </w:r>
    </w:p>
    <w:p w:rsidR="007B149B" w:rsidRDefault="007B149B" w:rsidP="00624C2A">
      <w:pPr>
        <w:pStyle w:val="ZARTzmartartykuempunktem"/>
        <w:rPr>
          <w:rFonts w:eastAsia="Times New Roman"/>
        </w:rPr>
      </w:pPr>
      <w:r>
        <w:t>"Articolo 7a. 1. Il prezzo di riferimento per un particolare prodotto e per una particolare sottocategoria di prodotto è fissato dal ministro responsabile dei mercati agricoli entro il 31 marzo di ogni anno per il periodo dal 1° aprile di quell'anno al 31 marzo dell'anno successivo, secondo la formula seguente:</w:t>
      </w:r>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7B149B"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8509D8" w:rsidRDefault="007B149B" w:rsidP="00624C2A">
      <w:pPr>
        <w:pStyle w:val="ZLEGWMATFIZCHEMzmlegendywzorumatfizlubchemartykuempunktem"/>
        <w:keepNext/>
        <w:keepLines/>
        <w:rPr>
          <w:rFonts w:ascii="Times" w:hAnsi="Times"/>
          <w:bCs/>
        </w:rPr>
      </w:pPr>
      <w:r>
        <w:rPr>
          <w:rFonts w:ascii="Times" w:hAnsi="Times"/>
        </w:rPr>
        <w:t>dove:</w:t>
      </w:r>
    </w:p>
    <w:p w:rsidR="007B149B" w:rsidRPr="007B149B" w:rsidRDefault="007B149B" w:rsidP="00624C2A">
      <w:pPr>
        <w:pStyle w:val="ZLEGWMATFIZCHEMzmlegendywzorumatfizlubchemartykuempunktem"/>
        <w:rPr>
          <w:rFonts w:eastAsia="Times New Roman"/>
        </w:rPr>
      </w:pPr>
      <w:r>
        <w:t>C –</w:t>
      </w:r>
      <w:r>
        <w:tab/>
        <w:t>indica il prezzo di riferimento, espresso in PLN al chilogrammo, per un prodotto o per una sottocategoria di prodotto,</w:t>
      </w:r>
    </w:p>
    <w:p w:rsidR="007B149B" w:rsidRPr="007B149B" w:rsidRDefault="007B149B" w:rsidP="00624C2A">
      <w:pPr>
        <w:pStyle w:val="ZLEGWMATFIZCHEMzmlegendywzorumatfizlubchemartykuempunktem"/>
        <w:rPr>
          <w:rFonts w:eastAsia="Times New Roman"/>
        </w:rPr>
      </w:pPr>
      <w:r>
        <w:lastRenderedPageBreak/>
        <w:t>k</w:t>
      </w:r>
      <w:r>
        <w:rPr>
          <w:vertAlign w:val="subscript"/>
        </w:rPr>
        <w:t xml:space="preserve">n-1 </w:t>
      </w:r>
      <w:r>
        <w:t>–</w:t>
      </w:r>
      <w:r>
        <w:tab/>
        <w:t>indica i costi medi, espressi in PLN per ettaro, per l'ottenimento di un prodotto o di una sottocategoria di prodotto in un'azienda agricola, esclusi i costi di manodopera sostenuti nell'anno precedente l'anno in questione,</w:t>
      </w:r>
    </w:p>
    <w:p w:rsidR="007B149B" w:rsidRPr="007B149B" w:rsidRDefault="007B149B" w:rsidP="00624C2A">
      <w:pPr>
        <w:pStyle w:val="ZLEGWMATFIZCHEMzmlegendywzorumatfizlubchemartykuempunktem"/>
        <w:rPr>
          <w:rFonts w:eastAsia="Times New Roman"/>
        </w:rPr>
      </w:pPr>
      <w:r>
        <w:t>k</w:t>
      </w:r>
      <w:r>
        <w:rPr>
          <w:vertAlign w:val="subscript"/>
        </w:rPr>
        <w:t>n-2</w:t>
      </w:r>
      <w:r>
        <w:t xml:space="preserve"> –</w:t>
      </w:r>
      <w:r>
        <w:tab/>
        <w:t>indica i costi medi di produzione, espressi in PLN per ettaro, di un prodotto o di una sottocategoria di prodotto in un'azienda agricola, esclusi i costi di manodopera sostenuti nel penultimo anno precedente l'anno in questione,</w:t>
      </w:r>
    </w:p>
    <w:p w:rsidR="007B149B" w:rsidRPr="007B149B" w:rsidRDefault="007B149B" w:rsidP="00624C2A">
      <w:pPr>
        <w:pStyle w:val="ZLEGWMATFIZCHEMzmlegendywzorumatfizlubchemartykuempunktem"/>
        <w:rPr>
          <w:rFonts w:eastAsia="Times New Roman"/>
        </w:rPr>
      </w:pPr>
      <w:r>
        <w:t>k</w:t>
      </w:r>
      <w:r>
        <w:rPr>
          <w:vertAlign w:val="subscript"/>
        </w:rPr>
        <w:t>n-3</w:t>
      </w:r>
      <w:r>
        <w:t xml:space="preserve"> –</w:t>
      </w:r>
      <w:r>
        <w:tab/>
        <w:t>indica i costi medi di produzione, espressi in PLN per ettaro, di un prodotto o di una sottocategoria di prodotto in un'azienda agricola, esclusi i costi di manodopera sostenuti nel terzultimo anno precedente l'anno in questione,</w:t>
      </w:r>
    </w:p>
    <w:p w:rsidR="007B149B" w:rsidRPr="007B149B" w:rsidRDefault="007B149B" w:rsidP="00624C2A">
      <w:pPr>
        <w:pStyle w:val="ZLEGWMATFIZCHEMzmlegendywzorumatfizlubchemartykuempunktem"/>
        <w:rPr>
          <w:rFonts w:eastAsia="Times New Roman"/>
        </w:rPr>
      </w:pPr>
      <w:r>
        <w:t>p</w:t>
      </w:r>
      <w:r>
        <w:rPr>
          <w:vertAlign w:val="subscript"/>
        </w:rPr>
        <w:t xml:space="preserve">n-1 </w:t>
      </w:r>
      <w:r>
        <w:t>–</w:t>
      </w:r>
      <w:r>
        <w:tab/>
        <w:t>indica la resa media, espressa in chilogrammi per ettaro, di un prodotto o di una sottocategoria di prodotto, ottenuta in un'azienda agricola nell'anno precedente l'anno in questione,</w:t>
      </w:r>
    </w:p>
    <w:p w:rsidR="007B149B" w:rsidRPr="007B149B" w:rsidRDefault="007B149B" w:rsidP="00624C2A">
      <w:pPr>
        <w:pStyle w:val="ZLEGWMATFIZCHEMzmlegendywzorumatfizlubchemartykuempunktem"/>
        <w:rPr>
          <w:rFonts w:eastAsia="Times New Roman"/>
        </w:rPr>
      </w:pPr>
      <w:r>
        <w:t>p</w:t>
      </w:r>
      <w:r>
        <w:rPr>
          <w:vertAlign w:val="subscript"/>
        </w:rPr>
        <w:t xml:space="preserve">n-2 </w:t>
      </w:r>
      <w:r>
        <w:t>–</w:t>
      </w:r>
      <w:r>
        <w:tab/>
        <w:t>indica la resa media, espressa in chilogrammi per ettaro, di un prodotto o di una sottocategoria di prodotto, ottenuta in un'azienda agricola nel penultimo anno precedente l'anno in questione,</w:t>
      </w:r>
    </w:p>
    <w:p w:rsidR="007B149B" w:rsidRPr="007B149B" w:rsidRDefault="007B149B" w:rsidP="00624C2A">
      <w:pPr>
        <w:pStyle w:val="ZLEGWMATFIZCHEMzmlegendywzorumatfizlubchemartykuempunktem"/>
        <w:rPr>
          <w:rFonts w:eastAsia="Times New Roman"/>
        </w:rPr>
      </w:pPr>
      <w:r>
        <w:t>p</w:t>
      </w:r>
      <w:r>
        <w:rPr>
          <w:vertAlign w:val="subscript"/>
        </w:rPr>
        <w:t>n-3</w:t>
      </w:r>
      <w:r>
        <w:t xml:space="preserve"> –</w:t>
      </w:r>
      <w:r>
        <w:tab/>
        <w:t>indica la resa media, espressa in chilogrammi per ettaro, di un prodotto o di una sottocategoria di prodotto, ottenuta in un'azienda agricola nel terzultimo anno precedente l'anno in questione,</w:t>
      </w:r>
    </w:p>
    <w:p w:rsidR="007B149B" w:rsidRPr="007B149B" w:rsidRDefault="007B149B" w:rsidP="00624C2A">
      <w:pPr>
        <w:pStyle w:val="ZLEGWMATFIZCHEMzmlegendywzorumatfizlubchemartykuempunktem"/>
        <w:rPr>
          <w:rFonts w:eastAsia="Times New Roman"/>
        </w:rPr>
      </w:pPr>
      <w:r>
        <w:t>t</w:t>
      </w:r>
      <w:r>
        <w:rPr>
          <w:vertAlign w:val="subscript"/>
        </w:rPr>
        <w:t>n-1</w:t>
      </w:r>
      <w:r>
        <w:t xml:space="preserve"> –</w:t>
      </w:r>
      <w:r>
        <w:tab/>
        <w:t>indica il tempo di lavoro medio, espresso in ore per ettaro, destinato alla produzione di un prodotto o di una sottocategoria di prodotto in un'azienda agricola nell'anno precedente l'anno in questione,</w:t>
      </w:r>
    </w:p>
    <w:p w:rsidR="007B149B" w:rsidRPr="007B149B" w:rsidRDefault="007B149B" w:rsidP="00624C2A">
      <w:pPr>
        <w:pStyle w:val="ZLEGWMATFIZCHEMzmlegendywzorumatfizlubchemartykuempunktem"/>
        <w:rPr>
          <w:rFonts w:eastAsia="Times New Roman"/>
        </w:rPr>
      </w:pPr>
      <w:r>
        <w:t>t</w:t>
      </w:r>
      <w:r>
        <w:rPr>
          <w:vertAlign w:val="subscript"/>
        </w:rPr>
        <w:t>n-2</w:t>
      </w:r>
      <w:r>
        <w:t xml:space="preserve"> –</w:t>
      </w:r>
      <w:r>
        <w:tab/>
        <w:t>indica il tempo di lavoro medio, espresso in ore per ettaro, destinato alla produzione di un prodotto o di una sottocategoria di prodotto in un'azienda agricola nel penultimo anno precedente l'anno in questione,</w:t>
      </w:r>
    </w:p>
    <w:p w:rsidR="007B149B" w:rsidRDefault="007B149B" w:rsidP="00624C2A">
      <w:pPr>
        <w:pStyle w:val="ZLEGWMATFIZCHEMzmlegendywzorumatfizlubchemartykuempunktem"/>
        <w:rPr>
          <w:rFonts w:eastAsia="Times New Roman"/>
        </w:rPr>
      </w:pPr>
      <w:r>
        <w:t>t</w:t>
      </w:r>
      <w:r>
        <w:rPr>
          <w:vertAlign w:val="subscript"/>
        </w:rPr>
        <w:t>n-3</w:t>
      </w:r>
      <w:r>
        <w:t xml:space="preserve"> –</w:t>
      </w:r>
      <w:r>
        <w:tab/>
        <w:t>indica il tempo di lavoro medio, espresso in ore per ettaro, destinato alla produzione di un prodotto o di una sottocategoria di prodotto in un'azienda agricola nel terzultimo anno precedente l'anno in questione,</w:t>
      </w:r>
    </w:p>
    <w:p w:rsidR="007B149B" w:rsidRDefault="007F6A12" w:rsidP="00624C2A">
      <w:pPr>
        <w:pStyle w:val="ZLEGWMATFIZCHEMzmlegendywzorumatfizlubchemartykuempunktem"/>
        <w:rPr>
          <w:rFonts w:eastAsia="Times New Roman"/>
        </w:rPr>
      </w:pPr>
      <w:r>
        <w:t>g</w:t>
      </w:r>
      <w:r>
        <w:rPr>
          <w:vertAlign w:val="subscript"/>
        </w:rPr>
        <w:t xml:space="preserve">n-2 </w:t>
      </w:r>
      <w:r>
        <w:t>–</w:t>
      </w:r>
      <w:r>
        <w:tab/>
        <w:t xml:space="preserve"> indica il costo del lavoro, espresso in PLN per ettaro, nel penultimo anno precedente l'anno in questione,</w:t>
      </w:r>
    </w:p>
    <w:p w:rsidR="007B149B" w:rsidRPr="007B149B" w:rsidRDefault="00ED5616" w:rsidP="00624C2A">
      <w:pPr>
        <w:pStyle w:val="ZLEGWMATFIZCHEMzmlegendywzorumatfizlubchemartykuempunktem"/>
        <w:rPr>
          <w:rFonts w:eastAsia="Times New Roman"/>
        </w:rPr>
      </w:pPr>
      <w:r>
        <w:t>i</w:t>
      </w:r>
      <w:r>
        <w:rPr>
          <w:vertAlign w:val="subscript"/>
        </w:rPr>
        <w:t>n-1</w:t>
      </w:r>
      <w:r>
        <w:t xml:space="preserve"> –</w:t>
      </w:r>
      <w:r>
        <w:tab/>
        <w:t>indica l'indice della variazione delle retribuzioni nel settore manifatturiero nell'anno precedente l'anno in questione rispetto al penultimo anno precedente l'anno in questione.</w:t>
      </w:r>
    </w:p>
    <w:p w:rsidR="007B149B" w:rsidRPr="007B149B" w:rsidRDefault="007B149B" w:rsidP="00900942">
      <w:pPr>
        <w:pStyle w:val="ZUSTzmustartykuempunktem"/>
        <w:keepNext/>
        <w:keepLines/>
        <w:rPr>
          <w:rFonts w:eastAsia="Times New Roman"/>
        </w:rPr>
      </w:pPr>
      <w:r>
        <w:lastRenderedPageBreak/>
        <w:t>2. Nello stabilire il prezzo di riferimento:</w:t>
      </w:r>
    </w:p>
    <w:p w:rsidR="007B149B" w:rsidRPr="007B149B" w:rsidRDefault="007B149B" w:rsidP="00624C2A">
      <w:pPr>
        <w:pStyle w:val="ZPKTzmpktartykuempunktem"/>
        <w:rPr>
          <w:rFonts w:eastAsia="Times New Roman"/>
        </w:rPr>
      </w:pPr>
      <w:r>
        <w:t>1)</w:t>
      </w:r>
      <w:r>
        <w:tab/>
        <w:t>per azienda agricola si intende un'azienda agricola, di cui all'articolo 5, paragrafo 1, primo capoverso del regolamento (CE) n. 1217/2009 del Consiglio del 30 novembre 2009, relativo all'istituzione di una rete d'informazione contabile agricola sui redditi e sull'economia delle aziende agricole nella Comunità europea (GU UE L 328 del 15.12.2009, pag. 27, e successive modifiche</w:t>
      </w:r>
      <w:r>
        <w:rPr>
          <w:rStyle w:val="FootnoteReference"/>
        </w:rPr>
        <w:footnoteReference w:id="4"/>
      </w:r>
      <w:r>
        <w:rPr>
          <w:rStyle w:val="IGindeksgrny"/>
        </w:rPr>
        <w:t>)</w:t>
      </w:r>
      <w:r>
        <w:t>);</w:t>
      </w:r>
    </w:p>
    <w:p w:rsidR="007B149B" w:rsidRPr="007B149B" w:rsidRDefault="007B149B" w:rsidP="00624C2A">
      <w:pPr>
        <w:pStyle w:val="ZPKTzmpktartykuempunktem"/>
        <w:rPr>
          <w:rFonts w:eastAsia="Times New Roman"/>
        </w:rPr>
      </w:pPr>
      <w:r>
        <w:t>2)</w:t>
      </w:r>
      <w:r>
        <w:tab/>
        <w:t>per costo del lavoro si intende la retribuzione media del lavoro nelle aziende agricole.</w:t>
      </w:r>
    </w:p>
    <w:p w:rsidR="007B149B" w:rsidRPr="007B149B" w:rsidRDefault="007B149B" w:rsidP="00624C2A">
      <w:pPr>
        <w:pStyle w:val="ZUSTzmustartykuempunktem"/>
        <w:rPr>
          <w:rFonts w:eastAsia="Times New Roman"/>
        </w:rPr>
      </w:pPr>
      <w:r>
        <w:t>3. Il prezzo di riferimento per un particolare prodotto e per una particolare sottocategoria di prodotto è stabilito sulla base dei dati elaborati dall'Istituto di economia agricola e alimentare - Istituto nazionale di ricerca, mentre l'indice delle variazioni delle retribuzioni nella settore manifatturiero nell'anno precedente l'anno in questione rispetto al penultimo anno precedente l'anno in questione è stabilito sulla base delle informazioni statistiche pubblicate, rese disponibili o diffuse conformemente alle disposizioni sulla statistica pubblica.</w:t>
      </w:r>
    </w:p>
    <w:p w:rsidR="00225E1D" w:rsidRDefault="007B149B" w:rsidP="00624C2A">
      <w:pPr>
        <w:pStyle w:val="ZUSTzmustartykuempunktem"/>
      </w:pPr>
      <w:r>
        <w:t>4. L'Istituto di economia agricola e alimentare - Istituto nazionale di ricerca, pubblica i dati di cui al paragrafo 3 sul sito web del Bollettino informativo per il pubblico dell'Istituto entro il 10 marzo di ogni anno.</w:t>
      </w:r>
    </w:p>
    <w:p w:rsidR="001E1984" w:rsidRPr="002016C0" w:rsidRDefault="003B7577" w:rsidP="00624C2A">
      <w:pPr>
        <w:pStyle w:val="ZUSTzmustartykuempunktem"/>
      </w:pPr>
      <w:r>
        <w:t>5. Il ministro responsabile dei mercati agricoli definisce, mediante regolamento, un elenco di prodotti o sottocategorie di prodotto per i quali è fissato un prezzo di riferimento, tenendo conto della produzione agricola nazionale di singoli prodotti o sottocategorie di prodotto, nonché delle modalità di gestione e del rischio di un uso fraudolento del vantaggio contrattuale.</w:t>
      </w:r>
    </w:p>
    <w:p w:rsidR="00CB4B38" w:rsidRPr="00721BB9" w:rsidRDefault="003B7577" w:rsidP="00624C2A">
      <w:pPr>
        <w:pStyle w:val="ZUSTzmustartykuempunktem"/>
      </w:pPr>
      <w:r>
        <w:t>6. Il ministro responsabile dei mercati agricoli pubblica, medianteavviso, entro il 31 marzo di ogni anno, il prezzo di riferimento del prodotto e della sottocategoria di prodotto che figura nell'elenco di cui al paragrafo 5."</w:t>
      </w:r>
    </w:p>
    <w:p w:rsidR="00C418F0"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Articolo 3.</w:t>
      </w:r>
      <w:r>
        <w:rPr>
          <w:rFonts w:ascii="Times New Roman" w:hAnsi="Times New Roman"/>
        </w:rPr>
        <w:t xml:space="preserve"> Ai contratti per la fornitura di prodotti agricoli appartenenti ai settori di cui all'articolo 1, paragrafo 2 del regolamento (UE) n. 1308/2013 del Parlamento europeo e del Consiglio, del 17 dicembre 2013, recante organizzazione comune dei mercati dei prodotti agricoli e che abroga i regolamenti (CEE) n. 922/72, (CEE) n. 234/79, (CE) n. 1037/2001 e </w:t>
      </w:r>
      <w:r>
        <w:rPr>
          <w:rFonts w:ascii="Times New Roman" w:hAnsi="Times New Roman"/>
        </w:rPr>
        <w:lastRenderedPageBreak/>
        <w:t>(CE) n. 1234/2007 (GU UE L 347 del 20.12.2013, pag. 671,e successive modifiche</w:t>
      </w:r>
      <w:r>
        <w:rPr>
          <w:rStyle w:val="FootnoteReference"/>
          <w:rFonts w:ascii="Times New Roman" w:hAnsi="Times New Roman"/>
        </w:rPr>
        <w:footnoteReference w:id="5"/>
      </w:r>
      <w:r>
        <w:rPr>
          <w:rFonts w:ascii="Times New Roman" w:hAnsi="Times New Roman"/>
          <w:vertAlign w:val="superscript"/>
        </w:rPr>
        <w:t>)</w:t>
      </w:r>
      <w:r>
        <w:rPr>
          <w:rFonts w:ascii="Times New Roman" w:hAnsi="Times New Roman"/>
        </w:rPr>
        <w:t>), stipulati prima della data di entrata in vigore della presente legge, si applicano le disposizioni della legge modificata dall'articolo 1, nell'attuale formulazione.</w:t>
      </w:r>
    </w:p>
    <w:p w:rsidR="00F73BFC"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Articolo 4.</w:t>
      </w:r>
      <w:r>
        <w:rPr>
          <w:rFonts w:ascii="Times New Roman" w:hAnsi="Times New Roman"/>
        </w:rPr>
        <w:t xml:space="preserve"> Ai procedimenti per la comminazione di ammende, avviati ai sensi delle disposizioni della legge modificata all'articolo 1 e non completati entro la data di entrata in vigore della presente legge, sono applicate le disposizioni della legge modificata all'articolo 1, nell'attuale formulazione.</w:t>
      </w:r>
    </w:p>
    <w:p w:rsidR="00A85504" w:rsidRDefault="00A85504" w:rsidP="00624C2A">
      <w:pPr>
        <w:pStyle w:val="ARTartustawynprozporzdzenia"/>
        <w:rPr>
          <w:rFonts w:ascii="Times New Roman" w:hAnsi="Times New Roman" w:cs="Times New Roman"/>
          <w:szCs w:val="24"/>
        </w:rPr>
      </w:pPr>
      <w:r>
        <w:rPr>
          <w:rStyle w:val="Ppogrubienie"/>
          <w:rFonts w:ascii="Times New Roman" w:hAnsi="Times New Roman"/>
        </w:rPr>
        <w:t>Articolo 5.</w:t>
      </w:r>
      <w:r>
        <w:rPr>
          <w:rFonts w:ascii="Times New Roman" w:hAnsi="Times New Roman"/>
        </w:rPr>
        <w:t xml:space="preserve"> Ai contratti di acquisto di prodotti agricoli o alimentari, stipulati prima della data di pubblicazione dell'avviso di cui all'articolo 6, si applicano le disposizioni della legge modificata all'articolo 2, nell'attuale formulazione.</w:t>
      </w:r>
    </w:p>
    <w:p w:rsidR="000B07C9" w:rsidRDefault="005C67D3" w:rsidP="00624C2A">
      <w:pPr>
        <w:pStyle w:val="ARTartustawynprozporzdzenia"/>
        <w:rPr>
          <w:rFonts w:ascii="Times New Roman" w:hAnsi="Times New Roman" w:cs="Times New Roman"/>
          <w:szCs w:val="24"/>
        </w:rPr>
      </w:pPr>
      <w:r>
        <w:rPr>
          <w:rFonts w:ascii="Times New Roman" w:hAnsi="Times New Roman"/>
          <w:b/>
        </w:rPr>
        <w:t>Articolo 6.</w:t>
      </w:r>
      <w:r>
        <w:rPr>
          <w:rFonts w:ascii="Times New Roman" w:hAnsi="Times New Roman"/>
        </w:rPr>
        <w:t xml:space="preserve"> Nel 2019 il ministro responsabile dei mercati agricoli pubblica, mediante avviso, il prezzo di riferimento del prodotto e della sottocategoria di prodotto inclusi nell'elenco di cui all'articolo 7a, paragrafo 5, della legge come modificata all'articolo 2 della presente legge, per il periodo compreso tra la data di pubblicazione di tale avviso e il 31 marzo 2020, entro 14 giorni dalla data di entrata in vigore della legge.</w:t>
      </w:r>
    </w:p>
    <w:p w:rsidR="00062717" w:rsidRDefault="00C418F0" w:rsidP="00624C2A">
      <w:pPr>
        <w:pStyle w:val="ARTartustawynprozporzdzenia"/>
      </w:pPr>
      <w:r>
        <w:rPr>
          <w:rStyle w:val="Ppogrubienie"/>
          <w:rFonts w:ascii="Times New Roman" w:hAnsi="Times New Roman"/>
        </w:rPr>
        <w:t>Articolo 7.</w:t>
      </w:r>
      <w:r>
        <w:t xml:space="preserve"> La presente legge entra in vigore trascorsi 14 giorni dalla data di pubblicazione.</w:t>
      </w:r>
    </w:p>
    <w:sectPr w:rsidR="0006271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EB1" w:rsidRDefault="00895EB1">
      <w:r>
        <w:separator/>
      </w:r>
    </w:p>
  </w:endnote>
  <w:endnote w:type="continuationSeparator" w:id="0">
    <w:p w:rsidR="00895EB1" w:rsidRDefault="0089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EB1" w:rsidRDefault="00895EB1">
      <w:r>
        <w:separator/>
      </w:r>
    </w:p>
  </w:footnote>
  <w:footnote w:type="continuationSeparator" w:id="0">
    <w:p w:rsidR="00895EB1" w:rsidRDefault="00895EB1">
      <w:r>
        <w:continuationSeparator/>
      </w:r>
    </w:p>
  </w:footnote>
  <w:footnote w:id="1">
    <w:p w:rsidR="00717F00" w:rsidRDefault="00717F00" w:rsidP="00B44A77">
      <w:pPr>
        <w:pStyle w:val="ODNONIKtreodnonika"/>
      </w:pPr>
      <w:r>
        <w:rPr>
          <w:rStyle w:val="FootnoteReference"/>
        </w:rPr>
        <w:footnoteRef/>
      </w:r>
      <w:r>
        <w:rPr>
          <w:rStyle w:val="IGindeksgrny"/>
        </w:rPr>
        <w:t>)</w:t>
      </w:r>
      <w:r>
        <w:tab/>
        <w:t>La presente legge è stata notificata alla Commissione europea il giorno…., con il numero…., ai sensi dell'articolo 4 del regolamento del Consiglio dei ministri, del 23 dicembre 2002, in merito al funzionamento del sistema nazionale di notifica delle norme e degli atti giuridici [Dz.U. (Dziennik Ustaw, Gazzetta ufficiale delle leggi della Repubblica di Polonia), voce 2039 e Dz.U. del 2004, voce 597], che attua la direttiva (UE) 2015/1535 del Parlamento europeo e del Consiglio, del 9 settembre 2015, che prevede una procedura d'informazione nel settore delle regolamentazioni tecniche e delle regole relative ai servizi della società dell'informazione (GU UE L 241 del 17.9.2015, pag. 1).</w:t>
      </w:r>
    </w:p>
  </w:footnote>
  <w:footnote w:id="2">
    <w:p w:rsidR="006E575F" w:rsidRDefault="006E575F" w:rsidP="006E575F">
      <w:pPr>
        <w:pStyle w:val="ODNONIKtreodnonika"/>
      </w:pPr>
      <w:r>
        <w:rPr>
          <w:rStyle w:val="FootnoteReference"/>
        </w:rPr>
        <w:footnoteRef/>
      </w:r>
      <w:r>
        <w:rPr>
          <w:rStyle w:val="IGindeksgrny"/>
        </w:rPr>
        <w:t>)</w:t>
      </w:r>
      <w:r>
        <w:tab/>
        <w:t>Le modifiche al testo unico della legge sopracitata sono state notificate nella Dz. U. del 2018, voci 1669, 2136, 2227, 2242, 2244 e 2245.</w:t>
      </w:r>
    </w:p>
  </w:footnote>
  <w:footnote w:id="3">
    <w:p w:rsidR="00753937" w:rsidRDefault="00753937" w:rsidP="00924BC2">
      <w:pPr>
        <w:pStyle w:val="ODNONIKtreodnonika"/>
      </w:pPr>
      <w:r>
        <w:rPr>
          <w:rStyle w:val="FootnoteReference"/>
        </w:rPr>
        <w:footnoteRef/>
      </w:r>
      <w:r>
        <w:rPr>
          <w:vertAlign w:val="superscript"/>
        </w:rPr>
        <w:t>)</w:t>
      </w:r>
      <w:r>
        <w:tab/>
        <w:t>Le modifiche al regolamento sopracitato sono state notificate nelle seguenti GU: GU UE L 347 del 20.12.2013, pag. 865; GU UE L 181 del 20.6.2014, pag. 1; GU UE L 280 del 24.9.2014, pag. 1; GU UE L 281 del 25.9.2014, pag. 1; GU UE L 367 del 23.12.2014, pag. 16; GU UE L 135 del 2.6.2015, pag. 8; GU UE L 28 del 4.2.2016, pag. 8; GU UE L 130 del 19.5.2016, pag. 16; GU UE L 167 del 30.6.2017, pag. 1; GU UE L 350 del 29.12.2017, pag. 15; GU UE L 30 del 2.2.2018, pag. 6; GU UE L 16 del 18.1.2019, pag. 1; e GU UE L 53 del 22.2.2019, pag. 14.</w:t>
      </w:r>
    </w:p>
  </w:footnote>
  <w:footnote w:id="4">
    <w:p w:rsidR="00264817" w:rsidRDefault="00264817" w:rsidP="00FF7049">
      <w:pPr>
        <w:pStyle w:val="ODNONIKtreodnonika"/>
      </w:pPr>
      <w:r>
        <w:rPr>
          <w:rStyle w:val="FootnoteReference"/>
        </w:rPr>
        <w:footnoteRef/>
      </w:r>
      <w:r>
        <w:rPr>
          <w:rStyle w:val="IGindeksgrny"/>
        </w:rPr>
        <w:t>)</w:t>
      </w:r>
      <w:r>
        <w:tab/>
        <w:t>Le modifiche al regolamento sopracitato sono state notificate nelle seguenti GU: GU UE L 195 del 27.7.2011, pag. 42; GU UE L 158 del 10.6.2013, pag. 1; GU UE L 340 del 17.12.2013, pag. 1; e GU UE L 328 dell'12.12.2017, pag. 1.</w:t>
      </w:r>
    </w:p>
  </w:footnote>
  <w:footnote w:id="5">
    <w:p w:rsidR="002647D7" w:rsidRPr="00F90C7E" w:rsidRDefault="002647D7" w:rsidP="00721BB9">
      <w:pPr>
        <w:pStyle w:val="ODNONIKtreodnonika"/>
      </w:pPr>
      <w:r>
        <w:rPr>
          <w:rStyle w:val="FootnoteReference"/>
        </w:rPr>
        <w:footnoteRef/>
      </w:r>
      <w:r>
        <w:rPr>
          <w:vertAlign w:val="superscript"/>
        </w:rPr>
        <w:t>)</w:t>
      </w:r>
      <w:r>
        <w:tab/>
        <w:t xml:space="preserve">Le modifiche al regolamento sopracitato sono state notificate nelle seguenti GU: GU UE L 347 del 20.12.2013, pag. 865; GU UE L 189 del 27.6.2014, pag. 261; GU UE L 130 del 19.5.2016, pag. 20; GU UE L 135 del 24.5.2016, pag. 1; GU UE L 193 del 19.7.2016, pag. 17; GU UE L 202 del 28.7.2016, pag. 5; GU UE L 91 del 5.4.2017, pag. 44; GU UE L 350 del 29.12.2017, pag. 15; e GU UE L 114 del 4.5.2018, pag.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6D62ED">
      <w:rPr>
        <w:noProof/>
      </w:rPr>
      <w:t>11</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D62ED"/>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5EB1"/>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B6"/>
    <w:rsid w:val="00FD3689"/>
    <w:rsid w:val="00FD3A65"/>
    <w:rsid w:val="00FD42A3"/>
    <w:rsid w:val="00FD53D7"/>
    <w:rsid w:val="00FD7468"/>
    <w:rsid w:val="00FD7CE0"/>
    <w:rsid w:val="00FE0B3B"/>
    <w:rsid w:val="00FE1BE2"/>
    <w:rsid w:val="00FE4718"/>
    <w:rsid w:val="00FE730A"/>
    <w:rsid w:val="00FE7704"/>
    <w:rsid w:val="00FE7E0C"/>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AB75EF-2AC8-4C32-A53D-41CF968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it-IT" w:eastAsia="it-IT" w:bidi="it-IT"/>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it-IT"/>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it-IT"/>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it-IT"/>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it-IT"/>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972EF-4531-4708-8BE4-BB58E19F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9</TotalTime>
  <Pages>1</Pages>
  <Words>3470</Words>
  <Characters>19781</Characters>
  <Application>Microsoft Office Word</Application>
  <DocSecurity>0</DocSecurity>
  <Lines>164</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Ke, Tingting</cp:lastModifiedBy>
  <cp:revision>7</cp:revision>
  <cp:lastPrinted>2019-07-03T09:10:00Z</cp:lastPrinted>
  <dcterms:created xsi:type="dcterms:W3CDTF">2019-07-15T12:36:00Z</dcterms:created>
  <dcterms:modified xsi:type="dcterms:W3CDTF">2019-07-30T01:46:00Z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