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833F7" w14:textId="77777777" w:rsidR="00E3537C" w:rsidRDefault="002F26D8">
      <w:pPr>
        <w:pStyle w:val="Teksttreci20"/>
        <w:shd w:val="clear" w:color="auto" w:fill="auto"/>
      </w:pPr>
      <w:r>
        <w:rPr>
          <w:noProof/>
        </w:rPr>
        <w:drawing>
          <wp:anchor distT="0" distB="0" distL="101600" distR="101600" simplePos="0" relativeHeight="125829378" behindDoc="0" locked="0" layoutInCell="1" allowOverlap="1" wp14:anchorId="7DA5012C" wp14:editId="3E2AEDFE">
            <wp:simplePos x="0" y="0"/>
            <wp:positionH relativeFrom="page">
              <wp:posOffset>6004560</wp:posOffset>
            </wp:positionH>
            <wp:positionV relativeFrom="paragraph">
              <wp:posOffset>25400</wp:posOffset>
            </wp:positionV>
            <wp:extent cx="292735" cy="323215"/>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92735" cy="323215"/>
                    </a:xfrm>
                    <a:prstGeom prst="rect">
                      <a:avLst/>
                    </a:prstGeom>
                  </pic:spPr>
                </pic:pic>
              </a:graphicData>
            </a:graphic>
          </wp:anchor>
        </w:drawing>
      </w:r>
      <w:r>
        <w:t>Dokument,</w:t>
      </w:r>
      <w:r>
        <w:br/>
        <w:t>ki ga je podpisal</w:t>
      </w:r>
      <w:r>
        <w:br/>
        <w:t>Krzysztof Madej</w:t>
      </w:r>
      <w:r>
        <w:br/>
        <w:t>Datum:</w:t>
      </w:r>
    </w:p>
    <w:p w14:paraId="502E65D8" w14:textId="77777777" w:rsidR="00E3537C" w:rsidRDefault="002F26D8">
      <w:pPr>
        <w:pStyle w:val="Teksttreci20"/>
        <w:shd w:val="clear" w:color="auto" w:fill="auto"/>
        <w:spacing w:after="120"/>
      </w:pPr>
      <w:r>
        <w:rPr>
          <w:noProof/>
        </w:rPr>
        <mc:AlternateContent>
          <mc:Choice Requires="wps">
            <w:drawing>
              <wp:anchor distT="0" distB="0" distL="63500" distR="63500" simplePos="0" relativeHeight="125829379" behindDoc="0" locked="0" layoutInCell="1" allowOverlap="1" wp14:anchorId="0FF9109A" wp14:editId="60FEA9ED">
                <wp:simplePos x="0" y="0"/>
                <wp:positionH relativeFrom="page">
                  <wp:posOffset>5974080</wp:posOffset>
                </wp:positionH>
                <wp:positionV relativeFrom="paragraph">
                  <wp:posOffset>12700</wp:posOffset>
                </wp:positionV>
                <wp:extent cx="353695" cy="19939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353695" cy="199390"/>
                        </a:xfrm>
                        <a:prstGeom prst="rect">
                          <a:avLst/>
                        </a:prstGeom>
                        <a:noFill/>
                      </wps:spPr>
                      <wps:txbx>
                        <w:txbxContent>
                          <w:p w14:paraId="042BA290" w14:textId="77777777" w:rsidR="00E3537C" w:rsidRDefault="002F26D8">
                            <w:pPr>
                              <w:pStyle w:val="Teksttreci30"/>
                              <w:pBdr>
                                <w:top w:val="single" w:sz="0" w:space="0" w:color="02346B"/>
                                <w:left w:val="single" w:sz="0" w:space="0" w:color="02346B"/>
                                <w:bottom w:val="single" w:sz="0" w:space="0" w:color="02346B"/>
                                <w:right w:val="single" w:sz="0" w:space="0" w:color="02346B"/>
                              </w:pBdr>
                              <w:shd w:val="clear" w:color="auto" w:fill="02346B"/>
                            </w:pPr>
                            <w:r>
                              <w:rPr>
                                <w:color w:val="FFFFFF"/>
                              </w:rPr>
                              <w:t>RCL</w:t>
                            </w:r>
                          </w:p>
                        </w:txbxContent>
                      </wps:txbx>
                      <wps:bodyPr lIns="0" tIns="0" rIns="0" bIns="0">
                        <a:spAutoFit/>
                      </wps:bodyPr>
                    </wps:wsp>
                  </a:graphicData>
                </a:graphic>
              </wp:anchor>
            </w:drawing>
          </mc:Choice>
          <mc:Fallback>
            <w:pict>
              <v:shapetype w14:anchorId="0FF9109A" id="_x0000_t202" coordsize="21600,21600" o:spt="202" path="m,l,21600r21600,l21600,xe">
                <v:stroke joinstyle="miter"/>
                <v:path gradientshapeok="t" o:connecttype="rect"/>
              </v:shapetype>
              <v:shape id="Shape 3" o:spid="_x0000_s1026" type="#_x0000_t202" style="position:absolute;margin-left:470.4pt;margin-top:1pt;width:27.85pt;height:15.7pt;z-index:125829379;visibility:visible;mso-wrap-style:square;mso-wrap-distance-left:5pt;mso-wrap-distance-top:0;mso-wrap-distance-right: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" filled="f" stroked="f">
                <v:textbox style="mso-fit-shape-to-text:t" inset="0,0,0,0">
                  <w:txbxContent>
                    <w:p w14:paraId="042BA290" w14:textId="77777777" w:rsidR="00E3537C" w:rsidRDefault="002F26D8">
                      <w:pPr>
                        <w:pStyle w:val="Teksttreci30"/>
                        <w:pBdr>
                          <w:top w:val="single" w:sz="0" w:space="0" w:color="02346B"/>
                          <w:left w:val="single" w:sz="0" w:space="0" w:color="02346B"/>
                          <w:bottom w:val="single" w:sz="0" w:space="0" w:color="02346B"/>
                          <w:right w:val="single" w:sz="0" w:space="0" w:color="02346B"/>
                        </w:pBdr>
                        <w:shd w:val="clear" w:color="auto" w:fill="02346B"/>
                      </w:pPr>
                      <w:r>
                        <w:rPr>
                          <w:color w:val="FFFFFF"/>
                        </w:rPr>
                        <w:t>RCL</w:t>
                      </w:r>
                    </w:p>
                  </w:txbxContent>
                </v:textbox>
                <w10:wrap type="square" side="right" anchorx="page"/>
              </v:shape>
            </w:pict>
          </mc:Fallback>
        </mc:AlternateContent>
      </w:r>
      <w:r>
        <w:t>16.9.2019</w:t>
      </w:r>
      <w:r>
        <w:br/>
        <w:t>15:30:29 CEST</w:t>
      </w:r>
    </w:p>
    <w:p w14:paraId="1F05E484" w14:textId="77777777" w:rsidR="00E3537C" w:rsidRPr="001E465F" w:rsidRDefault="002F26D8">
      <w:pPr>
        <w:pStyle w:val="Nagwek10"/>
        <w:keepNext/>
        <w:keepLines/>
        <w:shd w:val="clear" w:color="auto" w:fill="auto"/>
        <w:rPr>
          <w:sz w:val="80"/>
          <w:szCs w:val="80"/>
        </w:rPr>
      </w:pPr>
      <w:r>
        <w:rPr>
          <w:noProof/>
          <w:sz w:val="80"/>
        </w:rPr>
        <w:drawing>
          <wp:anchor distT="0" distB="0" distL="114300" distR="114300" simplePos="0" relativeHeight="125829381" behindDoc="0" locked="0" layoutInCell="1" allowOverlap="1" wp14:anchorId="24C9DBF7" wp14:editId="6F0857A9">
            <wp:simplePos x="0" y="0"/>
            <wp:positionH relativeFrom="page">
              <wp:posOffset>685800</wp:posOffset>
            </wp:positionH>
            <wp:positionV relativeFrom="paragraph">
              <wp:posOffset>12700</wp:posOffset>
            </wp:positionV>
            <wp:extent cx="951230" cy="107315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951230" cy="1073150"/>
                    </a:xfrm>
                    <a:prstGeom prst="rect">
                      <a:avLst/>
                    </a:prstGeom>
                  </pic:spPr>
                </pic:pic>
              </a:graphicData>
            </a:graphic>
          </wp:anchor>
        </w:drawing>
      </w:r>
      <w:bookmarkStart w:id="0" w:name="bookmark0"/>
      <w:r>
        <w:rPr>
          <w:sz w:val="80"/>
        </w:rPr>
        <w:t>URADNI LIST</w:t>
      </w:r>
      <w:bookmarkEnd w:id="0"/>
    </w:p>
    <w:p w14:paraId="401C55A6" w14:textId="77777777" w:rsidR="00E3537C" w:rsidRDefault="002F26D8">
      <w:pPr>
        <w:pStyle w:val="Nagwek20"/>
        <w:keepNext/>
        <w:keepLines/>
        <w:shd w:val="clear" w:color="auto" w:fill="auto"/>
      </w:pPr>
      <w:bookmarkStart w:id="1" w:name="bookmark1"/>
      <w:r>
        <w:t>REPUBLIKE POLJSKE</w:t>
      </w:r>
      <w:bookmarkEnd w:id="1"/>
    </w:p>
    <w:p w14:paraId="1A0E95E7" w14:textId="77777777" w:rsidR="00E3537C" w:rsidRDefault="002F26D8">
      <w:pPr>
        <w:pStyle w:val="Nagwek30"/>
        <w:keepNext/>
        <w:keepLines/>
        <w:shd w:val="clear" w:color="auto" w:fill="auto"/>
      </w:pPr>
      <w:bookmarkStart w:id="2" w:name="bookmark2"/>
      <w:r>
        <w:t>Varšava, 16. septembra 2019</w:t>
      </w:r>
      <w:r>
        <w:br/>
        <w:t>Postavka 1757</w:t>
      </w:r>
      <w:bookmarkEnd w:id="2"/>
    </w:p>
    <w:p w14:paraId="3C99752B" w14:textId="77777777" w:rsidR="00E3537C" w:rsidRDefault="002F26D8">
      <w:pPr>
        <w:pStyle w:val="Teksttreci0"/>
        <w:shd w:val="clear" w:color="auto" w:fill="auto"/>
        <w:spacing w:after="120" w:line="343" w:lineRule="auto"/>
        <w:ind w:left="100"/>
        <w:jc w:val="center"/>
      </w:pPr>
      <w:r>
        <w:rPr>
          <w:b/>
          <w:bCs/>
        </w:rPr>
        <w:t>UREDBA</w:t>
      </w:r>
      <w:r>
        <w:rPr>
          <w:b/>
          <w:bCs/>
        </w:rPr>
        <w:br/>
        <w:t>MINISTRA ZA ENERGIJO</w:t>
      </w:r>
      <w:r>
        <w:rPr>
          <w:vertAlign w:val="superscript"/>
        </w:rPr>
        <w:footnoteReference w:id="1"/>
      </w:r>
      <w:r>
        <w:br/>
        <w:t>z dne 28. avgusta 2019</w:t>
      </w:r>
    </w:p>
    <w:p w14:paraId="6630B994" w14:textId="77777777" w:rsidR="00E3537C" w:rsidRDefault="002F26D8">
      <w:pPr>
        <w:pStyle w:val="Teksttreci0"/>
        <w:shd w:val="clear" w:color="auto" w:fill="auto"/>
        <w:spacing w:after="240"/>
        <w:ind w:left="100"/>
        <w:jc w:val="center"/>
      </w:pPr>
      <w:r>
        <w:rPr>
          <w:b/>
        </w:rPr>
        <w:t>o tehničnih zahtevah za postaje za oskrbo z zemeljskim plinom</w:t>
      </w:r>
      <w:r>
        <w:rPr>
          <w:vertAlign w:val="superscript"/>
        </w:rPr>
        <w:footnoteReference w:id="2"/>
      </w:r>
    </w:p>
    <w:p w14:paraId="764C3D20" w14:textId="77777777" w:rsidR="00E3537C" w:rsidRDefault="002F26D8">
      <w:pPr>
        <w:pStyle w:val="Teksttreci0"/>
        <w:shd w:val="clear" w:color="auto" w:fill="auto"/>
        <w:spacing w:after="120"/>
        <w:ind w:firstLine="440"/>
      </w:pPr>
      <w:r>
        <w:t>Na podlagi člena 29(1) Zakona z dne 11. januarja 2018 o električni mobilnosti in alternativnih gorivih (Uradni list iz leta 2019, postavke 1124, 1495, 1527 in 1716) se odreja naslednje:</w:t>
      </w:r>
    </w:p>
    <w:p w14:paraId="65D1F713" w14:textId="77777777" w:rsidR="00E3537C" w:rsidRDefault="002F26D8">
      <w:pPr>
        <w:pStyle w:val="Teksttreci0"/>
        <w:shd w:val="clear" w:color="auto" w:fill="auto"/>
        <w:spacing w:after="120"/>
        <w:ind w:firstLine="440"/>
      </w:pPr>
      <w:r>
        <w:rPr>
          <w:b/>
        </w:rPr>
        <w:t xml:space="preserve">Oddelek 1. </w:t>
      </w:r>
      <w:r>
        <w:t>Uredba določa:</w:t>
      </w:r>
    </w:p>
    <w:p w14:paraId="430076E2" w14:textId="77777777" w:rsidR="00E3537C" w:rsidRDefault="002F26D8">
      <w:pPr>
        <w:pStyle w:val="Teksttreci0"/>
        <w:numPr>
          <w:ilvl w:val="0"/>
          <w:numId w:val="1"/>
        </w:numPr>
        <w:shd w:val="clear" w:color="auto" w:fill="auto"/>
        <w:tabs>
          <w:tab w:val="left" w:pos="420"/>
        </w:tabs>
        <w:spacing w:after="120"/>
        <w:ind w:left="440" w:hanging="440"/>
        <w:jc w:val="left"/>
      </w:pPr>
      <w:r>
        <w:t>podrobne tehnične zahteve, povezane z varnim obratovanjem, popravili in posodobitvijo postaj za oskrbo z zemeljskim plinom;</w:t>
      </w:r>
    </w:p>
    <w:p w14:paraId="03DD93EC" w14:textId="77777777" w:rsidR="00E3537C" w:rsidRDefault="002F26D8">
      <w:pPr>
        <w:pStyle w:val="Teksttreci0"/>
        <w:numPr>
          <w:ilvl w:val="0"/>
          <w:numId w:val="1"/>
        </w:numPr>
        <w:shd w:val="clear" w:color="auto" w:fill="auto"/>
        <w:tabs>
          <w:tab w:val="left" w:pos="420"/>
        </w:tabs>
        <w:spacing w:after="120"/>
        <w:ind w:left="440" w:hanging="440"/>
        <w:jc w:val="left"/>
      </w:pPr>
      <w:r>
        <w:t>vrste tehničnih pregledov postaj za oskrbo z zemeljskim plinom, ki jih izvaja Urad za tehnične preglede, ter postopke in datume za izvedbo teh pregledov;</w:t>
      </w:r>
    </w:p>
    <w:p w14:paraId="668073B6" w14:textId="77777777" w:rsidR="00E3537C" w:rsidRDefault="002F26D8">
      <w:pPr>
        <w:pStyle w:val="Teksttreci0"/>
        <w:numPr>
          <w:ilvl w:val="0"/>
          <w:numId w:val="1"/>
        </w:numPr>
        <w:shd w:val="clear" w:color="auto" w:fill="auto"/>
        <w:tabs>
          <w:tab w:val="left" w:pos="420"/>
        </w:tabs>
        <w:spacing w:after="120"/>
        <w:ind w:left="440" w:hanging="440"/>
        <w:jc w:val="left"/>
      </w:pPr>
      <w:r>
        <w:t>pristojbine za:</w:t>
      </w:r>
    </w:p>
    <w:p w14:paraId="68E4090C" w14:textId="77777777" w:rsidR="00E3537C" w:rsidRDefault="002F26D8">
      <w:pPr>
        <w:pStyle w:val="Teksttreci0"/>
        <w:shd w:val="clear" w:color="auto" w:fill="auto"/>
        <w:spacing w:after="120"/>
        <w:ind w:left="800" w:hanging="360"/>
        <w:jc w:val="left"/>
      </w:pPr>
      <w:r>
        <w:t>a) izdajo mnenja vodje Urada za tehnične preglede iz člena 26(1) Zakona z dne 11. januarja 2018 o električni mobilnosti in alternativnih gorivih (v nadaljnjem besedilu: Zakon);</w:t>
      </w:r>
    </w:p>
    <w:p w14:paraId="0F3BFBD6" w14:textId="77777777" w:rsidR="00E3537C" w:rsidRDefault="002F26D8">
      <w:pPr>
        <w:pStyle w:val="Teksttreci0"/>
        <w:shd w:val="clear" w:color="auto" w:fill="auto"/>
        <w:spacing w:after="120"/>
        <w:ind w:firstLine="440"/>
      </w:pPr>
      <w:r>
        <w:t>b) tehnične preglede s strani Urada za tehnične preglede, navedene v členu 27(1) Zakona.</w:t>
      </w:r>
    </w:p>
    <w:p w14:paraId="0B38F87E" w14:textId="77777777" w:rsidR="00E3537C" w:rsidRDefault="002F26D8">
      <w:pPr>
        <w:pStyle w:val="Teksttreci0"/>
        <w:shd w:val="clear" w:color="auto" w:fill="auto"/>
        <w:spacing w:after="0" w:line="252" w:lineRule="auto"/>
        <w:ind w:firstLine="440"/>
      </w:pPr>
      <w:r>
        <w:rPr>
          <w:b/>
        </w:rPr>
        <w:t xml:space="preserve">Oddelek 2. </w:t>
      </w:r>
      <w:r>
        <w:t>Postaja za oskrbo z zemeljskim plinom izpolnjuje podrobne tehnične zahteve glede varnega obratovanja, določene v veljavnem standardu PN-EN ISO 16923 v primeru postaj za oskrbo z zemeljskim plinom, opremljenih z oskrbovalnimi mesti s stisnjenim zemeljskim plinom (SZP), ali standardom PN-EN ISO 16924 v primeru postaj za oskrbo z zemeljskim plinom, opremljenih z oskrbovalnimi mesti z utekočinjenim zemeljskim plinom (UZP).</w:t>
      </w:r>
    </w:p>
    <w:p w14:paraId="23A1B2A5" w14:textId="77777777" w:rsidR="00E3537C" w:rsidRDefault="00E3537C">
      <w:pPr>
        <w:pStyle w:val="Teksttreci0"/>
        <w:shd w:val="clear" w:color="auto" w:fill="auto"/>
        <w:spacing w:after="120" w:line="252" w:lineRule="auto"/>
      </w:pPr>
    </w:p>
    <w:p w14:paraId="0D4F389D" w14:textId="77777777" w:rsidR="00E3537C" w:rsidRDefault="002F26D8">
      <w:pPr>
        <w:pStyle w:val="Teksttreci0"/>
        <w:shd w:val="clear" w:color="auto" w:fill="auto"/>
        <w:spacing w:after="120"/>
        <w:ind w:firstLine="440"/>
      </w:pPr>
      <w:r>
        <w:rPr>
          <w:b/>
        </w:rPr>
        <w:t xml:space="preserve">Oddelek 3. </w:t>
      </w:r>
      <w:r>
        <w:t>1. Postaja za oskrbo z zemeljskim plinom se upravlja ob upoštevanju:</w:t>
      </w:r>
    </w:p>
    <w:p w14:paraId="333B9C41" w14:textId="77777777" w:rsidR="00E3537C" w:rsidRDefault="002F26D8">
      <w:pPr>
        <w:pStyle w:val="Teksttreci0"/>
        <w:numPr>
          <w:ilvl w:val="0"/>
          <w:numId w:val="2"/>
        </w:numPr>
        <w:shd w:val="clear" w:color="auto" w:fill="auto"/>
        <w:tabs>
          <w:tab w:val="left" w:pos="420"/>
        </w:tabs>
        <w:spacing w:after="120"/>
        <w:ind w:left="440" w:hanging="440"/>
      </w:pPr>
      <w:r>
        <w:t>sheme postaje za oskrbo z zemeljskim plinom, ki je del dokumentacije projekta izvedenih del postaje za oskrbo z zemeljskim plinom in v kateri so navedene lokacije vseh naprav, varnostne opreme, tlačnih armatur in virov napajanja, vključno s postavitvijo sosednjih naprav ali stavb;</w:t>
      </w:r>
    </w:p>
    <w:p w14:paraId="10E62C74" w14:textId="77777777" w:rsidR="00E3537C" w:rsidRDefault="002F26D8">
      <w:pPr>
        <w:pStyle w:val="Teksttreci0"/>
        <w:numPr>
          <w:ilvl w:val="0"/>
          <w:numId w:val="2"/>
        </w:numPr>
        <w:shd w:val="clear" w:color="auto" w:fill="auto"/>
        <w:tabs>
          <w:tab w:val="left" w:pos="420"/>
        </w:tabs>
        <w:spacing w:after="120"/>
        <w:ind w:left="440" w:hanging="440"/>
        <w:jc w:val="left"/>
      </w:pPr>
      <w:r>
        <w:t>sheme cevovodov in instrumentov, ki je del dokumentacije projekta izvedenih del postaje za oskrbo z zemeljskim plinom;</w:t>
      </w:r>
    </w:p>
    <w:p w14:paraId="69441283" w14:textId="77777777" w:rsidR="00E3537C" w:rsidRDefault="002F26D8">
      <w:pPr>
        <w:pStyle w:val="Teksttreci0"/>
        <w:numPr>
          <w:ilvl w:val="0"/>
          <w:numId w:val="2"/>
        </w:numPr>
        <w:shd w:val="clear" w:color="auto" w:fill="auto"/>
        <w:tabs>
          <w:tab w:val="left" w:pos="420"/>
        </w:tabs>
        <w:spacing w:after="120"/>
        <w:ind w:left="440" w:hanging="440"/>
        <w:jc w:val="left"/>
      </w:pPr>
      <w:r>
        <w:t>navodil za uporabo postaje za oskrbo z zemeljskim plinom;</w:t>
      </w:r>
    </w:p>
    <w:p w14:paraId="73872A84" w14:textId="77777777" w:rsidR="00E3537C" w:rsidRDefault="002F26D8">
      <w:pPr>
        <w:pStyle w:val="Teksttreci0"/>
        <w:numPr>
          <w:ilvl w:val="0"/>
          <w:numId w:val="2"/>
        </w:numPr>
        <w:shd w:val="clear" w:color="auto" w:fill="auto"/>
        <w:tabs>
          <w:tab w:val="left" w:pos="420"/>
        </w:tabs>
        <w:spacing w:after="120"/>
        <w:ind w:left="440" w:hanging="440"/>
        <w:jc w:val="left"/>
        <w:sectPr w:rsidR="00E3537C">
          <w:footnotePr>
            <w:numRestart w:val="eachPage"/>
          </w:footnotePr>
          <w:pgSz w:w="11900" w:h="16840"/>
          <w:pgMar w:top="130" w:right="874" w:bottom="130" w:left="989" w:header="0" w:footer="3" w:gutter="0"/>
          <w:pgNumType w:start="1"/>
          <w:cols w:space="720"/>
          <w:noEndnote/>
          <w:docGrid w:linePitch="360"/>
        </w:sectPr>
      </w:pPr>
      <w:r>
        <w:t>tehničnega opisa postaje za oskrbo z zemeljskim plinom, ki je del dokumentacije projekta izvedenih del ali operativne dokumentacije postaje za oskrbo z zemeljskim plinom;</w:t>
      </w:r>
    </w:p>
    <w:p w14:paraId="2376FE9E" w14:textId="77777777" w:rsidR="00E3537C" w:rsidRDefault="002F26D8">
      <w:pPr>
        <w:pStyle w:val="Teksttreci0"/>
        <w:numPr>
          <w:ilvl w:val="0"/>
          <w:numId w:val="2"/>
        </w:numPr>
        <w:shd w:val="clear" w:color="auto" w:fill="auto"/>
        <w:tabs>
          <w:tab w:val="left" w:pos="420"/>
        </w:tabs>
        <w:ind w:left="440" w:hanging="440"/>
      </w:pPr>
      <w:r>
        <w:lastRenderedPageBreak/>
        <w:t>ocene nevarnosti eksplozije in navodil za požarno varnost iz predpisov, izdanih na podlagi člena 13(1) in (2) Zakona z dne 24. avgusta 1991 o protipožarni zaščiti (Uradni list iz leta 2019, postavke 1372, 1518 in 1593);</w:t>
      </w:r>
    </w:p>
    <w:p w14:paraId="2712C632" w14:textId="77777777" w:rsidR="00E3537C" w:rsidRDefault="002F26D8">
      <w:pPr>
        <w:pStyle w:val="Teksttreci0"/>
        <w:numPr>
          <w:ilvl w:val="0"/>
          <w:numId w:val="2"/>
        </w:numPr>
        <w:shd w:val="clear" w:color="auto" w:fill="auto"/>
        <w:tabs>
          <w:tab w:val="left" w:pos="420"/>
        </w:tabs>
        <w:ind w:left="440" w:hanging="440"/>
      </w:pPr>
      <w:r>
        <w:t>poročil o opravljenih preverjanjih, pregledih in preskusih uhajanja.</w:t>
      </w:r>
    </w:p>
    <w:p w14:paraId="164A3AFE" w14:textId="77777777" w:rsidR="00E3537C" w:rsidRDefault="002F26D8">
      <w:pPr>
        <w:pStyle w:val="Teksttreci0"/>
        <w:numPr>
          <w:ilvl w:val="0"/>
          <w:numId w:val="3"/>
        </w:numPr>
        <w:shd w:val="clear" w:color="auto" w:fill="auto"/>
        <w:tabs>
          <w:tab w:val="left" w:pos="776"/>
        </w:tabs>
        <w:spacing w:after="0"/>
        <w:ind w:left="440"/>
      </w:pPr>
      <w:r>
        <w:t>Vsa operativna dela, vključno s tehničnimi pregledi in vzdrževanjem, se dokumentirajo na način, ki potrjuje njihov potek.</w:t>
      </w:r>
    </w:p>
    <w:p w14:paraId="38C5D90C" w14:textId="77777777" w:rsidR="00E3537C" w:rsidRDefault="00E3537C">
      <w:pPr>
        <w:pStyle w:val="Teksttreci0"/>
        <w:shd w:val="clear" w:color="auto" w:fill="auto"/>
        <w:ind w:left="440" w:hanging="440"/>
      </w:pPr>
    </w:p>
    <w:p w14:paraId="192472BC" w14:textId="77777777" w:rsidR="00E3537C" w:rsidRDefault="002F26D8">
      <w:pPr>
        <w:pStyle w:val="Teksttreci0"/>
        <w:shd w:val="clear" w:color="auto" w:fill="auto"/>
        <w:spacing w:after="0" w:line="382" w:lineRule="auto"/>
        <w:ind w:left="440"/>
      </w:pPr>
      <w:r>
        <w:rPr>
          <w:b/>
        </w:rPr>
        <w:t xml:space="preserve">Oddelek 4. </w:t>
      </w:r>
      <w:r>
        <w:t>Navodila za uporabo iz oddelka 3(1)(3) vsebujejo vsaj opis:</w:t>
      </w:r>
    </w:p>
    <w:p w14:paraId="265253D1" w14:textId="77777777" w:rsidR="00E3537C" w:rsidRDefault="002F26D8" w:rsidP="00101D11">
      <w:pPr>
        <w:pStyle w:val="Teksttreci0"/>
        <w:numPr>
          <w:ilvl w:val="0"/>
          <w:numId w:val="4"/>
        </w:numPr>
        <w:shd w:val="clear" w:color="auto" w:fill="auto"/>
        <w:tabs>
          <w:tab w:val="left" w:pos="284"/>
        </w:tabs>
        <w:spacing w:after="0" w:line="382" w:lineRule="auto"/>
        <w:ind w:left="284" w:right="-143" w:hanging="284"/>
      </w:pPr>
      <w:r>
        <w:t>ukrepov, povezanih z zagonom, obratovanjem in zaustavitvijo opreme, vključno z zaustavitvijo v sili;</w:t>
      </w:r>
    </w:p>
    <w:p w14:paraId="3F663146" w14:textId="77777777" w:rsidR="00E3537C" w:rsidRDefault="002F26D8" w:rsidP="00101D11">
      <w:pPr>
        <w:pStyle w:val="Teksttreci0"/>
        <w:numPr>
          <w:ilvl w:val="0"/>
          <w:numId w:val="4"/>
        </w:numPr>
        <w:shd w:val="clear" w:color="auto" w:fill="auto"/>
        <w:tabs>
          <w:tab w:val="left" w:pos="284"/>
        </w:tabs>
        <w:spacing w:after="0"/>
        <w:ind w:left="284" w:right="-142" w:hanging="284"/>
      </w:pPr>
      <w:r>
        <w:t>zahtev, določenih v predpisih o varnosti in zdravju pri delu, protieksplozijski zaščiti, protipožarni zaščiti in varstvu okolja, ter opis izpolnjevanja teh zahtev;</w:t>
      </w:r>
    </w:p>
    <w:p w14:paraId="4E7D14AF" w14:textId="77777777" w:rsidR="00E3537C" w:rsidRDefault="00E3537C">
      <w:pPr>
        <w:pStyle w:val="Teksttreci0"/>
        <w:shd w:val="clear" w:color="auto" w:fill="auto"/>
        <w:ind w:left="440"/>
      </w:pPr>
    </w:p>
    <w:p w14:paraId="2F8F57A4" w14:textId="77777777" w:rsidR="00E3537C" w:rsidRDefault="002F26D8">
      <w:pPr>
        <w:pStyle w:val="Teksttreci0"/>
        <w:numPr>
          <w:ilvl w:val="0"/>
          <w:numId w:val="4"/>
        </w:numPr>
        <w:shd w:val="clear" w:color="auto" w:fill="auto"/>
        <w:tabs>
          <w:tab w:val="left" w:pos="420"/>
        </w:tabs>
        <w:ind w:left="440" w:hanging="440"/>
      </w:pPr>
      <w:r>
        <w:t>načina vzdrževanja postaje za oskrbo z zemeljskim plinom in postopkov tehničnega pregleda, ki jih izvaja upravljavec postaje za oskrbo z zemeljskim plinom, skupaj z načinom dokumentiranja le-teh, zlasti metodo in pogostostjo preverjanj varnostne opreme, vključno z varnostno avtomatizacijo;</w:t>
      </w:r>
    </w:p>
    <w:p w14:paraId="2921EECB" w14:textId="77777777" w:rsidR="00E3537C" w:rsidRDefault="002F26D8">
      <w:pPr>
        <w:pStyle w:val="Teksttreci0"/>
        <w:numPr>
          <w:ilvl w:val="0"/>
          <w:numId w:val="4"/>
        </w:numPr>
        <w:shd w:val="clear" w:color="auto" w:fill="auto"/>
        <w:tabs>
          <w:tab w:val="left" w:pos="420"/>
        </w:tabs>
        <w:ind w:left="440" w:hanging="440"/>
      </w:pPr>
      <w:r>
        <w:t>organizacije tehničnega poteka preskusov iz oddelka 7.</w:t>
      </w:r>
    </w:p>
    <w:p w14:paraId="15D2AEC6" w14:textId="77777777" w:rsidR="00E3537C" w:rsidRDefault="002F26D8">
      <w:pPr>
        <w:pStyle w:val="Teksttreci0"/>
        <w:shd w:val="clear" w:color="auto" w:fill="auto"/>
        <w:ind w:firstLine="440"/>
      </w:pPr>
      <w:r>
        <w:rPr>
          <w:b/>
        </w:rPr>
        <w:t xml:space="preserve">Oddelek 5. </w:t>
      </w:r>
      <w:r>
        <w:t>1. Popravila postaj za oskrbo z zemeljskim plinom se izvajajo ob upoštevanju potrebe po ponovni vzpostavitvi stanja pred napako ali okvaro postaje za zemeljski plin.</w:t>
      </w:r>
    </w:p>
    <w:p w14:paraId="4E87B147" w14:textId="77777777" w:rsidR="00E3537C" w:rsidRDefault="002F26D8">
      <w:pPr>
        <w:pStyle w:val="Teksttreci0"/>
        <w:shd w:val="clear" w:color="auto" w:fill="auto"/>
        <w:ind w:firstLine="440"/>
      </w:pPr>
      <w:r>
        <w:t>2. Vsa dela v okviru popravila se izvajajo v skladu z navodili za uporabo iz oddelka 3(1)(3) in dokumentirajo na način, ki potrjuje njihov potek.</w:t>
      </w:r>
    </w:p>
    <w:p w14:paraId="46A8D858" w14:textId="77777777" w:rsidR="00E3537C" w:rsidRDefault="002F26D8">
      <w:pPr>
        <w:pStyle w:val="Teksttreci0"/>
        <w:numPr>
          <w:ilvl w:val="0"/>
          <w:numId w:val="3"/>
        </w:numPr>
        <w:shd w:val="clear" w:color="auto" w:fill="auto"/>
        <w:tabs>
          <w:tab w:val="left" w:pos="763"/>
        </w:tabs>
        <w:ind w:firstLine="440"/>
      </w:pPr>
      <w:r>
        <w:t>V primeru pregleda iz oddelka 7(2) se pripravi opis popravila skupaj z utemeljitvijo razlogov za njegovo izvedbo.</w:t>
      </w:r>
    </w:p>
    <w:p w14:paraId="568082DB" w14:textId="77777777" w:rsidR="00E3537C" w:rsidRDefault="002F26D8">
      <w:pPr>
        <w:pStyle w:val="Teksttreci0"/>
        <w:shd w:val="clear" w:color="auto" w:fill="auto"/>
        <w:ind w:firstLine="440"/>
      </w:pPr>
      <w:r>
        <w:rPr>
          <w:b/>
        </w:rPr>
        <w:t xml:space="preserve">Oddelek 6. </w:t>
      </w:r>
      <w:r>
        <w:t>1. Posodobitev postaje za oskrbo z zemeljskim plinom se izvede ob upoštevanju potrebe po izvedbi niza ukrepov, ki spremenijo prvotno konstrukcijo postaje, uporabljenih materialov, tehničnih parametrov ali varnostnih tokokrogov, vendar ne spremenijo bistveno njenih značilnosti ali predvidene uporabe in ne povečajo nevarnosti, povezanih z obratovanjem postaje za oskrbo z zemeljskim plinom.</w:t>
      </w:r>
    </w:p>
    <w:p w14:paraId="1B28F210" w14:textId="77777777" w:rsidR="00E3537C" w:rsidRDefault="002F26D8">
      <w:pPr>
        <w:pStyle w:val="Teksttreci0"/>
        <w:shd w:val="clear" w:color="auto" w:fill="auto"/>
        <w:ind w:firstLine="440"/>
      </w:pPr>
      <w:r>
        <w:t>2. Po vsaki izvedbi posodobitvenih del se posodobijo dokumenti iz oddelka 3(1)(1)–(5).</w:t>
      </w:r>
    </w:p>
    <w:p w14:paraId="0CDB15E0" w14:textId="77777777" w:rsidR="00E3537C" w:rsidRDefault="002F26D8">
      <w:pPr>
        <w:pStyle w:val="Teksttreci0"/>
        <w:shd w:val="clear" w:color="auto" w:fill="auto"/>
        <w:ind w:firstLine="440"/>
      </w:pPr>
      <w:r>
        <w:t>3. Vsa posodobitvena dela se dokumentirajo na način, ki potrjuje njihov potek.</w:t>
      </w:r>
    </w:p>
    <w:p w14:paraId="4BE2DF7B" w14:textId="77777777" w:rsidR="00E3537C" w:rsidRDefault="002F26D8">
      <w:pPr>
        <w:pStyle w:val="Teksttreci0"/>
        <w:numPr>
          <w:ilvl w:val="0"/>
          <w:numId w:val="3"/>
        </w:numPr>
        <w:shd w:val="clear" w:color="auto" w:fill="auto"/>
        <w:tabs>
          <w:tab w:val="left" w:pos="780"/>
        </w:tabs>
        <w:ind w:firstLine="440"/>
      </w:pPr>
      <w:r>
        <w:t>V primeru posodobitve se pripravi opis skupaj z utemeljitvijo razlogov za njeno izvedbo.</w:t>
      </w:r>
    </w:p>
    <w:p w14:paraId="59A458DC" w14:textId="77777777" w:rsidR="00E3537C" w:rsidRDefault="002F26D8">
      <w:pPr>
        <w:pStyle w:val="Teksttreci0"/>
        <w:shd w:val="clear" w:color="auto" w:fill="auto"/>
        <w:ind w:firstLine="440"/>
      </w:pPr>
      <w:r>
        <w:rPr>
          <w:b/>
        </w:rPr>
        <w:t xml:space="preserve">Oddelek 7. </w:t>
      </w:r>
      <w:r>
        <w:t>Tehnični pregledi postaj za oskrbo z zemeljskim plinom se delijo na:</w:t>
      </w:r>
    </w:p>
    <w:p w14:paraId="10F1CE56" w14:textId="77777777" w:rsidR="00E3537C" w:rsidRDefault="002F26D8">
      <w:pPr>
        <w:pStyle w:val="Teksttreci0"/>
        <w:numPr>
          <w:ilvl w:val="0"/>
          <w:numId w:val="5"/>
        </w:numPr>
        <w:shd w:val="clear" w:color="auto" w:fill="auto"/>
        <w:tabs>
          <w:tab w:val="left" w:pos="420"/>
        </w:tabs>
        <w:ind w:left="440" w:hanging="440"/>
      </w:pPr>
      <w:r>
        <w:t>predhodne tehnične preglede, ki se izvedejo pred začetkom obratovanja postaje za oskrbo z zemeljskim plinom;</w:t>
      </w:r>
    </w:p>
    <w:p w14:paraId="278567A0" w14:textId="77777777" w:rsidR="00E3537C" w:rsidRDefault="002F26D8">
      <w:pPr>
        <w:pStyle w:val="Teksttreci0"/>
        <w:numPr>
          <w:ilvl w:val="0"/>
          <w:numId w:val="5"/>
        </w:numPr>
        <w:shd w:val="clear" w:color="auto" w:fill="auto"/>
        <w:tabs>
          <w:tab w:val="left" w:pos="420"/>
        </w:tabs>
        <w:spacing w:after="0"/>
        <w:ind w:left="440" w:hanging="440"/>
      </w:pPr>
      <w:r>
        <w:t>operativne tehnične preglede, ki se izvedejo po vsakem popravilu, razen dejavnosti, ki izhajajo iz navodil za uporabo iz oddelka 3(1)(3), ki jih je pripravil subjekt, odgovoren za izgradnjo postaje za oskrbo z zemeljskim plinom, ali njegov pooblaščeni zastopnik, ali so povezane s posodobitvijo postaje za oskrbo z zemeljskim plinom.</w:t>
      </w:r>
    </w:p>
    <w:p w14:paraId="43E5294F" w14:textId="77777777" w:rsidR="00E3537C" w:rsidRDefault="00E3537C">
      <w:pPr>
        <w:pStyle w:val="Teksttreci0"/>
        <w:shd w:val="clear" w:color="auto" w:fill="auto"/>
        <w:ind w:left="440"/>
      </w:pPr>
    </w:p>
    <w:p w14:paraId="496EA0C7" w14:textId="77777777" w:rsidR="00E3537C" w:rsidRDefault="002F26D8">
      <w:pPr>
        <w:pStyle w:val="Teksttreci0"/>
        <w:shd w:val="clear" w:color="auto" w:fill="auto"/>
        <w:ind w:firstLine="440"/>
      </w:pPr>
      <w:r>
        <w:rPr>
          <w:b/>
        </w:rPr>
        <w:t xml:space="preserve">Oddelek 8. </w:t>
      </w:r>
      <w:r>
        <w:t>Pregled iz oddelka 7(1) zajema:</w:t>
      </w:r>
    </w:p>
    <w:p w14:paraId="341ACD68" w14:textId="77777777" w:rsidR="00E3537C" w:rsidRDefault="002F26D8">
      <w:pPr>
        <w:pStyle w:val="Teksttreci0"/>
        <w:numPr>
          <w:ilvl w:val="0"/>
          <w:numId w:val="6"/>
        </w:numPr>
        <w:shd w:val="clear" w:color="auto" w:fill="auto"/>
        <w:tabs>
          <w:tab w:val="left" w:pos="420"/>
        </w:tabs>
        <w:ind w:left="440" w:hanging="440"/>
      </w:pPr>
      <w:r>
        <w:t>preverjanje dokumentacije iz oddelka 3(1);</w:t>
      </w:r>
    </w:p>
    <w:p w14:paraId="0346E3D4" w14:textId="77777777" w:rsidR="00E3537C" w:rsidRDefault="002F26D8">
      <w:pPr>
        <w:pStyle w:val="Teksttreci0"/>
        <w:numPr>
          <w:ilvl w:val="0"/>
          <w:numId w:val="6"/>
        </w:numPr>
        <w:shd w:val="clear" w:color="auto" w:fill="auto"/>
        <w:tabs>
          <w:tab w:val="left" w:pos="420"/>
        </w:tabs>
        <w:ind w:left="440" w:hanging="440"/>
      </w:pPr>
      <w:r>
        <w:t>vizualno oceno tehničnega stanja postaje za oskrbo z zemeljskim plinom;</w:t>
      </w:r>
    </w:p>
    <w:p w14:paraId="519EF5B6" w14:textId="77777777" w:rsidR="00E3537C" w:rsidRDefault="002F26D8">
      <w:pPr>
        <w:pStyle w:val="Teksttreci0"/>
        <w:numPr>
          <w:ilvl w:val="0"/>
          <w:numId w:val="6"/>
        </w:numPr>
        <w:shd w:val="clear" w:color="auto" w:fill="auto"/>
        <w:tabs>
          <w:tab w:val="left" w:pos="420"/>
        </w:tabs>
        <w:ind w:left="440" w:hanging="440"/>
      </w:pPr>
      <w:r>
        <w:t>preskušanje obratovanja postaje za oskrbo z zemeljskim plinom, vključno s preskušanjem delovanja varnostne opreme in varnostne avtomatizacije.</w:t>
      </w:r>
    </w:p>
    <w:p w14:paraId="5A451BB6" w14:textId="77777777" w:rsidR="00E3537C" w:rsidRDefault="002F26D8">
      <w:pPr>
        <w:pStyle w:val="Teksttreci0"/>
        <w:shd w:val="clear" w:color="auto" w:fill="auto"/>
        <w:ind w:firstLine="440"/>
      </w:pPr>
      <w:r>
        <w:rPr>
          <w:b/>
        </w:rPr>
        <w:t xml:space="preserve">Oddelek 9. </w:t>
      </w:r>
      <w:r>
        <w:t>Pregled iz oddelka 7(2) zajema:</w:t>
      </w:r>
    </w:p>
    <w:p w14:paraId="284508BC" w14:textId="77777777" w:rsidR="00E3537C" w:rsidRDefault="002F26D8">
      <w:pPr>
        <w:pStyle w:val="Teksttreci0"/>
        <w:shd w:val="clear" w:color="auto" w:fill="auto"/>
        <w:spacing w:after="0"/>
        <w:ind w:left="440" w:hanging="440"/>
      </w:pPr>
      <w:r>
        <w:t>1)</w:t>
      </w:r>
      <w:r>
        <w:tab/>
        <w:t>preverjanje dokumentacije iz oddelka 3(1)(3), oddelka 3(2), oddelka 5(2) in (3), oddelka 6(3) in (4) in,</w:t>
      </w:r>
    </w:p>
    <w:p w14:paraId="7B6CD22F" w14:textId="77777777" w:rsidR="00E3537C" w:rsidRDefault="002F26D8">
      <w:pPr>
        <w:pStyle w:val="Teksttreci0"/>
        <w:shd w:val="clear" w:color="auto" w:fill="auto"/>
        <w:ind w:left="440"/>
      </w:pPr>
      <w:r>
        <w:t>če je to utemeljeno z obsegom, vrsto ali naravo popravila ali posodobitve, preverjanje dokumentacije iz oddelka 3(1)(1), (2), (4) in (5);</w:t>
      </w:r>
    </w:p>
    <w:p w14:paraId="18C856A1" w14:textId="77777777" w:rsidR="00E3537C" w:rsidRDefault="002F26D8">
      <w:pPr>
        <w:pStyle w:val="Teksttreci0"/>
        <w:shd w:val="clear" w:color="auto" w:fill="auto"/>
        <w:ind w:left="440" w:hanging="440"/>
      </w:pPr>
      <w:r>
        <w:t>2) vizualno oceno tehničnega stanja postaje za oskrbo z zemeljskim plinom z namenom potrditve, da je bilo popravilo ali posodobitev izvedena v skladu s predloženimi dokumenti.</w:t>
      </w:r>
    </w:p>
    <w:p w14:paraId="58B01436" w14:textId="68BB71D9" w:rsidR="00E3537C" w:rsidRDefault="002F26D8">
      <w:pPr>
        <w:pStyle w:val="Teksttreci0"/>
        <w:shd w:val="clear" w:color="auto" w:fill="auto"/>
        <w:ind w:firstLine="440"/>
      </w:pPr>
      <w:r>
        <w:rPr>
          <w:b/>
        </w:rPr>
        <w:t xml:space="preserve">Oddelek 10. </w:t>
      </w:r>
      <w:r>
        <w:t>Pregledi iz oddelka 7 se opravijo le na postajah za oskrbo z zemeljskim plinom, ki so v celoti sestavljene in pripravljene na obratovanje.</w:t>
      </w:r>
    </w:p>
    <w:p w14:paraId="76043E85" w14:textId="77777777" w:rsidR="00E3537C" w:rsidRDefault="002F26D8">
      <w:pPr>
        <w:pStyle w:val="Teksttreci0"/>
        <w:shd w:val="clear" w:color="auto" w:fill="auto"/>
        <w:ind w:firstLine="440"/>
      </w:pPr>
      <w:r>
        <w:rPr>
          <w:b/>
        </w:rPr>
        <w:lastRenderedPageBreak/>
        <w:t xml:space="preserve">Oddelek 11. </w:t>
      </w:r>
      <w:r>
        <w:t>Urad za tehnične preglede opravi preglede iz oddelka 7 v navzočnosti upravljavca postaje za oskrbo z zemeljskim plinom ali pooblaščene osebe.</w:t>
      </w:r>
    </w:p>
    <w:p w14:paraId="1BDF6B88" w14:textId="77777777" w:rsidR="00E3537C" w:rsidRDefault="002F26D8">
      <w:pPr>
        <w:pStyle w:val="Teksttreci0"/>
        <w:shd w:val="clear" w:color="auto" w:fill="auto"/>
        <w:ind w:firstLine="440"/>
      </w:pPr>
      <w:r>
        <w:rPr>
          <w:b/>
        </w:rPr>
        <w:t xml:space="preserve">Oddelek 12. </w:t>
      </w:r>
      <w:r>
        <w:t>1. Urad za tehnične preglede opravi preglede iz oddelka 7 v 30 dneh po tem, ko upravljavec Uradu za tehnične preglede predloži vlogo za pregled postaje za oskrbo z zemeljskim plinom.</w:t>
      </w:r>
    </w:p>
    <w:p w14:paraId="652CF395" w14:textId="77777777" w:rsidR="00E3537C" w:rsidRDefault="002F26D8">
      <w:pPr>
        <w:pStyle w:val="Teksttreci0"/>
        <w:shd w:val="clear" w:color="auto" w:fill="auto"/>
        <w:ind w:left="440"/>
      </w:pPr>
      <w:r>
        <w:t>2. Pripravi se poročilo o izvedenem tehničnem pregledu.</w:t>
      </w:r>
    </w:p>
    <w:p w14:paraId="0889774B" w14:textId="77777777" w:rsidR="00E3537C" w:rsidRDefault="002F26D8">
      <w:pPr>
        <w:pStyle w:val="Teksttreci0"/>
        <w:shd w:val="clear" w:color="auto" w:fill="auto"/>
        <w:ind w:firstLine="440"/>
      </w:pPr>
      <w:r>
        <w:rPr>
          <w:b/>
        </w:rPr>
        <w:t xml:space="preserve">Oddelek 13. </w:t>
      </w:r>
      <w:r>
        <w:t>Upravljavec postaje za oskrbo z zemeljskim plinom predloži vlogo za pregled iz oddelka 7(2) v 7 dneh po datumu zaključka popravila ali posodobitve.</w:t>
      </w:r>
    </w:p>
    <w:p w14:paraId="1CB23BC2" w14:textId="77777777" w:rsidR="00E3537C" w:rsidRDefault="002F26D8">
      <w:pPr>
        <w:pStyle w:val="Teksttreci0"/>
        <w:shd w:val="clear" w:color="auto" w:fill="auto"/>
        <w:ind w:firstLine="440"/>
      </w:pPr>
      <w:r>
        <w:rPr>
          <w:b/>
        </w:rPr>
        <w:t xml:space="preserve">Oddelek 14. </w:t>
      </w:r>
      <w:r>
        <w:t>Pristojbina iz člena 26(3) in člena 27(5) Zakona se določi na podlagi povprečne nacionalne mesečne plače v predhodnem letu, ki jo objavi vodja Centralnega statističnega urada v Uradnem listu Poljske (Monitor Polski) v skladu s členom 5(7) Zakona z dne 4. marca 1994 o družbenem skladu za socialne prejemke (Uradni list iz leta 2019, postavka 1352), ki je veljal ob predložitvi vloge, kot sledi:</w:t>
      </w:r>
    </w:p>
    <w:p w14:paraId="7CAB4E33" w14:textId="77777777" w:rsidR="00E3537C" w:rsidRDefault="002F26D8">
      <w:pPr>
        <w:pStyle w:val="Teksttreci0"/>
        <w:shd w:val="clear" w:color="auto" w:fill="auto"/>
        <w:jc w:val="left"/>
      </w:pPr>
      <w:r>
        <w:t>1) 20 % navedene plače za izvedbo inšpekcijskega pregleda iz oddelka 7(1);</w:t>
      </w:r>
    </w:p>
    <w:p w14:paraId="0F16A9AF" w14:textId="23879326" w:rsidR="00E3537C" w:rsidRDefault="002F26D8" w:rsidP="001E465F">
      <w:pPr>
        <w:pStyle w:val="Teksttreci0"/>
        <w:shd w:val="clear" w:color="auto" w:fill="auto"/>
        <w:spacing w:after="0"/>
        <w:ind w:firstLine="708"/>
      </w:pPr>
      <w:r>
        <w:t>2) 4 % navedene plače za vsako uro inšpekcijskega pregleda iz oddelka 7(2) ali njen del, vendar ne več kot 20 % plače;</w:t>
      </w:r>
    </w:p>
    <w:p w14:paraId="6AEAA324" w14:textId="008F12CF" w:rsidR="00E3537C" w:rsidRDefault="002F26D8" w:rsidP="001E465F">
      <w:pPr>
        <w:pStyle w:val="Teksttreci0"/>
        <w:numPr>
          <w:ilvl w:val="0"/>
          <w:numId w:val="5"/>
        </w:numPr>
        <w:shd w:val="clear" w:color="auto" w:fill="auto"/>
        <w:tabs>
          <w:tab w:val="left" w:pos="450"/>
        </w:tabs>
        <w:spacing w:after="0"/>
        <w:ind w:left="440" w:hanging="350"/>
        <w:jc w:val="left"/>
      </w:pPr>
      <w:r>
        <w:t xml:space="preserve">4 % navedene plače za vsako uro, ali njen del, priprave mnenja o skladnosti tehnične dokumentacije načrtovane postaje za oskrbo z zemeljskim plinom s tehničnimi zahtevami, določenimi v tej uredbi, in pogoji za oskrbo vozil z gorivom, določenimi v členu 25 Zakona, vendar ne več kot 200 % te plače. </w:t>
      </w:r>
    </w:p>
    <w:p w14:paraId="46818EA5" w14:textId="77777777" w:rsidR="00E3537C" w:rsidRDefault="002F26D8">
      <w:pPr>
        <w:pStyle w:val="Teksttreci0"/>
        <w:shd w:val="clear" w:color="auto" w:fill="auto"/>
        <w:spacing w:after="400"/>
        <w:ind w:left="440"/>
      </w:pPr>
      <w:r>
        <w:rPr>
          <w:b/>
        </w:rPr>
        <w:t xml:space="preserve">Oddelek 15. </w:t>
      </w:r>
      <w:r>
        <w:t>Ta uredba začne veljati 14 dni po objavi.</w:t>
      </w:r>
    </w:p>
    <w:p w14:paraId="734A1F70" w14:textId="77777777" w:rsidR="00E3537C" w:rsidRDefault="002F26D8">
      <w:pPr>
        <w:pStyle w:val="Teksttreci0"/>
        <w:shd w:val="clear" w:color="auto" w:fill="auto"/>
        <w:jc w:val="right"/>
      </w:pPr>
      <w:r>
        <w:t xml:space="preserve">Minister za energijo </w:t>
      </w:r>
      <w:r>
        <w:rPr>
          <w:i/>
        </w:rPr>
        <w:t>A. Gaveda</w:t>
      </w:r>
    </w:p>
    <w:sectPr w:rsidR="00E3537C">
      <w:headerReference w:type="default" r:id="rId9"/>
      <w:footnotePr>
        <w:numRestart w:val="eachPage"/>
      </w:footnotePr>
      <w:pgSz w:w="11900" w:h="16840"/>
      <w:pgMar w:top="1455" w:right="988" w:bottom="1282" w:left="990" w:header="0" w:footer="8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DF8C9" w14:textId="77777777" w:rsidR="00D95C80" w:rsidRDefault="00D95C80">
      <w:r>
        <w:separator/>
      </w:r>
    </w:p>
  </w:endnote>
  <w:endnote w:type="continuationSeparator" w:id="0">
    <w:p w14:paraId="7D875735" w14:textId="77777777" w:rsidR="00D95C80" w:rsidRDefault="00D9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81A59" w14:textId="77777777" w:rsidR="00D95C80" w:rsidRDefault="00D95C80">
      <w:r>
        <w:separator/>
      </w:r>
    </w:p>
  </w:footnote>
  <w:footnote w:type="continuationSeparator" w:id="0">
    <w:p w14:paraId="70C7F804" w14:textId="77777777" w:rsidR="00D95C80" w:rsidRDefault="00D95C80">
      <w:r>
        <w:continuationSeparator/>
      </w:r>
    </w:p>
  </w:footnote>
  <w:footnote w:id="1">
    <w:p w14:paraId="64977B93" w14:textId="0133EA9D" w:rsidR="00E3537C" w:rsidRDefault="002F26D8">
      <w:pPr>
        <w:pStyle w:val="Stopka1"/>
        <w:shd w:val="clear" w:color="auto" w:fill="auto"/>
        <w:tabs>
          <w:tab w:val="left" w:pos="281"/>
        </w:tabs>
        <w:jc w:val="left"/>
      </w:pPr>
      <w:r>
        <w:rPr>
          <w:sz w:val="12"/>
          <w:szCs w:val="12"/>
          <w:vertAlign w:val="superscript"/>
        </w:rPr>
        <w:footnoteRef/>
      </w:r>
      <w:r>
        <w:rPr>
          <w:sz w:val="12"/>
        </w:rPr>
        <w:tab/>
      </w:r>
      <w:r>
        <w:t>Minister za energijo vodi vladni upravni oddelek za energijo v skladu z oddelkom 1(2)(1) Uredbe predsednika vlade z dne 13. decembra 2017 o določitvi obsega dejavnosti ministra za energijo (Uradni list [Dziennik Ustaw], postavka 2314).</w:t>
      </w:r>
    </w:p>
  </w:footnote>
  <w:footnote w:id="2">
    <w:p w14:paraId="226CB5EF" w14:textId="77777777" w:rsidR="00E3537C" w:rsidRDefault="002F26D8">
      <w:pPr>
        <w:pStyle w:val="Stopka1"/>
        <w:shd w:val="clear" w:color="auto" w:fill="auto"/>
        <w:tabs>
          <w:tab w:val="left" w:pos="281"/>
        </w:tabs>
      </w:pPr>
      <w:r>
        <w:rPr>
          <w:sz w:val="12"/>
          <w:szCs w:val="12"/>
          <w:vertAlign w:val="superscript"/>
        </w:rPr>
        <w:footnoteRef/>
      </w:r>
      <w:r>
        <w:rPr>
          <w:sz w:val="12"/>
        </w:rPr>
        <w:tab/>
      </w:r>
      <w:r>
        <w:t xml:space="preserve">Ta </w:t>
      </w:r>
      <w:r>
        <w:t>uredba je bila Evropski komisiji priglašena dne 15. maja 2019 pod št. 2019/212/PL v skladu z oddelkom 4 Uredbe Sveta ministrov z dne 23. decembra 2002 o načinu delovanja državnega sistema za priglasitev standardov in pravnih aktov (Uradni list, postavka 2039, in iz leta 2004, postavka 597), ki izvaja določbe Direktive (EU) 2015/1535 Evropskega parlamenta in Sveta z dne 9. septembra 2015 o določitvi postopka za zbiranje informacij na področju tehničnih predpisov in pravil za storitve informacijske družbe (kodificirano besedilo) (UL L 241, 17.9.2015,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9BFE" w14:textId="77777777" w:rsidR="00E3537C" w:rsidRDefault="002F26D8">
    <w:pPr>
      <w:spacing w:line="14" w:lineRule="exact"/>
    </w:pPr>
    <w:r>
      <w:rPr>
        <w:noProof/>
      </w:rPr>
      <mc:AlternateContent>
        <mc:Choice Requires="wps">
          <w:drawing>
            <wp:anchor distT="0" distB="0" distL="0" distR="0" simplePos="0" relativeHeight="62914690" behindDoc="1" locked="0" layoutInCell="1" allowOverlap="1" wp14:anchorId="520AEBF9" wp14:editId="080BA180">
              <wp:simplePos x="0" y="0"/>
              <wp:positionH relativeFrom="page">
                <wp:posOffset>647065</wp:posOffset>
              </wp:positionH>
              <wp:positionV relativeFrom="page">
                <wp:posOffset>646430</wp:posOffset>
              </wp:positionV>
              <wp:extent cx="6266815" cy="109855"/>
              <wp:effectExtent l="0" t="0" r="0" b="0"/>
              <wp:wrapNone/>
              <wp:docPr id="7" name="Shape 7"/>
              <wp:cNvGraphicFramePr/>
              <a:graphic xmlns:a="http://schemas.openxmlformats.org/drawingml/2006/main">
                <a:graphicData uri="http://schemas.microsoft.com/office/word/2010/wordprocessingShape">
                  <wps:wsp>
                    <wps:cNvSpPr txBox="1"/>
                    <wps:spPr>
                      <a:xfrm>
                        <a:off x="0" y="0"/>
                        <a:ext cx="6266815" cy="109855"/>
                      </a:xfrm>
                      <a:prstGeom prst="rect">
                        <a:avLst/>
                      </a:prstGeom>
                      <a:noFill/>
                    </wps:spPr>
                    <wps:txbx>
                      <w:txbxContent>
                        <w:p w14:paraId="7EDC7C57" w14:textId="77777777" w:rsidR="00E3537C" w:rsidRDefault="002F26D8">
                          <w:pPr>
                            <w:pStyle w:val="Nagweklubstopka20"/>
                            <w:shd w:val="clear" w:color="auto" w:fill="auto"/>
                            <w:tabs>
                              <w:tab w:val="right" w:pos="5165"/>
                              <w:tab w:val="right" w:pos="9869"/>
                            </w:tabs>
                          </w:pPr>
                          <w:r>
                            <w:t>Uradni list</w:t>
                          </w:r>
                          <w:r>
                            <w:tab/>
                            <w:t xml:space="preserve">— </w:t>
                          </w:r>
                          <w:r>
                            <w:fldChar w:fldCharType="begin"/>
                          </w:r>
                          <w:r>
                            <w:instrText xml:space="preserve"> PAGE \* MERGEFORMAT </w:instrText>
                          </w:r>
                          <w:r>
                            <w:fldChar w:fldCharType="separate"/>
                          </w:r>
                          <w:r w:rsidR="00610D68">
                            <w:t>3</w:t>
                          </w:r>
                          <w:r>
                            <w:fldChar w:fldCharType="end"/>
                          </w:r>
                          <w:r>
                            <w:t xml:space="preserve"> —</w:t>
                          </w:r>
                          <w:r>
                            <w:tab/>
                            <w:t>postavka 1757</w:t>
                          </w:r>
                        </w:p>
                      </w:txbxContent>
                    </wps:txbx>
                    <wps:bodyPr lIns="0" tIns="0" rIns="0" bIns="0">
                      <a:spAutoFit/>
                    </wps:bodyPr>
                  </wps:wsp>
                </a:graphicData>
              </a:graphic>
            </wp:anchor>
          </w:drawing>
        </mc:Choice>
        <mc:Fallback>
          <w:pict>
            <v:shapetype w14:anchorId="520AEBF9" id="_x0000_t202" coordsize="21600,21600" o:spt="202" path="m,l,21600r21600,l21600,xe">
              <v:stroke joinstyle="miter"/>
              <v:path gradientshapeok="t" o:connecttype="rect"/>
            </v:shapetype>
            <v:shape id="Shape 7" o:spid="_x0000_s1027" type="#_x0000_t202" style="position:absolute;margin-left:50.95pt;margin-top:50.9pt;width:493.45pt;height:8.6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" filled="f" stroked="f">
              <v:textbox style="mso-fit-shape-to-text:t" inset="0,0,0,0">
                <w:txbxContent>
                  <w:p w14:paraId="7EDC7C57" w14:textId="77777777" w:rsidR="00E3537C" w:rsidRDefault="002F26D8">
                    <w:pPr>
                      <w:pStyle w:val="Nagweklubstopka20"/>
                      <w:shd w:val="clear" w:color="auto" w:fill="auto"/>
                      <w:tabs>
                        <w:tab w:val="right" w:pos="5165"/>
                        <w:tab w:val="right" w:pos="9869"/>
                      </w:tabs>
                    </w:pPr>
                    <w:r>
                      <w:t>Uradni list</w:t>
                    </w:r>
                    <w:r>
                      <w:tab/>
                      <w:t xml:space="preserve">— </w:t>
                    </w:r>
                    <w:r>
                      <w:fldChar w:fldCharType="begin"/>
                    </w:r>
                    <w:r>
                      <w:instrText xml:space="preserve"> PAGE \* MERGEFORMAT </w:instrText>
                    </w:r>
                    <w:r>
                      <w:fldChar w:fldCharType="separate"/>
                    </w:r>
                    <w:r w:rsidR="00610D68">
                      <w:t>3</w:t>
                    </w:r>
                    <w:r>
                      <w:fldChar w:fldCharType="end"/>
                    </w:r>
                    <w:r>
                      <w:t xml:space="preserve"> —</w:t>
                    </w:r>
                    <w:r>
                      <w:tab/>
                      <w:t>postavka 1757</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413F7082" wp14:editId="39CC103B">
              <wp:simplePos x="0" y="0"/>
              <wp:positionH relativeFrom="page">
                <wp:posOffset>628650</wp:posOffset>
              </wp:positionH>
              <wp:positionV relativeFrom="page">
                <wp:posOffset>770255</wp:posOffset>
              </wp:positionV>
              <wp:extent cx="6303010" cy="0"/>
              <wp:effectExtent l="0" t="0" r="0" b="0"/>
              <wp:wrapNone/>
              <wp:docPr id="9" name="Shape 9"/>
              <wp:cNvGraphicFramePr/>
              <a:graphic xmlns:a="http://schemas.openxmlformats.org/drawingml/2006/main">
                <a:graphicData uri="http://schemas.microsoft.com/office/word/2010/wordprocessingShape">
                  <wps:wsp>
                    <wps:cNvCnPr/>
                    <wps:spPr>
                      <a:xfrm>
                        <a:off x="0" y="0"/>
                        <a:ext cx="6303010" cy="0"/>
                      </a:xfrm>
                      <a:prstGeom prst="straightConnector1">
                        <a:avLst/>
                      </a:prstGeom>
                      <a:ln w="12700">
                        <a:solidFill/>
                      </a:ln>
                    </wps:spPr>
                    <wps:bodyPr/>
                  </wps:wsp>
                </a:graphicData>
              </a:graphic>
            </wp:anchor>
          </w:drawing>
        </mc:Choice>
        <mc:Fallback>
          <w:pict>
            <v:shapetype w14:anchorId="1D1855E8" id="_x0000_t32" coordsize="21600,21600" o:spt="32" o:oned="t" path="m,l21600,21600e" filled="f">
              <v:path arrowok="t" fillok="f" o:connecttype="none"/>
              <o:lock v:ext="edit" shapetype="t"/>
            </v:shapetype>
            <v:shape id="Shape 9" o:spid="_x0000_s1026" type="#_x0000_t32" style="position:absolute;margin-left:49.5pt;margin-top:60.65pt;width:496.3pt;height:0;z-index:-50331647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3021"/>
    <w:multiLevelType w:val="multilevel"/>
    <w:tmpl w:val="42BEE6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813CA4"/>
    <w:multiLevelType w:val="multilevel"/>
    <w:tmpl w:val="20329A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C80A58"/>
    <w:multiLevelType w:val="multilevel"/>
    <w:tmpl w:val="12E670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9B5A0B"/>
    <w:multiLevelType w:val="multilevel"/>
    <w:tmpl w:val="263A0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1500AB"/>
    <w:multiLevelType w:val="multilevel"/>
    <w:tmpl w:val="9216D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0F66E5"/>
    <w:multiLevelType w:val="multilevel"/>
    <w:tmpl w:val="6082FA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numRestart w:val="eachPage"/>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3537C"/>
    <w:rsid w:val="000F1F88"/>
    <w:rsid w:val="00101D11"/>
    <w:rsid w:val="001E465F"/>
    <w:rsid w:val="002F26D8"/>
    <w:rsid w:val="00610D68"/>
    <w:rsid w:val="00C50D83"/>
    <w:rsid w:val="00D95C80"/>
    <w:rsid w:val="00E353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35F4"/>
  <w15:docId w15:val="{BE4CB7D7-DEF2-4B90-B50A-A18D42C1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sl-SI"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sz w:val="18"/>
      <w:szCs w:val="18"/>
      <w:u w:val="none"/>
    </w:rPr>
  </w:style>
  <w:style w:type="character" w:customStyle="1" w:styleId="Teksttreci3">
    <w:name w:val="Tekst treści (3)_"/>
    <w:basedOn w:val="DefaultParagraphFont"/>
    <w:link w:val="Teksttreci30"/>
    <w:rPr>
      <w:rFonts w:ascii="Times New Roman" w:eastAsia="Times New Roman" w:hAnsi="Times New Roman" w:cs="Times New Roman"/>
      <w:b/>
      <w:bCs/>
      <w:i w:val="0"/>
      <w:iCs w:val="0"/>
      <w:smallCaps w:val="0"/>
      <w:strike w:val="0"/>
      <w:color w:val="EBEBEB"/>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sz w:val="94"/>
      <w:szCs w:val="94"/>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sz w:val="54"/>
      <w:szCs w:val="54"/>
      <w:u w:val="single"/>
    </w:rPr>
  </w:style>
  <w:style w:type="character" w:customStyle="1" w:styleId="Nagwek3">
    <w:name w:val="Nagłówek #3_"/>
    <w:basedOn w:val="DefaultParagraphFont"/>
    <w:link w:val="Nagwek30"/>
    <w:rPr>
      <w:rFonts w:ascii="Times New Roman" w:eastAsia="Times New Roman" w:hAnsi="Times New Roman" w:cs="Times New Roman"/>
      <w:b w:val="0"/>
      <w:bCs w:val="0"/>
      <w:i w:val="0"/>
      <w:iCs w:val="0"/>
      <w:smallCaps w:val="0"/>
      <w:strike w:val="0"/>
      <w:sz w:val="28"/>
      <w:szCs w:val="28"/>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Stopka1">
    <w:name w:val="Stopka1"/>
    <w:basedOn w:val="Normal"/>
    <w:link w:val="Stopka"/>
    <w:pPr>
      <w:shd w:val="clear" w:color="auto" w:fill="FFFFFF"/>
      <w:spacing w:line="259" w:lineRule="auto"/>
      <w:ind w:left="300" w:hanging="300"/>
      <w:jc w:val="both"/>
    </w:pPr>
    <w:rPr>
      <w:rFonts w:ascii="Times New Roman" w:eastAsia="Times New Roman" w:hAnsi="Times New Roman" w:cs="Times New Roman"/>
      <w:sz w:val="18"/>
      <w:szCs w:val="18"/>
    </w:rPr>
  </w:style>
  <w:style w:type="paragraph" w:customStyle="1" w:styleId="Teksttreci30">
    <w:name w:val="Tekst treści (3)"/>
    <w:basedOn w:val="Normal"/>
    <w:link w:val="Teksttreci3"/>
    <w:pPr>
      <w:shd w:val="clear" w:color="auto" w:fill="FFFFFF"/>
    </w:pPr>
    <w:rPr>
      <w:rFonts w:ascii="Times New Roman" w:eastAsia="Times New Roman" w:hAnsi="Times New Roman" w:cs="Times New Roman"/>
      <w:b/>
      <w:bCs/>
      <w:color w:val="EBEBEB"/>
    </w:rPr>
  </w:style>
  <w:style w:type="paragraph" w:customStyle="1" w:styleId="Teksttreci20">
    <w:name w:val="Tekst treści (2)"/>
    <w:basedOn w:val="Normal"/>
    <w:link w:val="Teksttreci2"/>
    <w:pPr>
      <w:shd w:val="clear" w:color="auto" w:fill="FFFFFF"/>
      <w:spacing w:line="211" w:lineRule="auto"/>
    </w:pPr>
    <w:rPr>
      <w:rFonts w:ascii="Times New Roman" w:eastAsia="Times New Roman" w:hAnsi="Times New Roman" w:cs="Times New Roman"/>
      <w:sz w:val="13"/>
      <w:szCs w:val="13"/>
    </w:rPr>
  </w:style>
  <w:style w:type="paragraph" w:customStyle="1" w:styleId="Nagwek10">
    <w:name w:val="Nagłówek #1"/>
    <w:basedOn w:val="Normal"/>
    <w:link w:val="Nagwek1"/>
    <w:pPr>
      <w:shd w:val="clear" w:color="auto" w:fill="FFFFFF"/>
      <w:spacing w:after="120" w:line="180" w:lineRule="auto"/>
      <w:outlineLvl w:val="0"/>
    </w:pPr>
    <w:rPr>
      <w:rFonts w:ascii="Times New Roman" w:eastAsia="Times New Roman" w:hAnsi="Times New Roman" w:cs="Times New Roman"/>
      <w:sz w:val="94"/>
      <w:szCs w:val="94"/>
    </w:rPr>
  </w:style>
  <w:style w:type="paragraph" w:customStyle="1" w:styleId="Nagwek20">
    <w:name w:val="Nagłówek #2"/>
    <w:basedOn w:val="Normal"/>
    <w:link w:val="Nagwek2"/>
    <w:pPr>
      <w:shd w:val="clear" w:color="auto" w:fill="FFFFFF"/>
      <w:spacing w:after="620"/>
      <w:outlineLvl w:val="1"/>
    </w:pPr>
    <w:rPr>
      <w:rFonts w:ascii="Times New Roman" w:eastAsia="Times New Roman" w:hAnsi="Times New Roman" w:cs="Times New Roman"/>
      <w:sz w:val="54"/>
      <w:szCs w:val="54"/>
      <w:u w:val="single"/>
    </w:rPr>
  </w:style>
  <w:style w:type="paragraph" w:customStyle="1" w:styleId="Nagwek30">
    <w:name w:val="Nagłówek #3"/>
    <w:basedOn w:val="Normal"/>
    <w:link w:val="Nagwek3"/>
    <w:pPr>
      <w:shd w:val="clear" w:color="auto" w:fill="FFFFFF"/>
      <w:spacing w:after="540" w:line="422" w:lineRule="auto"/>
      <w:ind w:left="100"/>
      <w:jc w:val="center"/>
      <w:outlineLvl w:val="2"/>
    </w:pPr>
    <w:rPr>
      <w:rFonts w:ascii="Times New Roman" w:eastAsia="Times New Roman" w:hAnsi="Times New Roman" w:cs="Times New Roman"/>
      <w:sz w:val="28"/>
      <w:szCs w:val="28"/>
    </w:rPr>
  </w:style>
  <w:style w:type="paragraph" w:customStyle="1" w:styleId="Teksttreci0">
    <w:name w:val="Tekst treści"/>
    <w:basedOn w:val="Normal"/>
    <w:link w:val="Teksttreci"/>
    <w:pPr>
      <w:shd w:val="clear" w:color="auto" w:fill="FFFFFF"/>
      <w:spacing w:after="140"/>
      <w:jc w:val="both"/>
    </w:pPr>
    <w:rPr>
      <w:rFonts w:ascii="Times New Roman" w:eastAsia="Times New Roman" w:hAnsi="Times New Roman" w:cs="Times New Roman"/>
      <w:sz w:val="20"/>
      <w:szCs w:val="20"/>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1098</Words>
  <Characters>6264</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Pozycja 1757 DPG.555.365.2018 MW</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1757 DPG.555.365.2018 MW</dc:title>
  <dc:creator>mbartnicka</dc:creator>
  <cp:lastModifiedBy>Dimitris Dimitriadis</cp:lastModifiedBy>
  <cp:revision>4</cp:revision>
  <dcterms:created xsi:type="dcterms:W3CDTF">2021-01-29T13:34:00Z</dcterms:created>
  <dcterms:modified xsi:type="dcterms:W3CDTF">2021-10-20T10:21:00Z</dcterms:modified>
</cp:coreProperties>
</file>