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860EB5" w:rsidRDefault="00691C7A" w:rsidP="00691C7A">
      <w:pPr>
        <w:pStyle w:val="02BDGesBlatt"/>
        <w:rPr>
          <w:szCs w:val="70"/>
        </w:rPr>
      </w:pPr>
      <w:r w:rsidRPr="00860EB5">
        <w:rPr>
          <w:szCs w:val="70"/>
        </w:rPr>
        <w:t>JOURNAL OFFICIEL FÉDÉRAL</w:t>
      </w:r>
    </w:p>
    <w:p w14:paraId="0D804031" w14:textId="77777777" w:rsidR="00691C7A" w:rsidRPr="00E61BFF" w:rsidRDefault="00691C7A" w:rsidP="00691C7A">
      <w:pPr>
        <w:pStyle w:val="03RepOesterr"/>
      </w:pPr>
      <w:r>
        <w:t>DE LA RÉPUBLIQUE D’AUTRICHE</w:t>
      </w:r>
    </w:p>
    <w:p w14:paraId="0C2B5A57" w14:textId="77777777" w:rsidR="00691C7A" w:rsidRPr="00E61BFF" w:rsidRDefault="00691C7A" w:rsidP="00691C7A">
      <w:pPr>
        <w:pStyle w:val="04AusgabeDaten"/>
      </w:pPr>
      <w:r>
        <w:t>Année 2020</w:t>
      </w:r>
      <w:r>
        <w:tab/>
        <w:t>Publié le 23 décembre 2020</w:t>
      </w:r>
      <w:r>
        <w:tab/>
        <w:t>Première partie</w:t>
      </w:r>
    </w:p>
    <w:p w14:paraId="76357A78" w14:textId="77777777" w:rsidR="00691C7A" w:rsidRPr="00E61BFF" w:rsidRDefault="00691C7A" w:rsidP="00691C7A">
      <w:pPr>
        <w:pStyle w:val="05Kurztitel"/>
      </w:pPr>
      <w:r>
        <w:t xml:space="preserve">148. Droit </w:t>
      </w:r>
      <w:proofErr w:type="gramStart"/>
      <w:r>
        <w:t>fédéral:</w:t>
      </w:r>
      <w:proofErr w:type="gramEnd"/>
      <w:r>
        <w:tab/>
        <w:t xml:space="preserve">Loi sur la prévention de la haine sur internet – </w:t>
      </w:r>
      <w:proofErr w:type="spellStart"/>
      <w:r>
        <w:t>HiNBG</w:t>
      </w:r>
      <w:proofErr w:type="spellEnd"/>
    </w:p>
    <w:p w14:paraId="7CA836A4" w14:textId="77777777" w:rsidR="00691C7A" w:rsidRDefault="00691C7A" w:rsidP="00691C7A">
      <w:pPr>
        <w:pStyle w:val="05Kurztitel"/>
      </w:pPr>
      <w:r>
        <w:tab/>
        <w:t>(</w:t>
      </w:r>
      <w:proofErr w:type="gramStart"/>
      <w:r>
        <w:t>NO:</w:t>
      </w:r>
      <w:proofErr w:type="gramEnd"/>
      <w:r>
        <w:t xml:space="preserve"> GP XXVII RV 481 À PARTIR DE 516 P. 69. </w:t>
      </w:r>
      <w:proofErr w:type="gramStart"/>
      <w:r>
        <w:t>BR:</w:t>
      </w:r>
      <w:proofErr w:type="gramEnd"/>
      <w:r>
        <w:t xml:space="preserve"> 10456 AB 10523 p. 917.)</w:t>
      </w:r>
    </w:p>
    <w:p w14:paraId="5C4524E4" w14:textId="77777777" w:rsidR="004C001D" w:rsidRPr="00E61BFF" w:rsidRDefault="004C001D" w:rsidP="00691C7A">
      <w:pPr>
        <w:pStyle w:val="05Kurztitel"/>
      </w:pPr>
      <w:r>
        <w:tab/>
        <w:t>[CELEX no</w:t>
      </w:r>
      <w:proofErr w:type="gramStart"/>
      <w:r>
        <w:t>.:</w:t>
      </w:r>
      <w:proofErr w:type="gramEnd"/>
      <w:r>
        <w:t xml:space="preserve"> 32011L0093, 32012L0029, 32017L0541]</w:t>
      </w:r>
    </w:p>
    <w:p w14:paraId="63A52DA5" w14:textId="77777777" w:rsidR="004C59F5" w:rsidRPr="00E61BFF" w:rsidRDefault="00691C7A" w:rsidP="000B6E75">
      <w:pPr>
        <w:pStyle w:val="11Titel"/>
      </w:pPr>
      <w:r>
        <w:t>148. Loi fédérale prévoyant des mesures en matière de droit civil et de procédure civile destinées à lutter contre la haine sur l’internet (Loi sur la prévention de la haine sur internet [</w:t>
      </w:r>
      <w:proofErr w:type="spellStart"/>
      <w:r>
        <w:t>Hass</w:t>
      </w:r>
      <w:proofErr w:type="spellEnd"/>
      <w:r>
        <w:t>-</w:t>
      </w:r>
      <w:r>
        <w:noBreakHyphen/>
      </w:r>
      <w:proofErr w:type="spellStart"/>
      <w:r>
        <w:t>im</w:t>
      </w:r>
      <w:proofErr w:type="spellEnd"/>
      <w:r>
        <w:noBreakHyphen/>
        <w:t>-</w:t>
      </w:r>
      <w:proofErr w:type="spellStart"/>
      <w:r>
        <w:t>Netz-Bekämpfungs-Gesetz</w:t>
      </w:r>
      <w:proofErr w:type="spellEnd"/>
      <w:r>
        <w:t xml:space="preserve"> – </w:t>
      </w:r>
      <w:proofErr w:type="spellStart"/>
      <w:r>
        <w:t>HiNBG</w:t>
      </w:r>
      <w:proofErr w:type="spellEnd"/>
      <w:r>
        <w:t>])</w:t>
      </w:r>
    </w:p>
    <w:p w14:paraId="52D50595" w14:textId="77777777" w:rsidR="004C59F5" w:rsidRPr="00E61BFF" w:rsidRDefault="004C59F5" w:rsidP="000B6E75">
      <w:pPr>
        <w:pStyle w:val="12PromKlEinlSatz"/>
      </w:pPr>
      <w:r>
        <w:t xml:space="preserve">Le Conseil national a décidé ce qui </w:t>
      </w:r>
      <w:proofErr w:type="gramStart"/>
      <w:r>
        <w:t>suit:</w:t>
      </w:r>
      <w:proofErr w:type="gramEnd"/>
    </w:p>
    <w:p w14:paraId="5143FB85" w14:textId="77777777" w:rsidR="004C59F5" w:rsidRPr="00E61BFF" w:rsidRDefault="004C59F5" w:rsidP="000B6E75">
      <w:pPr>
        <w:pStyle w:val="31InhaltSpalte"/>
      </w:pPr>
      <w:r>
        <w:t>Table des matières</w:t>
      </w:r>
    </w:p>
    <w:p w14:paraId="381507B7" w14:textId="66EAD596" w:rsidR="004C59F5" w:rsidRPr="00E61BFF" w:rsidRDefault="004C59F5" w:rsidP="000B6E75">
      <w:pPr>
        <w:pStyle w:val="32InhaltEintragEinzug"/>
      </w:pPr>
      <w:r>
        <w:tab/>
        <w:t>Article</w:t>
      </w:r>
      <w:r w:rsidR="00860EB5">
        <w:t xml:space="preserve"> </w:t>
      </w:r>
      <w:r>
        <w:t>premier</w:t>
      </w:r>
      <w:r w:rsidR="00860EB5">
        <w:t xml:space="preserve"> </w:t>
      </w:r>
      <w:r>
        <w:t>Modification du Code civil autrichien</w:t>
      </w:r>
    </w:p>
    <w:p w14:paraId="19D5CEA0" w14:textId="77777777" w:rsidR="004C59F5" w:rsidRPr="00E61BFF" w:rsidRDefault="004C59F5" w:rsidP="000B6E75">
      <w:pPr>
        <w:pStyle w:val="32InhaltEintragEinzug"/>
      </w:pPr>
      <w:r>
        <w:tab/>
        <w:t>Article 2 Modification du Code civil autrichien</w:t>
      </w:r>
    </w:p>
    <w:p w14:paraId="3A648D1E" w14:textId="77777777" w:rsidR="004C59F5" w:rsidRPr="00E61BFF" w:rsidRDefault="004C59F5" w:rsidP="000B6E75">
      <w:pPr>
        <w:pStyle w:val="32InhaltEintragEinzug"/>
      </w:pPr>
      <w:r>
        <w:tab/>
        <w:t>Article 3 Modification du Code civil autrichien</w:t>
      </w:r>
    </w:p>
    <w:p w14:paraId="3E868C31" w14:textId="77777777" w:rsidR="004C59F5" w:rsidRPr="00E61BFF" w:rsidRDefault="004C59F5" w:rsidP="000B6E75">
      <w:pPr>
        <w:pStyle w:val="32InhaltEintragEinzug"/>
      </w:pPr>
      <w:r>
        <w:tab/>
        <w:t>Article 4 Modification du Code civil autrichien</w:t>
      </w:r>
    </w:p>
    <w:p w14:paraId="4ABD1AE7" w14:textId="77777777" w:rsidR="004C59F5" w:rsidRPr="00E61BFF" w:rsidRDefault="004C59F5" w:rsidP="000B6E75">
      <w:pPr>
        <w:pStyle w:val="32InhaltEintragEinzug"/>
      </w:pPr>
      <w:r>
        <w:tab/>
        <w:t>Article 5 Modification du Code civil autrichien</w:t>
      </w:r>
    </w:p>
    <w:p w14:paraId="53BDE75C" w14:textId="77777777" w:rsidR="004C59F5" w:rsidRPr="00E61BFF" w:rsidRDefault="004C59F5" w:rsidP="000B6E75">
      <w:pPr>
        <w:pStyle w:val="32InhaltEintragEinzug"/>
      </w:pPr>
      <w:r>
        <w:tab/>
        <w:t>Article 6 Modification du Code civil autrichien</w:t>
      </w:r>
    </w:p>
    <w:p w14:paraId="37618D4A" w14:textId="77777777" w:rsidR="004C59F5" w:rsidRPr="00E61BFF" w:rsidRDefault="004C59F5" w:rsidP="000B6E75">
      <w:pPr>
        <w:pStyle w:val="32InhaltEintragEinzug"/>
      </w:pPr>
      <w:r>
        <w:tab/>
        <w:t>Article 7 Modification du Code civil autrichien</w:t>
      </w:r>
    </w:p>
    <w:p w14:paraId="347613B2" w14:textId="77777777" w:rsidR="004C59F5" w:rsidRPr="00E61BFF" w:rsidRDefault="004C59F5" w:rsidP="000B6E75">
      <w:pPr>
        <w:pStyle w:val="32InhaltEintragEinzug"/>
      </w:pPr>
      <w:r>
        <w:tab/>
        <w:t>Article 8 Modification du Code pénal</w:t>
      </w:r>
    </w:p>
    <w:p w14:paraId="30DE55E7" w14:textId="77777777" w:rsidR="004C59F5" w:rsidRPr="00E61BFF" w:rsidRDefault="004C59F5" w:rsidP="000B6E75">
      <w:pPr>
        <w:pStyle w:val="32InhaltEintragEinzug"/>
      </w:pPr>
      <w:r>
        <w:tab/>
        <w:t>Article 9 Modification de la loi sur les médias</w:t>
      </w:r>
    </w:p>
    <w:p w14:paraId="5C924845" w14:textId="77777777" w:rsidR="004C59F5" w:rsidRPr="00E61BFF" w:rsidRDefault="004C59F5" w:rsidP="000B6E75">
      <w:pPr>
        <w:pStyle w:val="32InhaltEintragEinzug"/>
      </w:pPr>
      <w:r>
        <w:tab/>
        <w:t>Article 10 Modification du Code de procédure pénale de 1975</w:t>
      </w:r>
    </w:p>
    <w:p w14:paraId="72EB7899" w14:textId="6C962373" w:rsidR="004C59F5" w:rsidRPr="00E61BFF" w:rsidRDefault="004C59F5" w:rsidP="000B6E75">
      <w:pPr>
        <w:pStyle w:val="32InhaltEintragEinzug"/>
      </w:pPr>
      <w:r>
        <w:t>Article</w:t>
      </w:r>
      <w:r w:rsidR="00860EB5">
        <w:t xml:space="preserve"> </w:t>
      </w:r>
      <w:r>
        <w:t>11</w:t>
      </w:r>
      <w:r w:rsidR="00860EB5">
        <w:t xml:space="preserve"> </w:t>
      </w:r>
      <w:r>
        <w:tab/>
        <w:t>Entrée en vigueur</w:t>
      </w:r>
    </w:p>
    <w:p w14:paraId="4E7E773F" w14:textId="77777777" w:rsidR="004C59F5" w:rsidRPr="00E61BFF" w:rsidRDefault="004C59F5" w:rsidP="000B6E75">
      <w:pPr>
        <w:pStyle w:val="32InhaltEintragEinzug"/>
      </w:pPr>
      <w:r>
        <w:tab/>
        <w:t>Article 12 Notification</w:t>
      </w:r>
    </w:p>
    <w:p w14:paraId="64B19ADB" w14:textId="77777777" w:rsidR="004C59F5" w:rsidRPr="00E61BFF" w:rsidRDefault="004C59F5" w:rsidP="000B6E75">
      <w:pPr>
        <w:pStyle w:val="41UeberschrG1"/>
      </w:pPr>
      <w:r>
        <w:t>Article premier</w:t>
      </w:r>
    </w:p>
    <w:p w14:paraId="0C8E9DC7" w14:textId="77777777" w:rsidR="004C59F5" w:rsidRPr="00E61BFF" w:rsidRDefault="004C59F5" w:rsidP="000B6E75">
      <w:pPr>
        <w:pStyle w:val="43UeberschrG2"/>
      </w:pPr>
      <w:r>
        <w:t>Modification du code civil autrichien</w:t>
      </w:r>
    </w:p>
    <w:p w14:paraId="56478314" w14:textId="77777777" w:rsidR="004C59F5" w:rsidRPr="00E61BFF" w:rsidRDefault="004C59F5" w:rsidP="000B6E75">
      <w:pPr>
        <w:pStyle w:val="12PromKlEinlSatz"/>
      </w:pPr>
      <w:r>
        <w:t xml:space="preserve">Le code civil général - ABGB, JGS n° 946/1811, modifié en dernier lieu par la loi fédérale publiée au Journal officiel de la République d’Autriche I, n° 16/2020, est modifié comme </w:t>
      </w:r>
      <w:proofErr w:type="gramStart"/>
      <w:r>
        <w:t>suit:</w:t>
      </w:r>
      <w:proofErr w:type="gramEnd"/>
    </w:p>
    <w:p w14:paraId="107C816B" w14:textId="77777777" w:rsidR="004C59F5" w:rsidRPr="00E61BFF" w:rsidRDefault="004C59F5" w:rsidP="000B6E75">
      <w:pPr>
        <w:pStyle w:val="21NovAo1"/>
      </w:pPr>
      <w:r>
        <w:t>1. L'article 17a suivant et son intitulé sont ajoutés à la suite de l'article </w:t>
      </w:r>
      <w:proofErr w:type="gramStart"/>
      <w:r>
        <w:t>17:</w:t>
      </w:r>
      <w:proofErr w:type="gramEnd"/>
    </w:p>
    <w:p w14:paraId="137D8F9C" w14:textId="77777777" w:rsidR="004C59F5" w:rsidRPr="00E61BFF" w:rsidRDefault="004C59F5" w:rsidP="000B6E75">
      <w:pPr>
        <w:pStyle w:val="45UeberschrPara"/>
      </w:pPr>
      <w:proofErr w:type="gramStart"/>
      <w:r>
        <w:t>«Défense</w:t>
      </w:r>
      <w:proofErr w:type="gramEnd"/>
      <w:r>
        <w:t xml:space="preserve"> des droits à l’intégrité physique et morale</w:t>
      </w:r>
    </w:p>
    <w:p w14:paraId="52FB0DD1" w14:textId="77777777" w:rsidR="004C59F5" w:rsidRPr="00E61BFF" w:rsidRDefault="004C59F5" w:rsidP="000B6E75">
      <w:pPr>
        <w:pStyle w:val="51Abs"/>
      </w:pPr>
      <w:r>
        <w:rPr>
          <w:rStyle w:val="991GldSymbol"/>
        </w:rPr>
        <w:t>Article 17 bis.</w:t>
      </w:r>
      <w:r>
        <w:t xml:space="preserve"> (1) Les droits à l’intégrité physique et morale sont essentiellement non transférables.</w:t>
      </w:r>
    </w:p>
    <w:p w14:paraId="044DE2F8" w14:textId="77777777" w:rsidR="004C59F5" w:rsidRPr="00E61BFF" w:rsidRDefault="004C59F5" w:rsidP="000B6E75">
      <w:pPr>
        <w:pStyle w:val="51Abs"/>
      </w:pPr>
      <w:r>
        <w:t>(2) L’ingérence avec un droit à l’intégrité physique et morale peut être consenti dans la seule mesure où cela ne contrevient pas aux bonnes mœurs en tant que telles. Le consentement à l’ingérence dans le domaine central d’un droit personnel ne peut être donné que par le responsable du droit de la personnalité lui-même, sauf disposition contraire de la loi.</w:t>
      </w:r>
    </w:p>
    <w:p w14:paraId="3B0907FB" w14:textId="77777777" w:rsidR="004C59F5" w:rsidRPr="00E61BFF" w:rsidRDefault="004C59F5" w:rsidP="000B6E75">
      <w:pPr>
        <w:pStyle w:val="51Abs"/>
      </w:pPr>
      <w:r>
        <w:t>(3) Les droits à l’intégrité physique et morale d’une personne se poursuivent après sa mort en sa mémoire. Les membres de la famille et le conjoint survivant, le partenaire enregistré ou le partenaire enregistré de leur vie avec le défunt au premier degré, d’autres parents dans la ligne ascendante ou descendante ne peuvent être réclamés que pendant 10 ans après la fin de l’année du décès. En tout état de cause, des interventions d’intérêt public à des fins d’archives, scientifiques et artistiques sont autorisées</w:t>
      </w:r>
      <w:proofErr w:type="gramStart"/>
      <w:r>
        <w:t>.»</w:t>
      </w:r>
      <w:proofErr w:type="gramEnd"/>
    </w:p>
    <w:p w14:paraId="6483F163" w14:textId="77777777" w:rsidR="004C59F5" w:rsidRPr="00E61BFF" w:rsidRDefault="004C59F5" w:rsidP="000B6E75">
      <w:pPr>
        <w:pStyle w:val="21NovAo1"/>
      </w:pPr>
      <w:r>
        <w:lastRenderedPageBreak/>
        <w:t xml:space="preserve">2. L'article 20 et son titre sont formulés comme </w:t>
      </w:r>
      <w:proofErr w:type="gramStart"/>
      <w:r>
        <w:t>suit:</w:t>
      </w:r>
      <w:proofErr w:type="gramEnd"/>
    </w:p>
    <w:p w14:paraId="34D04E90" w14:textId="77777777" w:rsidR="004C59F5" w:rsidRPr="00E61BFF" w:rsidRDefault="004C59F5" w:rsidP="000B6E75">
      <w:pPr>
        <w:pStyle w:val="45UeberschrPara"/>
      </w:pPr>
      <w:proofErr w:type="gramStart"/>
      <w:r>
        <w:t>«Action</w:t>
      </w:r>
      <w:proofErr w:type="gramEnd"/>
      <w:r>
        <w:t xml:space="preserve"> en cessation et en réparation</w:t>
      </w:r>
    </w:p>
    <w:p w14:paraId="3662BDDC" w14:textId="77777777" w:rsidR="004C59F5" w:rsidRPr="00E61BFF" w:rsidRDefault="004C59F5" w:rsidP="000B6E75">
      <w:pPr>
        <w:pStyle w:val="51Abs"/>
      </w:pPr>
      <w:r>
        <w:rPr>
          <w:rStyle w:val="991GldSymbol"/>
        </w:rPr>
        <w:t>Article 20.</w:t>
      </w:r>
      <w:r>
        <w:t xml:space="preserve"> (1) Quiconque a été bafoué dans son droit à l’intégrité physique et morale ou quiconque doit craindre une telle violation immédiate peut intenter une action en cessation et en réparation de la situation illégale. Le droit à une injonction comprend également le droit de remédier à toute situation en conflit avec l’obligation d’injonction. Dans les conditions énoncées à l’article 17a, paragraphe 3, </w:t>
      </w:r>
      <w:proofErr w:type="gramStart"/>
      <w:r>
        <w:t>les personne</w:t>
      </w:r>
      <w:proofErr w:type="gramEnd"/>
      <w:r>
        <w:t xml:space="preserve"> qui y sont mentionnées peuvent également intenter une action.</w:t>
      </w:r>
    </w:p>
    <w:p w14:paraId="051A68B5" w14:textId="77777777" w:rsidR="004C59F5" w:rsidRPr="00E61BFF" w:rsidRDefault="004C59F5" w:rsidP="000B6E75">
      <w:pPr>
        <w:pStyle w:val="51Abs"/>
      </w:pPr>
      <w:r>
        <w:t>(2) Si la réputation ou la vie privée d'un employé est violée sur un média dans le cadre de la fonction dudit employé et s’il est probable que cette violation diminue de manière importante la possibilité que l'employeur emploie l'employé ou porte gravement atteinte à la réputation de l'employeur, ce dernier doit intenter une action en cessation et en réparation indépendamment de l’action en justice intentée par l'employé. Il en va de même pour les bénévoles et les personnes morales. L'engagement d’une action par l'employeur n'est pas rattaché au consentement de l'employé. L’employeur n’est pas tenu d’attenter une action en justice pour violation des droits à l’intégrité physique et morale de l’employé, notamment du fait du devoir d’aide et d’assistance de l’employeur envers l’employé prévu par le droit du travail.</w:t>
      </w:r>
    </w:p>
    <w:p w14:paraId="612F9BAD" w14:textId="77777777" w:rsidR="004C59F5" w:rsidRPr="00E61BFF" w:rsidRDefault="004C59F5" w:rsidP="000B6E75">
      <w:pPr>
        <w:pStyle w:val="51Abs"/>
      </w:pPr>
      <w:r>
        <w:t>(3) Si la personne qui a bafoué un droit à l’intégrité physique et morale ou qui menace de commettre une telle violation fait appel aux services d’un intermédiaire, ce dernier peut également être poursuivi par une action en cessation et en réparation. Si l’intermédiaire remplit les conditions d’exclusion de responsabilité conformément à la loi sur le commerce électronique, il peut uniquement être poursuivi après avertissement</w:t>
      </w:r>
      <w:proofErr w:type="gramStart"/>
      <w:r>
        <w:t>.»</w:t>
      </w:r>
      <w:proofErr w:type="gramEnd"/>
      <w:r>
        <w:t xml:space="preserve"> Les prestataires de services visés à l’article 13 de la loi sur le commerce électronique ne sont pas considérés comme des intermédiaires au sens de la présente disposition</w:t>
      </w:r>
      <w:proofErr w:type="gramStart"/>
      <w:r>
        <w:t>.»</w:t>
      </w:r>
      <w:proofErr w:type="gramEnd"/>
    </w:p>
    <w:p w14:paraId="7A743754" w14:textId="77777777" w:rsidR="004C59F5" w:rsidRPr="00E61BFF" w:rsidRDefault="004C59F5" w:rsidP="00431A52">
      <w:pPr>
        <w:pStyle w:val="22NovAo2"/>
      </w:pPr>
      <w:r>
        <w:t>3. Au paragraphe 1328 bis, paragraphe 2, le libellé</w:t>
      </w:r>
      <w:proofErr w:type="gramStart"/>
      <w:r>
        <w:t xml:space="preserve"> </w:t>
      </w:r>
      <w:r>
        <w:rPr>
          <w:i w:val="0"/>
        </w:rPr>
        <w:t>«est</w:t>
      </w:r>
      <w:proofErr w:type="gramEnd"/>
      <w:r>
        <w:rPr>
          <w:i w:val="0"/>
        </w:rPr>
        <w:t xml:space="preserve"> orienté»</w:t>
      </w:r>
      <w:r>
        <w:t xml:space="preserve">; est inséré dans la deuxième phrase après le libellé </w:t>
      </w:r>
      <w:r>
        <w:rPr>
          <w:i w:val="0"/>
        </w:rPr>
        <w:t>«en cas d’intervention d’une personne responsable du droit des médias»</w:t>
      </w:r>
      <w:r>
        <w:t>.</w:t>
      </w:r>
    </w:p>
    <w:p w14:paraId="577B788A" w14:textId="77777777" w:rsidR="004C59F5" w:rsidRPr="00E61BFF" w:rsidRDefault="004C59F5" w:rsidP="000B6E75">
      <w:pPr>
        <w:pStyle w:val="21NovAo1"/>
      </w:pPr>
      <w:r>
        <w:t xml:space="preserve">4. À l’article 1503, le paragraphe 16 suivant est </w:t>
      </w:r>
      <w:proofErr w:type="gramStart"/>
      <w:r>
        <w:t>ajouté:</w:t>
      </w:r>
      <w:proofErr w:type="gramEnd"/>
    </w:p>
    <w:p w14:paraId="36CC3D0B" w14:textId="77777777" w:rsidR="004C59F5" w:rsidRPr="00E61BFF" w:rsidRDefault="004C59F5" w:rsidP="000B6E75">
      <w:pPr>
        <w:pStyle w:val="51Abs"/>
      </w:pPr>
      <w:proofErr w:type="gramStart"/>
      <w:r>
        <w:t>«(</w:t>
      </w:r>
      <w:proofErr w:type="gramEnd"/>
      <w:r>
        <w:t>16) Les articles 17 bis, 20, et l’article 1328 bis, paragraphe 2, dans la version de la loi fédérale publiée au Journal officiel de la République d’Autriche I, no 148/2020 entrent en vigueur le 1er janvier 2021. L’article 20, paragraphe 2, et l’article 1 328a, paragraphe 2, s’appliquent aux cas pour lesquels l’acte constituant une violation a été commis après le 31 décembre 2020</w:t>
      </w:r>
      <w:proofErr w:type="gramStart"/>
      <w:r>
        <w:t>.»</w:t>
      </w:r>
      <w:proofErr w:type="gramEnd"/>
    </w:p>
    <w:p w14:paraId="6A33F9F4" w14:textId="41F0BA54" w:rsidR="004C59F5" w:rsidRPr="00E61BFF" w:rsidRDefault="004C59F5" w:rsidP="00B83371">
      <w:pPr>
        <w:pStyle w:val="41UeberschrG1"/>
      </w:pPr>
      <w:r>
        <w:t>Article 2</w:t>
      </w:r>
      <w:r>
        <w:br/>
        <w:t xml:space="preserve">Modification de la loi sur la procédure civile et l’organisation </w:t>
      </w:r>
      <w:proofErr w:type="spellStart"/>
      <w:r>
        <w:t>judiciair</w:t>
      </w:r>
      <w:proofErr w:type="spellEnd"/>
    </w:p>
    <w:p w14:paraId="6708F222" w14:textId="77777777" w:rsidR="004C59F5" w:rsidRPr="00E61BFF" w:rsidRDefault="004C59F5" w:rsidP="000B6E75">
      <w:pPr>
        <w:pStyle w:val="12PromKlEinlSatz"/>
      </w:pPr>
      <w:r>
        <w:t xml:space="preserve">La loi sur la procédure civile et l’organisation judiciaire publiée au Journal officiel de l’Empire austro-hongrois no 111/1895 modifiée en dernier lieu par la loi fédérale publiée au Journal officiel de la République d’Autriche I, no 61/2019, est modifiée comme </w:t>
      </w:r>
      <w:proofErr w:type="gramStart"/>
      <w:r>
        <w:t>suit:</w:t>
      </w:r>
      <w:proofErr w:type="gramEnd"/>
      <w:r>
        <w:t xml:space="preserve"> </w:t>
      </w:r>
    </w:p>
    <w:p w14:paraId="5D3E0327" w14:textId="77777777" w:rsidR="004C59F5" w:rsidRPr="00E61BFF" w:rsidRDefault="004C59F5" w:rsidP="000B6E75">
      <w:pPr>
        <w:pStyle w:val="21NovAo1"/>
      </w:pPr>
      <w:r>
        <w:t xml:space="preserve">1. Le texte suivant est modifié à l’article 49, paragraphe 2, après les points 5 et </w:t>
      </w:r>
      <w:proofErr w:type="gramStart"/>
      <w:r>
        <w:t>6:</w:t>
      </w:r>
      <w:proofErr w:type="gramEnd"/>
    </w:p>
    <w:p w14:paraId="2F0BD239" w14:textId="77777777" w:rsidR="004C59F5" w:rsidRPr="00E61BFF" w:rsidRDefault="00431A52" w:rsidP="00431A52">
      <w:pPr>
        <w:pStyle w:val="52Aufzaehle1Ziffer"/>
      </w:pPr>
      <w:r>
        <w:tab/>
        <w:t>«6.</w:t>
      </w:r>
      <w:r>
        <w:tab/>
        <w:t xml:space="preserve">Litiges aux termes de l’article 549 du Code de procédure </w:t>
      </w:r>
      <w:proofErr w:type="gramStart"/>
      <w:r>
        <w:t>civile;</w:t>
      </w:r>
      <w:proofErr w:type="gramEnd"/>
      <w:r>
        <w:t>»</w:t>
      </w:r>
    </w:p>
    <w:p w14:paraId="738CB37D" w14:textId="77777777" w:rsidR="004C59F5" w:rsidRPr="00E61BFF" w:rsidRDefault="004C59F5" w:rsidP="000B6E75">
      <w:pPr>
        <w:pStyle w:val="21NovAo1"/>
      </w:pPr>
      <w:r>
        <w:t xml:space="preserve">2. Après l’article 59, l’article 59 bis suivant est </w:t>
      </w:r>
      <w:proofErr w:type="gramStart"/>
      <w:r>
        <w:t>inséré:</w:t>
      </w:r>
      <w:proofErr w:type="gramEnd"/>
    </w:p>
    <w:p w14:paraId="77CEB9FE" w14:textId="77777777" w:rsidR="004C59F5" w:rsidRPr="00E61BFF" w:rsidRDefault="004C59F5" w:rsidP="000B6E75">
      <w:pPr>
        <w:pStyle w:val="51Abs"/>
      </w:pPr>
      <w:proofErr w:type="gramStart"/>
      <w:r>
        <w:t>«</w:t>
      </w:r>
      <w:r>
        <w:rPr>
          <w:rStyle w:val="991GldSymbol"/>
        </w:rPr>
        <w:t>Article</w:t>
      </w:r>
      <w:proofErr w:type="gramEnd"/>
      <w:r>
        <w:rPr>
          <w:rStyle w:val="991GldSymbol"/>
        </w:rPr>
        <w:t> 59  bis.</w:t>
      </w:r>
      <w:r>
        <w:t xml:space="preserve"> Pour les actions en cessation aux termes de l’article 549 du Code de procédure civile, la valeur du litige s’élève à 5 000 EUR</w:t>
      </w:r>
      <w:proofErr w:type="gramStart"/>
      <w:r>
        <w:t>.»</w:t>
      </w:r>
      <w:proofErr w:type="gramEnd"/>
    </w:p>
    <w:p w14:paraId="50C24194" w14:textId="77777777" w:rsidR="004C59F5" w:rsidRPr="00E61BFF" w:rsidRDefault="004C59F5" w:rsidP="000B6E75">
      <w:pPr>
        <w:pStyle w:val="21NovAo1"/>
      </w:pPr>
      <w:r>
        <w:t>3. La quatrième partie suivante est ajoutée à la suite de l’article </w:t>
      </w:r>
      <w:proofErr w:type="gramStart"/>
      <w:r>
        <w:t>122:</w:t>
      </w:r>
      <w:proofErr w:type="gramEnd"/>
    </w:p>
    <w:p w14:paraId="475AB1CB" w14:textId="77777777" w:rsidR="004C59F5" w:rsidRPr="00E61BFF" w:rsidRDefault="004C59F5" w:rsidP="000B6E75">
      <w:pPr>
        <w:pStyle w:val="41UeberschrG1"/>
      </w:pPr>
      <w:proofErr w:type="gramStart"/>
      <w:r>
        <w:t>«Quatrième</w:t>
      </w:r>
      <w:proofErr w:type="gramEnd"/>
      <w:r>
        <w:t xml:space="preserve"> partie</w:t>
      </w:r>
    </w:p>
    <w:p w14:paraId="7D638937" w14:textId="77777777" w:rsidR="004C59F5" w:rsidRPr="00E61BFF" w:rsidRDefault="004C59F5" w:rsidP="000B6E75">
      <w:pPr>
        <w:pStyle w:val="43UeberschrG2"/>
      </w:pPr>
      <w:r>
        <w:t>Entrée en vigueur, dispositions finales et dispositions transitoires</w:t>
      </w:r>
    </w:p>
    <w:p w14:paraId="6E940654" w14:textId="77777777" w:rsidR="004C59F5" w:rsidRPr="00E61BFF" w:rsidRDefault="004C59F5" w:rsidP="000B6E75">
      <w:pPr>
        <w:pStyle w:val="51Abs"/>
      </w:pPr>
      <w:r>
        <w:rPr>
          <w:rStyle w:val="991GldSymbol"/>
        </w:rPr>
        <w:t>Article 123.</w:t>
      </w:r>
      <w:r>
        <w:t xml:space="preserve"> Les articles 49 et </w:t>
      </w:r>
      <w:proofErr w:type="gramStart"/>
      <w:r>
        <w:t>59  bis</w:t>
      </w:r>
      <w:proofErr w:type="gramEnd"/>
      <w:r>
        <w:t xml:space="preserve"> dans la version de la loi fédérale publiée au Journal officiel de la République d’Autriche I, no 148/2020 entrent en vigueur le 1er janvier 2021 et doivent être appliqués dans cette version aux actions intentées après le 31 décembre 2020.»</w:t>
      </w:r>
    </w:p>
    <w:p w14:paraId="3FC3AE64" w14:textId="77777777" w:rsidR="004C59F5" w:rsidRPr="00E61BFF" w:rsidRDefault="004C59F5" w:rsidP="000B6E75">
      <w:pPr>
        <w:pStyle w:val="41UeberschrG1"/>
      </w:pPr>
      <w:r>
        <w:lastRenderedPageBreak/>
        <w:t>Article 3</w:t>
      </w:r>
      <w:r>
        <w:br/>
        <w:t>Modification du Code de procédure civile</w:t>
      </w:r>
    </w:p>
    <w:p w14:paraId="6E1975CB" w14:textId="77777777" w:rsidR="004C59F5" w:rsidRPr="00E61BFF" w:rsidRDefault="004C59F5" w:rsidP="000B6E75">
      <w:pPr>
        <w:pStyle w:val="12PromKlEinlSatz"/>
      </w:pPr>
      <w:r>
        <w:t xml:space="preserve">Le Code de procédure civile publié au Journal officiel de l’Empire austro-hongrois no 113/1895, modifié en dernier lieu par la loi fédérale publiée au Journal officiel de la République d’Autriche I, no 109/2018, est modifié comme </w:t>
      </w:r>
      <w:proofErr w:type="gramStart"/>
      <w:r>
        <w:t>suit:</w:t>
      </w:r>
      <w:proofErr w:type="gramEnd"/>
      <w:r>
        <w:t xml:space="preserve"> </w:t>
      </w:r>
    </w:p>
    <w:p w14:paraId="61C8E0A9" w14:textId="77777777" w:rsidR="004C59F5" w:rsidRPr="00E61BFF" w:rsidRDefault="004C59F5" w:rsidP="000B6E75">
      <w:pPr>
        <w:pStyle w:val="21NovAo1"/>
      </w:pPr>
      <w:r>
        <w:t xml:space="preserve">1. À l’article 502, paragraphe 5, à la fin de la ligne 4, le point est remplacé par un point-virgule et la ligne 5 suivante est </w:t>
      </w:r>
      <w:proofErr w:type="gramStart"/>
      <w:r>
        <w:t>ajoutée:</w:t>
      </w:r>
      <w:proofErr w:type="gramEnd"/>
    </w:p>
    <w:p w14:paraId="725F8D3B" w14:textId="77777777" w:rsidR="004C59F5" w:rsidRPr="00E61BFF" w:rsidRDefault="004C59F5" w:rsidP="000B6E75">
      <w:pPr>
        <w:pStyle w:val="52Aufzaehle1Ziffer"/>
      </w:pPr>
      <w:r>
        <w:tab/>
        <w:t xml:space="preserve">«5. </w:t>
      </w:r>
      <w:proofErr w:type="gramStart"/>
      <w:r>
        <w:t>pour</w:t>
      </w:r>
      <w:proofErr w:type="gramEnd"/>
      <w:r>
        <w:t xml:space="preserve"> les litiges aux termes de l'article 549.»</w:t>
      </w:r>
      <w:r>
        <w:tab/>
      </w:r>
    </w:p>
    <w:p w14:paraId="56BA0878" w14:textId="77777777" w:rsidR="004C59F5" w:rsidRPr="00E61BFF" w:rsidRDefault="004C59F5" w:rsidP="000B6E75">
      <w:pPr>
        <w:pStyle w:val="21NovAo1"/>
      </w:pPr>
      <w:r>
        <w:t>2. La deuxième section suivante est ajoutée à la suite de l’article </w:t>
      </w:r>
      <w:proofErr w:type="gramStart"/>
      <w:r>
        <w:t>548:</w:t>
      </w:r>
      <w:proofErr w:type="gramEnd"/>
    </w:p>
    <w:p w14:paraId="39E3BD22" w14:textId="77777777" w:rsidR="004C59F5" w:rsidRPr="00E61BFF" w:rsidRDefault="004C59F5" w:rsidP="00431A52">
      <w:pPr>
        <w:pStyle w:val="41UeberschrG1"/>
      </w:pPr>
      <w:proofErr w:type="gramStart"/>
      <w:r>
        <w:t>«Deuxième</w:t>
      </w:r>
      <w:proofErr w:type="gramEnd"/>
      <w:r>
        <w:t xml:space="preserve"> section</w:t>
      </w:r>
    </w:p>
    <w:p w14:paraId="70DB9D83" w14:textId="77777777" w:rsidR="004C59F5" w:rsidRPr="00E61BFF" w:rsidRDefault="004C59F5" w:rsidP="000B6E75">
      <w:pPr>
        <w:pStyle w:val="43UeberschrG2"/>
      </w:pPr>
      <w:r>
        <w:t>Procédure de mandat</w:t>
      </w:r>
    </w:p>
    <w:p w14:paraId="34369477" w14:textId="77777777" w:rsidR="004C59F5" w:rsidRPr="00E61BFF" w:rsidRDefault="004C59F5" w:rsidP="000B6E75">
      <w:pPr>
        <w:pStyle w:val="45UeberschrPara"/>
      </w:pPr>
      <w:r>
        <w:t>Procédures pour violation substantielle des droits de la personne dans un réseau de communications électroniques</w:t>
      </w:r>
    </w:p>
    <w:p w14:paraId="2CEA6609" w14:textId="77777777" w:rsidR="004C59F5" w:rsidRPr="00E61BFF" w:rsidRDefault="004C59F5" w:rsidP="000B6E75">
      <w:pPr>
        <w:pStyle w:val="51Abs"/>
      </w:pPr>
      <w:r>
        <w:rPr>
          <w:rStyle w:val="991GldSymbol"/>
        </w:rPr>
        <w:t>Article 549.</w:t>
      </w:r>
      <w:r>
        <w:t xml:space="preserve"> (1) Dans les litiges relatifs à des actions pour lesquelles exclusivement des plaintes pour injonction en raison d’une atteinte à la dignité humaine significative sur un réseau de communication électronique qui affecte la dignité d’une personne humaine sont intentées, le tribunal doit ordonner une cessation sur dépôt de plainte de la partie agissant en justice sans audience préalable ni interrogation du défendeur si la plainte intentée peut être déduite de manière probante des informations contenues dans la plainte. Une preuve provenant du réseau de communication électronique doit être rattachée à l'action en justice, ladite preuve devant exposer ou rendre visible les contenus constituant une violation du droit.</w:t>
      </w:r>
    </w:p>
    <w:p w14:paraId="375921B7" w14:textId="77777777" w:rsidR="004C59F5" w:rsidRPr="00E61BFF" w:rsidRDefault="004C59F5" w:rsidP="000B6E75">
      <w:pPr>
        <w:pStyle w:val="51Abs"/>
      </w:pPr>
      <w:r>
        <w:t>(2) L’ordonnance de cessation doit contenir la déclaration de cessation de l’infraction alléguée et l’inscription</w:t>
      </w:r>
      <w:proofErr w:type="gramStart"/>
      <w:r>
        <w:t xml:space="preserve"> «Ordonnance</w:t>
      </w:r>
      <w:proofErr w:type="gramEnd"/>
      <w:r>
        <w:t xml:space="preserve"> de suppression et de suppression» et indiquer que le défendeur, s’il conteste la demande alléguée, soulèvera des objections à l’encontre de l’ordonnance dans un délai de quatorze jours. Il doit être informé que l’action en cessation peut uniquement être contestée par des objections et qu’en cas d’objection, la procédure ordinaire relative à l’action aura lieu.</w:t>
      </w:r>
    </w:p>
    <w:p w14:paraId="716F3707" w14:textId="77777777" w:rsidR="004C59F5" w:rsidRPr="00E61BFF" w:rsidRDefault="004C59F5" w:rsidP="000B6E75">
      <w:pPr>
        <w:pStyle w:val="51Abs"/>
      </w:pPr>
      <w:r>
        <w:t>(3) L'action en cessation doit être notifiée au défendeur en même temps que l'action en justice. Les objections à l'action en cessation peuvent uniquement être soulevées dans un délai accéléré de quatorze jours à compter de la formulation des objections. Il suffit que l'écrit souligne l'intention de soulever des objections. La décision relative aux frais compris dans l'action en cessation peut être contestée par un appel. L’article 556, paragraphe 5, l’article 557, paragraphes 2 à 6, et l’article 558, s’appliquent mutatis mutandis.</w:t>
      </w:r>
    </w:p>
    <w:p w14:paraId="529F07AB" w14:textId="77777777" w:rsidR="004C59F5" w:rsidRPr="00E61BFF" w:rsidRDefault="004C59F5" w:rsidP="000B6E75">
      <w:pPr>
        <w:pStyle w:val="51Abs"/>
      </w:pPr>
      <w:r>
        <w:t>(4) À la demande de la partie agissant en justice, le tribunal peut reconnaître la force exécutoire provisoire de la cessation demandée si l’acte défendu constituant une violation du droit continue à exercer son influence et est intolérable pour la partie agissant en justice ou entraîne des inconvénients considérables pour ladite partie ou est incompatible avec les valeurs juridiquement protégées d’un État de droit démocratique. La force exécutoire provisoire est imposée dès que la décision de la reconnaître a été signifiée et elle reste applicable jusqu'à la fin de la procédure en dernière instance. Il est interdit de faire appel contre cette décision.</w:t>
      </w:r>
    </w:p>
    <w:p w14:paraId="39F61C57" w14:textId="77777777" w:rsidR="004C59F5" w:rsidRPr="00E61BFF" w:rsidRDefault="004C59F5" w:rsidP="000B6E75">
      <w:pPr>
        <w:pStyle w:val="51Abs"/>
      </w:pPr>
      <w:r>
        <w:t>(5) Le ministre fédéral de la Justice est autorisé à publier un formulaire pour l’action en justice et la demande de dispense d’action en cessation et à le lasser à disposition sur Internet sur le site Internet du ministère de la Justice</w:t>
      </w:r>
      <w:proofErr w:type="gramStart"/>
      <w:r>
        <w:t>.»</w:t>
      </w:r>
      <w:proofErr w:type="gramEnd"/>
    </w:p>
    <w:p w14:paraId="31A9FAB1" w14:textId="77777777" w:rsidR="004C59F5" w:rsidRPr="00E61BFF" w:rsidRDefault="004C59F5" w:rsidP="00431A52">
      <w:pPr>
        <w:pStyle w:val="22NovAo2"/>
      </w:pPr>
      <w:r>
        <w:t>3. L’intitulé de la section Deuxième section est supprimé avant l’article 555.</w:t>
      </w:r>
    </w:p>
    <w:p w14:paraId="61031DE8" w14:textId="77777777" w:rsidR="004C59F5" w:rsidRPr="00E61BFF" w:rsidRDefault="004C59F5" w:rsidP="000B6E75">
      <w:pPr>
        <w:pStyle w:val="21NovAo1"/>
      </w:pPr>
      <w:r>
        <w:t>4. La septième partie suivante est ajoutée à la suite de l’article </w:t>
      </w:r>
      <w:proofErr w:type="gramStart"/>
      <w:r>
        <w:t>618:</w:t>
      </w:r>
      <w:proofErr w:type="gramEnd"/>
    </w:p>
    <w:p w14:paraId="4F9F43AB" w14:textId="77777777" w:rsidR="004C59F5" w:rsidRPr="00E61BFF" w:rsidRDefault="004C59F5" w:rsidP="00431A52">
      <w:pPr>
        <w:pStyle w:val="41UeberschrG1"/>
      </w:pPr>
      <w:proofErr w:type="gramStart"/>
      <w:r>
        <w:t>«Septième</w:t>
      </w:r>
      <w:proofErr w:type="gramEnd"/>
      <w:r>
        <w:t xml:space="preserve"> partie</w:t>
      </w:r>
    </w:p>
    <w:p w14:paraId="2BF3D0A9" w14:textId="77777777" w:rsidR="004C59F5" w:rsidRPr="00E61BFF" w:rsidRDefault="004C59F5" w:rsidP="000B6E75">
      <w:pPr>
        <w:pStyle w:val="43UeberschrG2"/>
      </w:pPr>
      <w:r>
        <w:t>Entrée en vigueur, dispositions finales et dispositions transitoires</w:t>
      </w:r>
    </w:p>
    <w:p w14:paraId="4398BF8E" w14:textId="77777777" w:rsidR="004C59F5" w:rsidRPr="00E61BFF" w:rsidRDefault="004C59F5" w:rsidP="000B6E75">
      <w:pPr>
        <w:pStyle w:val="51Abs"/>
      </w:pPr>
      <w:r>
        <w:rPr>
          <w:rStyle w:val="991GldSymbol"/>
        </w:rPr>
        <w:t>Article 619.</w:t>
      </w:r>
      <w:r>
        <w:t xml:space="preserve"> Les articles 502 et 549 et les modifications des noms des sections dans la version de la loi fédérale publiée au Journal officiel de la République d’Autriche II, no 148/2020 entrent en vigueur le 1er janvier 2021. Les articles 502 et 549 doivent être appliqués aux actions intentées après le 31 décembre 2020. L’article 502, paragraphe 5, ligne 5, de la version de la loi fédérale 148/2020 sera abrogé le 31 décembre 2030 et ne sera plus applicable aux procédures dans lesquelles l’action a été intentée après le 31 décembre 2030</w:t>
      </w:r>
      <w:proofErr w:type="gramStart"/>
      <w:r>
        <w:t>.»</w:t>
      </w:r>
      <w:proofErr w:type="gramEnd"/>
    </w:p>
    <w:p w14:paraId="55F99475" w14:textId="77777777" w:rsidR="004C59F5" w:rsidRPr="00E61BFF" w:rsidRDefault="004C59F5" w:rsidP="000B6E75">
      <w:pPr>
        <w:pStyle w:val="41UeberschrG1"/>
      </w:pPr>
      <w:r>
        <w:lastRenderedPageBreak/>
        <w:t>Article 4</w:t>
      </w:r>
      <w:r>
        <w:br/>
        <w:t>Modification du Code d’exécution des peines</w:t>
      </w:r>
    </w:p>
    <w:p w14:paraId="2AB1840F" w14:textId="77777777" w:rsidR="004C59F5" w:rsidRPr="00E61BFF" w:rsidRDefault="004C59F5" w:rsidP="00B83371">
      <w:pPr>
        <w:pStyle w:val="12PromKlEinlSatz"/>
        <w:ind w:firstLine="0"/>
      </w:pPr>
      <w:r>
        <w:t xml:space="preserve">Le Code d’exécution des peines publié au Journal officiel de la République d’Autriche no 79/1896, modifié en dernier lieu par la loi fédérale publiée au Journal officiel de la République d’Autriche I, no 16/2020, est modifié comme </w:t>
      </w:r>
      <w:proofErr w:type="gramStart"/>
      <w:r>
        <w:t>suit:</w:t>
      </w:r>
      <w:proofErr w:type="gramEnd"/>
    </w:p>
    <w:p w14:paraId="7724051E" w14:textId="77777777" w:rsidR="004C59F5" w:rsidRPr="00E61BFF" w:rsidRDefault="004C59F5" w:rsidP="00431A52">
      <w:pPr>
        <w:pStyle w:val="22NovAo2"/>
      </w:pPr>
      <w:r>
        <w:t xml:space="preserve">À l’article 1, ligne 2, la mention «et d’injonction de </w:t>
      </w:r>
      <w:proofErr w:type="gramStart"/>
      <w:r>
        <w:t>payer»</w:t>
      </w:r>
      <w:proofErr w:type="gramEnd"/>
      <w:r>
        <w:t xml:space="preserve"> et la mention «ainsi que dans les procédures de responsabilité publique» et à la fin, avant le point-virgule, l’expression «ainsi que les actions en cessation aux termes de l’article 549 du Code de procédure civile contre lesquelles des objections sont formulées en dehors des délais prescrits ou dont la force exécutoire provisoire a été reconnue» est insérée.</w:t>
      </w:r>
    </w:p>
    <w:p w14:paraId="3BE54FA7" w14:textId="77777777" w:rsidR="004C59F5" w:rsidRPr="00E61BFF" w:rsidRDefault="004C59F5" w:rsidP="000B6E75">
      <w:pPr>
        <w:pStyle w:val="41UeberschrG1"/>
      </w:pPr>
      <w:r>
        <w:t>Article 5</w:t>
      </w:r>
      <w:r>
        <w:br/>
        <w:t>Modification de la loi sur les honoraires d’avocat</w:t>
      </w:r>
    </w:p>
    <w:p w14:paraId="58C607D0" w14:textId="77777777" w:rsidR="004C59F5" w:rsidRPr="00E61BFF" w:rsidRDefault="004C59F5" w:rsidP="000B6E75">
      <w:pPr>
        <w:pStyle w:val="12PromKlEinlSatz"/>
      </w:pPr>
      <w:r>
        <w:t>La loi sur les honoraires d’avocats (abrégée</w:t>
      </w:r>
      <w:proofErr w:type="gramStart"/>
      <w:r>
        <w:t xml:space="preserve"> «RATG</w:t>
      </w:r>
      <w:proofErr w:type="gramEnd"/>
      <w:r>
        <w:t>» en allemand) publiée au Journal officiel de la République d'Autriche no 189/1969, modifiée en dernier lieu par la loi fédérale publiée au Journal officiel de la République d’Autriche I, no 19/2020, est modifiée comme suit:</w:t>
      </w:r>
    </w:p>
    <w:p w14:paraId="4026A4C8" w14:textId="77777777" w:rsidR="004C59F5" w:rsidRPr="00E61BFF" w:rsidRDefault="004C59F5" w:rsidP="00431A52">
      <w:pPr>
        <w:pStyle w:val="22NovAo2"/>
      </w:pPr>
      <w:r>
        <w:t>1. À l’article 10, paragraphe 6, l’expression</w:t>
      </w:r>
      <w:proofErr w:type="gramStart"/>
      <w:r>
        <w:t xml:space="preserve"> «l’article</w:t>
      </w:r>
      <w:proofErr w:type="gramEnd"/>
      <w:r>
        <w:t> 20 et» est ajoutée à la suite du terme «aux termes de».</w:t>
      </w:r>
    </w:p>
    <w:p w14:paraId="258C6DEA" w14:textId="77777777" w:rsidR="004C59F5" w:rsidRPr="00E61BFF" w:rsidRDefault="004C59F5" w:rsidP="000B6E75">
      <w:pPr>
        <w:pStyle w:val="21NovAo1"/>
      </w:pPr>
      <w:r>
        <w:t>2. La dernière phrase suivante est insérée après l’article 10, paragraphe 6, point b</w:t>
      </w:r>
      <w:proofErr w:type="gramStart"/>
      <w:r>
        <w:t>):</w:t>
      </w:r>
      <w:proofErr w:type="gramEnd"/>
    </w:p>
    <w:p w14:paraId="17617B02" w14:textId="77777777" w:rsidR="004C59F5" w:rsidRPr="00E61BFF" w:rsidRDefault="004C59F5" w:rsidP="00431A52">
      <w:pPr>
        <w:pStyle w:val="23SatznachNovao"/>
      </w:pPr>
      <w:proofErr w:type="gramStart"/>
      <w:r>
        <w:t>«dans</w:t>
      </w:r>
      <w:proofErr w:type="gramEnd"/>
      <w:r>
        <w:t xml:space="preserve"> les actions en cessation en vertu de l’article 549 du Code de procédure civile, l’objet est évalué à 5 000 EUR;»</w:t>
      </w:r>
    </w:p>
    <w:p w14:paraId="11B8BCC4" w14:textId="77777777" w:rsidR="004C59F5" w:rsidRPr="00E61BFF" w:rsidRDefault="004C59F5" w:rsidP="000B6E75">
      <w:pPr>
        <w:pStyle w:val="21NovAo1"/>
      </w:pPr>
      <w:r>
        <w:t>3. Le paragraphe 3 suivant est ajouté à l’article 26</w:t>
      </w:r>
      <w:proofErr w:type="gramStart"/>
      <w:r>
        <w:t>a:</w:t>
      </w:r>
      <w:proofErr w:type="gramEnd"/>
    </w:p>
    <w:p w14:paraId="772E7827" w14:textId="77777777" w:rsidR="004C59F5" w:rsidRPr="00E61BFF" w:rsidRDefault="004C59F5" w:rsidP="000B6E75">
      <w:pPr>
        <w:pStyle w:val="51Abs"/>
      </w:pPr>
      <w:proofErr w:type="gramStart"/>
      <w:r>
        <w:t>«(</w:t>
      </w:r>
      <w:proofErr w:type="gramEnd"/>
      <w:r>
        <w:t>3) Article 10, poste tarifaire 2, section I(1)(b) et (c), poste tarifaire 3 A, section I(1)(b) et poste tarifaire 4, section I(2), tels que modifiés par la loi fédérale, Journal officiel fédéral I no 148/2020, entrent en vigueur le 1er janvier 2021.»</w:t>
      </w:r>
    </w:p>
    <w:p w14:paraId="4CC45EE9" w14:textId="77777777" w:rsidR="004C59F5" w:rsidRPr="00E61BFF" w:rsidRDefault="004C59F5" w:rsidP="00431A52">
      <w:pPr>
        <w:pStyle w:val="22NovAo2"/>
      </w:pPr>
      <w:r>
        <w:t>4. Au poste tarifaire 2, section I, point 1 b), le mot</w:t>
      </w:r>
      <w:proofErr w:type="gramStart"/>
      <w:r>
        <w:rPr>
          <w:i w:val="0"/>
        </w:rPr>
        <w:t xml:space="preserve"> «Recours</w:t>
      </w:r>
      <w:proofErr w:type="gramEnd"/>
      <w:r>
        <w:rPr>
          <w:i w:val="0"/>
        </w:rPr>
        <w:t xml:space="preserve"> du mandat»</w:t>
      </w:r>
      <w:r>
        <w:t xml:space="preserve">; est remplacé par l’expression </w:t>
      </w:r>
      <w:r>
        <w:rPr>
          <w:i w:val="0"/>
        </w:rPr>
        <w:t>«Recours et demandes au titre de l’article 549 ZPO»</w:t>
      </w:r>
      <w:r>
        <w:t>.</w:t>
      </w:r>
    </w:p>
    <w:p w14:paraId="2479FC78" w14:textId="77777777" w:rsidR="004C59F5" w:rsidRPr="00E61BFF" w:rsidRDefault="004C59F5" w:rsidP="00431A52">
      <w:pPr>
        <w:pStyle w:val="22NovAo2"/>
      </w:pPr>
      <w:r>
        <w:t>5. Au poste tarifaire 2, section I, point 1 c), première phrase, après le mot</w:t>
      </w:r>
      <w:proofErr w:type="gramStart"/>
      <w:r>
        <w:t xml:space="preserve"> </w:t>
      </w:r>
      <w:r>
        <w:rPr>
          <w:i w:val="0"/>
        </w:rPr>
        <w:t>«Ordres</w:t>
      </w:r>
      <w:proofErr w:type="gramEnd"/>
      <w:r>
        <w:rPr>
          <w:i w:val="0"/>
        </w:rPr>
        <w:t xml:space="preserve"> de paiement»</w:t>
      </w:r>
      <w:r>
        <w:t xml:space="preserve"> l’expression </w:t>
      </w:r>
      <w:r>
        <w:rPr>
          <w:i w:val="0"/>
        </w:rPr>
        <w:t>«et contre les injonctions visées à l’article 549 ZPO»</w:t>
      </w:r>
      <w:r>
        <w:t xml:space="preserve"> sont insérées et le mot </w:t>
      </w:r>
      <w:r>
        <w:rPr>
          <w:i w:val="0"/>
        </w:rPr>
        <w:t>«Ordre de paiement»</w:t>
      </w:r>
      <w:r>
        <w:t xml:space="preserve"> est remplacé par l’expression </w:t>
      </w:r>
      <w:r>
        <w:rPr>
          <w:i w:val="0"/>
        </w:rPr>
        <w:t>«Ordre de paiement ou d’injonction»</w:t>
      </w:r>
      <w:r>
        <w:t>.</w:t>
      </w:r>
    </w:p>
    <w:p w14:paraId="76D749AD" w14:textId="77777777" w:rsidR="004C59F5" w:rsidRPr="00E61BFF" w:rsidRDefault="00431A52" w:rsidP="00431A52">
      <w:pPr>
        <w:pStyle w:val="22NovAo2"/>
      </w:pPr>
      <w:r>
        <w:t>6. Au point 2 de la taxe, section I, point 1 c), la deuxième moitié de phrase après le mot</w:t>
      </w:r>
      <w:proofErr w:type="gramStart"/>
      <w:r>
        <w:t xml:space="preserve"> </w:t>
      </w:r>
      <w:r>
        <w:rPr>
          <w:i w:val="0"/>
        </w:rPr>
        <w:t>«Ordonnances</w:t>
      </w:r>
      <w:proofErr w:type="gramEnd"/>
      <w:r>
        <w:rPr>
          <w:i w:val="0"/>
        </w:rPr>
        <w:t xml:space="preserve"> de paiement»</w:t>
      </w:r>
      <w:r>
        <w:t xml:space="preserve">, l’expression </w:t>
      </w:r>
      <w:r>
        <w:rPr>
          <w:i w:val="0"/>
        </w:rPr>
        <w:t>«et contre les injonctions visées à l’article 549 ZPO»</w:t>
      </w:r>
      <w:r>
        <w:t xml:space="preserve"> est insérée.</w:t>
      </w:r>
    </w:p>
    <w:p w14:paraId="3C3279FE" w14:textId="77777777" w:rsidR="004C59F5" w:rsidRPr="00E61BFF" w:rsidRDefault="004C59F5" w:rsidP="00431A52">
      <w:pPr>
        <w:pStyle w:val="22NovAo2"/>
      </w:pPr>
      <w:r>
        <w:t>6. Au point 3 A, section I, point 1 b), après le mot</w:t>
      </w:r>
      <w:proofErr w:type="gramStart"/>
      <w:r>
        <w:t xml:space="preserve"> </w:t>
      </w:r>
      <w:r>
        <w:rPr>
          <w:i w:val="0"/>
        </w:rPr>
        <w:t>«Ordonnances</w:t>
      </w:r>
      <w:proofErr w:type="gramEnd"/>
      <w:r>
        <w:rPr>
          <w:i w:val="0"/>
        </w:rPr>
        <w:t xml:space="preserve"> de paiement»</w:t>
      </w:r>
      <w:r>
        <w:t xml:space="preserve">, l’expression </w:t>
      </w:r>
      <w:r>
        <w:rPr>
          <w:i w:val="0"/>
        </w:rPr>
        <w:t>«et contre les injonctions visées à l’article 549 ZPO»</w:t>
      </w:r>
      <w:r>
        <w:t xml:space="preserve"> est insérée.</w:t>
      </w:r>
    </w:p>
    <w:p w14:paraId="777EE0C2" w14:textId="77777777" w:rsidR="004C59F5" w:rsidRPr="00E61BFF" w:rsidRDefault="004C59F5" w:rsidP="00431A52">
      <w:pPr>
        <w:pStyle w:val="22NovAo2"/>
      </w:pPr>
      <w:r>
        <w:t xml:space="preserve">7. Au poste tarifaire 4, section </w:t>
      </w:r>
      <w:proofErr w:type="gramStart"/>
      <w:r>
        <w:t>I(</w:t>
      </w:r>
      <w:proofErr w:type="gramEnd"/>
      <w:r>
        <w:t xml:space="preserve">2), insérer les mots </w:t>
      </w:r>
      <w:r>
        <w:rPr>
          <w:i w:val="0"/>
        </w:rPr>
        <w:t>«, 33a»</w:t>
      </w:r>
      <w:r>
        <w:t xml:space="preserve">; après la citation </w:t>
      </w:r>
      <w:r>
        <w:rPr>
          <w:i w:val="0"/>
        </w:rPr>
        <w:t>«33(2)»</w:t>
      </w:r>
      <w:r>
        <w:t>.</w:t>
      </w:r>
    </w:p>
    <w:p w14:paraId="59816A5C" w14:textId="77777777" w:rsidR="004C59F5" w:rsidRPr="00E61BFF" w:rsidRDefault="004C59F5" w:rsidP="000B6E75">
      <w:pPr>
        <w:pStyle w:val="41UeberschrG1"/>
      </w:pPr>
      <w:r>
        <w:t>Article 6</w:t>
      </w:r>
      <w:r>
        <w:br/>
        <w:t>Modification de la loi sur le commerce électronique</w:t>
      </w:r>
    </w:p>
    <w:p w14:paraId="536C23A0" w14:textId="77777777" w:rsidR="004C59F5" w:rsidRPr="00E61BFF" w:rsidRDefault="00431A52" w:rsidP="000B6E75">
      <w:pPr>
        <w:pStyle w:val="12PromKlEinlSatz"/>
      </w:pPr>
      <w:r>
        <w:t>La loi sur le commerce électronique [E</w:t>
      </w:r>
      <w:r>
        <w:noBreakHyphen/>
        <w:t>Commerce-</w:t>
      </w:r>
      <w:proofErr w:type="spellStart"/>
      <w:r>
        <w:t>Gesetz</w:t>
      </w:r>
      <w:proofErr w:type="spellEnd"/>
      <w:r>
        <w:t xml:space="preserve"> – ECG en allemand] publiée au Journal officiel de la République d’Autriche I, no 152/2001, modifiée en dernier lieu par la loi fédérale publiée au Journal officiel de la République d’Autriche I, nº 34/2015, est modifiée comme </w:t>
      </w:r>
      <w:proofErr w:type="gramStart"/>
      <w:r>
        <w:t>suit:</w:t>
      </w:r>
      <w:proofErr w:type="gramEnd"/>
    </w:p>
    <w:p w14:paraId="769FA27D" w14:textId="77777777" w:rsidR="004C59F5" w:rsidRPr="00E61BFF" w:rsidRDefault="004C59F5" w:rsidP="000B6E75">
      <w:pPr>
        <w:pStyle w:val="21NovAo1"/>
      </w:pPr>
      <w:r>
        <w:t>1. Le paragraphe 4a suivant est inséré après l'article 18, paragraphe </w:t>
      </w:r>
      <w:proofErr w:type="gramStart"/>
      <w:r>
        <w:t>4:</w:t>
      </w:r>
      <w:proofErr w:type="gramEnd"/>
    </w:p>
    <w:p w14:paraId="65298ECB" w14:textId="77777777" w:rsidR="004C59F5" w:rsidRPr="00E61BFF" w:rsidRDefault="004C59F5" w:rsidP="000B6E75">
      <w:pPr>
        <w:pStyle w:val="51Abs"/>
      </w:pPr>
      <w:proofErr w:type="gramStart"/>
      <w:r>
        <w:t>«(</w:t>
      </w:r>
      <w:proofErr w:type="gramEnd"/>
      <w:r>
        <w:t>4a) L'action visée à l'article 18, paragraphe 4, doit être introduite auprès du tribunal désigné comme juridiction de première instance pour les litiges commerciaux dans les procédures autres que les litiges.»</w:t>
      </w:r>
    </w:p>
    <w:p w14:paraId="0657E57B" w14:textId="77777777" w:rsidR="004C59F5" w:rsidRPr="00E61BFF" w:rsidRDefault="004C59F5" w:rsidP="000B6E75">
      <w:pPr>
        <w:pStyle w:val="21NovAo1"/>
      </w:pPr>
      <w:r>
        <w:t>2. Le paragraphe 3 suivant est ajouté à l'article </w:t>
      </w:r>
      <w:proofErr w:type="gramStart"/>
      <w:r>
        <w:t>28:</w:t>
      </w:r>
      <w:proofErr w:type="gramEnd"/>
    </w:p>
    <w:p w14:paraId="750B4A17" w14:textId="77777777" w:rsidR="004C59F5" w:rsidRPr="00E61BFF" w:rsidRDefault="004C59F5" w:rsidP="000B6E75">
      <w:pPr>
        <w:pStyle w:val="51Abs"/>
      </w:pPr>
      <w:proofErr w:type="gramStart"/>
      <w:r>
        <w:t>«(</w:t>
      </w:r>
      <w:proofErr w:type="gramEnd"/>
      <w:r>
        <w:t>3) L’article 18, paragraphe 4a, dans la version de la loi fédérale publiée au Journal officiel de la République d’Autriche I. no 148/2020 entre en vigueur le 1er janvier 2021 et ne s’applique pas aux litiges en instance avant l’entrée en vigueur de cette loi fédérale.»</w:t>
      </w:r>
    </w:p>
    <w:p w14:paraId="4D264D37" w14:textId="77777777" w:rsidR="004C59F5" w:rsidRPr="00E61BFF" w:rsidRDefault="004C59F5" w:rsidP="000B6E75">
      <w:pPr>
        <w:pStyle w:val="41UeberschrG1"/>
      </w:pPr>
      <w:r>
        <w:lastRenderedPageBreak/>
        <w:t>Article 7</w:t>
      </w:r>
      <w:r>
        <w:br/>
        <w:t>Modification de la loi sur les frais de justice</w:t>
      </w:r>
    </w:p>
    <w:p w14:paraId="6019DABC" w14:textId="77777777" w:rsidR="004C59F5" w:rsidRPr="00E61BFF" w:rsidRDefault="004C59F5" w:rsidP="000B6E75">
      <w:pPr>
        <w:pStyle w:val="12PromKlEinlSatz"/>
      </w:pPr>
      <w:r>
        <w:t>La loi sur les frais de justice (GGG) publiée au Journal officiel de la République d’Autriche no 501/1984, modifiée en dernier lieu par la loi fédérale publiée au Journal officiel de la République d’Autriche I no ##/20##, est modifiée comme suit:</w:t>
      </w:r>
    </w:p>
    <w:p w14:paraId="5AE95069" w14:textId="77777777" w:rsidR="004C59F5" w:rsidRPr="00E61BFF" w:rsidRDefault="004C59F5" w:rsidP="000B6E75">
      <w:pPr>
        <w:pStyle w:val="21NovAo1"/>
      </w:pPr>
      <w:r>
        <w:t>1. À l’article 16, paragraphe 1, ligne 1, la lettre e suivante est insérée après la lettre </w:t>
      </w:r>
      <w:proofErr w:type="gramStart"/>
      <w:r>
        <w:t>d:</w:t>
      </w:r>
      <w:proofErr w:type="gramEnd"/>
    </w:p>
    <w:p w14:paraId="43BEBE7C" w14:textId="77777777" w:rsidR="004C59F5" w:rsidRPr="00E61BFF" w:rsidRDefault="00431A52" w:rsidP="00431A52">
      <w:pPr>
        <w:pStyle w:val="52Aufzaehle2Lit"/>
      </w:pPr>
      <w:r>
        <w:tab/>
      </w:r>
      <w:proofErr w:type="gramStart"/>
      <w:r>
        <w:t>«e</w:t>
      </w:r>
      <w:proofErr w:type="gramEnd"/>
      <w:r>
        <w:t>) Procédure simplifiée d’injonction de payer aux termes de l'article 549 du Code de procédure civile;»</w:t>
      </w:r>
      <w:r>
        <w:tab/>
      </w:r>
    </w:p>
    <w:p w14:paraId="079E7BEF" w14:textId="77777777" w:rsidR="004C59F5" w:rsidRPr="00E61BFF" w:rsidRDefault="004C59F5" w:rsidP="000B6E75">
      <w:pPr>
        <w:pStyle w:val="21NovAo1"/>
      </w:pPr>
      <w:r>
        <w:t xml:space="preserve">2. Au poste tarifaire 12 c), le premier alinéa suivant est inséré avant le paragraphe </w:t>
      </w:r>
      <w:proofErr w:type="gramStart"/>
      <w:r>
        <w:t>2:</w:t>
      </w:r>
      <w:proofErr w:type="gramEnd"/>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Poste tarifaire</w:t>
            </w:r>
          </w:p>
        </w:tc>
        <w:tc>
          <w:tcPr>
            <w:tcW w:w="4283" w:type="dxa"/>
            <w:vAlign w:val="center"/>
          </w:tcPr>
          <w:p w14:paraId="6FC1CBD3" w14:textId="77777777" w:rsidR="004C59F5" w:rsidRPr="00E61BFF" w:rsidRDefault="004C59F5" w:rsidP="00220685">
            <w:pPr>
              <w:pStyle w:val="83ErlText"/>
            </w:pPr>
            <w:r>
              <w:t>Objet</w:t>
            </w:r>
          </w:p>
        </w:tc>
        <w:tc>
          <w:tcPr>
            <w:tcW w:w="1931" w:type="dxa"/>
            <w:vAlign w:val="center"/>
          </w:tcPr>
          <w:p w14:paraId="78B54F17" w14:textId="77777777" w:rsidR="004C59F5" w:rsidRPr="00E61BFF" w:rsidRDefault="004C59F5" w:rsidP="00220685">
            <w:pPr>
              <w:pStyle w:val="83ErlText"/>
            </w:pPr>
            <w:r>
              <w:t>Barème d'évaluation des frais</w:t>
            </w:r>
          </w:p>
        </w:tc>
        <w:tc>
          <w:tcPr>
            <w:tcW w:w="1275" w:type="dxa"/>
            <w:vAlign w:val="center"/>
          </w:tcPr>
          <w:p w14:paraId="5EA825DB" w14:textId="77777777" w:rsidR="004C59F5" w:rsidRPr="00E61BFF" w:rsidRDefault="004C59F5" w:rsidP="00220685">
            <w:pPr>
              <w:pStyle w:val="83ErlText"/>
            </w:pPr>
            <w:r>
              <w:t>Montant des frais</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Procédure pour une demande de communication d’informations aux termes de l'article 18, paragraphe 4a, de la loi sur le commerce électronique,</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 »</w:t>
            </w:r>
          </w:p>
        </w:tc>
      </w:tr>
    </w:tbl>
    <w:p w14:paraId="646785B8" w14:textId="77777777" w:rsidR="004C59F5" w:rsidRPr="00E61BFF" w:rsidRDefault="004C59F5" w:rsidP="000B6E75">
      <w:pPr>
        <w:pStyle w:val="21NovAo1"/>
      </w:pPr>
      <w:r>
        <w:t xml:space="preserve">3. Au poste tarifaire 13, le point a) est libellé comme </w:t>
      </w:r>
      <w:proofErr w:type="gramStart"/>
      <w:r>
        <w:t>suit:</w:t>
      </w:r>
      <w:proofErr w:type="gramEnd"/>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proofErr w:type="gramStart"/>
            <w:r>
              <w:t>«a</w:t>
            </w:r>
            <w:proofErr w:type="gramEnd"/>
            <w:r>
              <w:t>)</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 xml:space="preserve">Action privée et réclamation du procureur privé pour l’émission d’injonctions de capitaux en vertu de l’article 445 de la </w:t>
            </w:r>
            <w:proofErr w:type="spellStart"/>
            <w:r>
              <w:t>StPO</w:t>
            </w:r>
            <w:proofErr w:type="spellEnd"/>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 xml:space="preserve">269 </w:t>
            </w:r>
            <w:proofErr w:type="gramStart"/>
            <w:r>
              <w:t>EUR»</w:t>
            </w:r>
            <w:proofErr w:type="gramEnd"/>
          </w:p>
        </w:tc>
      </w:tr>
    </w:tbl>
    <w:p w14:paraId="0A1E21A4" w14:textId="77777777" w:rsidR="004C59F5" w:rsidRPr="00E61BFF" w:rsidRDefault="004C59F5" w:rsidP="000B6E75">
      <w:pPr>
        <w:pStyle w:val="21NovAo1"/>
      </w:pPr>
      <w:r>
        <w:t xml:space="preserve">4. À l’article VI, la ligne 71 suivante est </w:t>
      </w:r>
      <w:proofErr w:type="gramStart"/>
      <w:r>
        <w:t>ajoutée:</w:t>
      </w:r>
      <w:proofErr w:type="gramEnd"/>
    </w:p>
    <w:p w14:paraId="40FD5690" w14:textId="77777777" w:rsidR="004C59F5" w:rsidRPr="00E61BFF" w:rsidRDefault="004C59F5" w:rsidP="000B6E75">
      <w:pPr>
        <w:pStyle w:val="52Aufzaehle1Ziffer"/>
      </w:pPr>
      <w:r>
        <w:tab/>
        <w:t>«71.</w:t>
      </w:r>
      <w:r>
        <w:tab/>
        <w:t>L’article 16, paragraphe 1, poste tarifaire 12, lettre c, ligne 1 et poste tarifaire 13, lettre a dans la version de la loi fédérale publiée au Journal officiel de la République d’Autriche I no 148/2020 entre en vigueur le 1er janvier 2021. L'article 31a s’applique aux actes donnant lieu à la liquidation de frais nouvellement établis par la présente loi fédérale sous réserve que la situation à la base de la révision soit l’indice final publié pour mars 2017 dans l'indice des prix à la consommation publié par l'Office fédéral de la statistique d'Autriche</w:t>
      </w:r>
      <w:proofErr w:type="gramStart"/>
      <w:r>
        <w:t>.»</w:t>
      </w:r>
      <w:proofErr w:type="gramEnd"/>
    </w:p>
    <w:p w14:paraId="51EE9ED0" w14:textId="77777777" w:rsidR="004C59F5" w:rsidRPr="00E61BFF" w:rsidRDefault="004C59F5" w:rsidP="000B6E75">
      <w:pPr>
        <w:pStyle w:val="41UeberschrG1"/>
      </w:pPr>
      <w:r>
        <w:t>Article 8</w:t>
      </w:r>
    </w:p>
    <w:p w14:paraId="4A4F7CDC" w14:textId="77777777" w:rsidR="004C59F5" w:rsidRPr="00E61BFF" w:rsidRDefault="004C59F5" w:rsidP="000B6E75">
      <w:pPr>
        <w:pStyle w:val="43UeberschrG2"/>
      </w:pPr>
      <w:r>
        <w:t>Modification du Code pénal</w:t>
      </w:r>
    </w:p>
    <w:p w14:paraId="6675E1F4" w14:textId="77777777" w:rsidR="004C59F5" w:rsidRPr="00E61BFF" w:rsidRDefault="004C59F5" w:rsidP="000B6E75">
      <w:pPr>
        <w:pStyle w:val="12PromKlEinlSatz"/>
      </w:pPr>
      <w:r>
        <w:t xml:space="preserve">Le Code pénal, Journal officiel fédéral no 60/1974, modifié en dernier lieu par la loi fédérale Journal officiel fédéral I no 111/2019, est modifié comme </w:t>
      </w:r>
      <w:proofErr w:type="gramStart"/>
      <w:r>
        <w:t>suit:</w:t>
      </w:r>
      <w:proofErr w:type="gramEnd"/>
    </w:p>
    <w:p w14:paraId="536A4C45" w14:textId="77777777" w:rsidR="004C59F5" w:rsidRPr="00E61BFF" w:rsidRDefault="004C59F5" w:rsidP="000B6E75">
      <w:pPr>
        <w:pStyle w:val="21NovAo1"/>
      </w:pPr>
      <w:r>
        <w:t xml:space="preserve">1. L’article 107 quater et son intitulé sont formulés comme </w:t>
      </w:r>
      <w:proofErr w:type="gramStart"/>
      <w:r>
        <w:t>suit:</w:t>
      </w:r>
      <w:proofErr w:type="gramEnd"/>
    </w:p>
    <w:p w14:paraId="2FFCCBDC" w14:textId="77777777" w:rsidR="004C59F5" w:rsidRPr="00E61BFF" w:rsidRDefault="004C59F5" w:rsidP="000B6E75">
      <w:pPr>
        <w:pStyle w:val="45UeberschrPara"/>
      </w:pPr>
      <w:proofErr w:type="gramStart"/>
      <w:r>
        <w:t>«Harcèlement</w:t>
      </w:r>
      <w:proofErr w:type="gramEnd"/>
      <w:r>
        <w:t xml:space="preserve"> continu au moyen des télécommunications ou d’un système informatique</w:t>
      </w:r>
    </w:p>
    <w:p w14:paraId="102573C4" w14:textId="77777777" w:rsidR="004C59F5" w:rsidRPr="00E61BFF" w:rsidRDefault="004C59F5" w:rsidP="000B6E75">
      <w:pPr>
        <w:pStyle w:val="51Abs"/>
      </w:pPr>
      <w:r>
        <w:rPr>
          <w:rStyle w:val="991GldSymbol"/>
        </w:rPr>
        <w:t>Article 107 quater.</w:t>
      </w:r>
      <w:r>
        <w:t xml:space="preserve"> (1) Quiconque rend accessible au moyen de télécommunications ou à l’aide d’un système informatique, d’une manière susceptible de nuire de façon déraisonnable au mode de vie d’une personne,</w:t>
      </w:r>
    </w:p>
    <w:p w14:paraId="07D6EC91" w14:textId="77777777" w:rsidR="004C59F5" w:rsidRPr="00E61BFF" w:rsidRDefault="004C59F5" w:rsidP="000B6E75">
      <w:pPr>
        <w:pStyle w:val="52Aufzaehle1Ziffer"/>
      </w:pPr>
      <w:r>
        <w:tab/>
        <w:t>1.</w:t>
      </w:r>
      <w:r>
        <w:tab/>
        <w:t xml:space="preserve">percevoir un acte criminel portant atteinte à l’honneur d’une personne pour un plus grand nombre de personnes pendant une période plus </w:t>
      </w:r>
      <w:proofErr w:type="gramStart"/>
      <w:r>
        <w:t>longue;</w:t>
      </w:r>
      <w:proofErr w:type="gramEnd"/>
      <w:r>
        <w:t xml:space="preserve"> ou</w:t>
      </w:r>
    </w:p>
    <w:p w14:paraId="5B3E194B" w14:textId="77777777" w:rsidR="004C59F5" w:rsidRPr="00E61BFF" w:rsidRDefault="004C59F5" w:rsidP="000B6E75">
      <w:pPr>
        <w:pStyle w:val="52Aufzaehle1Ziffer"/>
      </w:pPr>
      <w:r>
        <w:tab/>
        <w:t>2.</w:t>
      </w:r>
      <w:r>
        <w:tab/>
        <w:t>rend un fait ou une image de la vie personnelle de la personne perceptible pendant une plus longue période à un plus grand nombre de personnes sans leur consentement,</w:t>
      </w:r>
    </w:p>
    <w:p w14:paraId="785D28EF" w14:textId="77777777" w:rsidR="004C59F5" w:rsidRPr="00E61BFF" w:rsidRDefault="004C59F5" w:rsidP="00220685">
      <w:pPr>
        <w:pStyle w:val="58Schlussteile0Abs"/>
      </w:pPr>
      <w:proofErr w:type="gramStart"/>
      <w:r>
        <w:t>est</w:t>
      </w:r>
      <w:proofErr w:type="gramEnd"/>
      <w:r>
        <w:t xml:space="preserve"> passible d’une peine d’emprisonnement pouvant aller jusqu’à un an ou d’une amende pouvant aller jusqu’à 720 taux journaliers.</w:t>
      </w:r>
    </w:p>
    <w:p w14:paraId="28F85F19" w14:textId="77777777" w:rsidR="004C59F5" w:rsidRPr="00E61BFF" w:rsidRDefault="004C59F5" w:rsidP="000B6E75">
      <w:pPr>
        <w:pStyle w:val="51Abs"/>
      </w:pPr>
      <w:r>
        <w:t>(2) Lorsque l’infraction entraîne le suicide ou la tentative de suicide de la personne blessée au sens du paragraphe 1, l’auteur de l’infraction continue de commettre des actes contre la personne blessée dans un délai supérieur à un an ou dépasse la durée de perception visée au paragraphe 1 du présent article pendant un an, l’auteur de l’infraction est passible d’une peine d’emprisonnement pouvant aller jusqu’à trois ans</w:t>
      </w:r>
      <w:proofErr w:type="gramStart"/>
      <w:r>
        <w:t>.»</w:t>
      </w:r>
      <w:proofErr w:type="gramEnd"/>
    </w:p>
    <w:p w14:paraId="5B6508BD" w14:textId="77777777" w:rsidR="004C59F5" w:rsidRPr="00E61BFF" w:rsidRDefault="004C59F5" w:rsidP="000B6E75">
      <w:pPr>
        <w:pStyle w:val="21NovAo1"/>
      </w:pPr>
      <w:r>
        <w:t xml:space="preserve">2. L’article 120 bis suivant et son intitulé sont ajoutés à la suite de l’article </w:t>
      </w:r>
      <w:proofErr w:type="gramStart"/>
      <w:r>
        <w:t>120:</w:t>
      </w:r>
      <w:proofErr w:type="gramEnd"/>
    </w:p>
    <w:p w14:paraId="4E0D1F83" w14:textId="77777777" w:rsidR="004C59F5" w:rsidRPr="00E61BFF" w:rsidRDefault="004C59F5" w:rsidP="000B6E75">
      <w:pPr>
        <w:pStyle w:val="45UeberschrPara"/>
      </w:pPr>
      <w:proofErr w:type="gramStart"/>
      <w:r>
        <w:t>«Captures</w:t>
      </w:r>
      <w:proofErr w:type="gramEnd"/>
      <w:r>
        <w:t xml:space="preserve"> d’images non autorisées</w:t>
      </w:r>
    </w:p>
    <w:p w14:paraId="687ED129" w14:textId="77777777" w:rsidR="004C59F5" w:rsidRPr="00E61BFF" w:rsidRDefault="004C59F5" w:rsidP="000B6E75">
      <w:pPr>
        <w:pStyle w:val="51Abs"/>
      </w:pPr>
      <w:r>
        <w:rPr>
          <w:rStyle w:val="991GldSymbol"/>
        </w:rPr>
        <w:t>Article 120 bis.</w:t>
      </w:r>
      <w:r>
        <w:t xml:space="preserve"> (1) Quiconque prend intentionnellement une photo des organes génitaux, de la zone pubienne, des fesses, des seins ou des sous-vêtements féminins couvrant ces parties du corps d’une autre personne qui a protégé ces zones de la vue ou qui se trouve dans une résidence ou dans un espace </w:t>
      </w:r>
      <w:r>
        <w:lastRenderedPageBreak/>
        <w:t>spécialement protégé contre la vue, sans son consentement, est passible d’une peine d’emprisonnement pouvant aller jusqu’à six mois ou d’une amende pouvant aller jusqu’à 360 taux journaliers.</w:t>
      </w:r>
    </w:p>
    <w:p w14:paraId="642AF34D" w14:textId="77777777" w:rsidR="004C59F5" w:rsidRPr="00E61BFF" w:rsidRDefault="004C59F5" w:rsidP="000B6E75">
      <w:pPr>
        <w:pStyle w:val="51Abs"/>
      </w:pPr>
      <w:r>
        <w:t>(2) Toute personne qui fabrique ou publie une photographie en application du paragraphe 1 sans le consentement de la personne représentée est passible d’une peine d’emprisonnement pouvant aller jusqu’à 12 mois ou d’une amende pouvant aller jusqu’à 720 taux journaliers si l’infraction n’est pas punie d’une autre disposition assortie d’une peine identique ou plus sévère.</w:t>
      </w:r>
    </w:p>
    <w:p w14:paraId="5EC4AFE8" w14:textId="77777777" w:rsidR="004C59F5" w:rsidRPr="00E61BFF" w:rsidRDefault="004C59F5" w:rsidP="000B6E75">
      <w:pPr>
        <w:pStyle w:val="51Abs"/>
      </w:pPr>
      <w:r>
        <w:t>(3) L’auteur de l’infraction n’est poursuivi qu’avec l’autorisation de la personne lésée</w:t>
      </w:r>
      <w:proofErr w:type="gramStart"/>
      <w:r>
        <w:t>.»</w:t>
      </w:r>
      <w:proofErr w:type="gramEnd"/>
    </w:p>
    <w:p w14:paraId="3A9D3671" w14:textId="77777777" w:rsidR="004C59F5" w:rsidRPr="00E61BFF" w:rsidRDefault="004C59F5" w:rsidP="00220685">
      <w:pPr>
        <w:pStyle w:val="22NovAo2"/>
      </w:pPr>
      <w:r>
        <w:t>3. À l’article 283, paragraphe 1, point 1, les mots</w:t>
      </w:r>
      <w:proofErr w:type="gramStart"/>
      <w:r>
        <w:t xml:space="preserve"> </w:t>
      </w:r>
      <w:r>
        <w:rPr>
          <w:i w:val="0"/>
        </w:rPr>
        <w:t>«physique</w:t>
      </w:r>
      <w:proofErr w:type="gramEnd"/>
      <w:r>
        <w:rPr>
          <w:i w:val="0"/>
        </w:rPr>
        <w:t xml:space="preserve"> ou mental»</w:t>
      </w:r>
      <w:r>
        <w:t xml:space="preserve"> sont supprimés avant le mot </w:t>
      </w:r>
      <w:r>
        <w:rPr>
          <w:i w:val="0"/>
        </w:rPr>
        <w:t>«handicap».</w:t>
      </w:r>
    </w:p>
    <w:p w14:paraId="3C3E5AC1" w14:textId="77777777" w:rsidR="004C59F5" w:rsidRPr="00E61BFF" w:rsidRDefault="004C59F5" w:rsidP="000B6E75">
      <w:pPr>
        <w:pStyle w:val="21NovAo1"/>
      </w:pPr>
      <w:r>
        <w:t xml:space="preserve">4. L’article 283, paragraphe 1, point 2), est libellé comme </w:t>
      </w:r>
      <w:proofErr w:type="gramStart"/>
      <w:r>
        <w:t>suit:</w:t>
      </w:r>
      <w:proofErr w:type="gramEnd"/>
    </w:p>
    <w:p w14:paraId="3F2C5F73" w14:textId="77777777" w:rsidR="004C59F5" w:rsidRPr="00E61BFF" w:rsidRDefault="004C59F5" w:rsidP="000B6E75">
      <w:pPr>
        <w:pStyle w:val="52Aufzaehle1Ziffer"/>
      </w:pPr>
      <w:r>
        <w:tab/>
        <w:t>«2.</w:t>
      </w:r>
      <w:r>
        <w:tab/>
      </w:r>
      <w:proofErr w:type="gramStart"/>
      <w:r>
        <w:t>insulte</w:t>
      </w:r>
      <w:proofErr w:type="gramEnd"/>
      <w:r>
        <w:t xml:space="preserve"> l’un des groupes visés au point 1 ou une personne en raison de son appartenance à un tel groupe avec l’intention de porter atteinte à la dignité humaine du groupe ou de la personne d’une manière susceptible d’humilier ou de rabaisser le groupe ou l’individu dans l’opinion publique, ou»</w:t>
      </w:r>
    </w:p>
    <w:p w14:paraId="2456A79B" w14:textId="77777777" w:rsidR="004C59F5" w:rsidRPr="00E61BFF" w:rsidRDefault="004C59F5" w:rsidP="000B6E75">
      <w:pPr>
        <w:pStyle w:val="41UeberschrG1"/>
      </w:pPr>
      <w:r>
        <w:t>Article 9</w:t>
      </w:r>
    </w:p>
    <w:p w14:paraId="2B689D35" w14:textId="77777777" w:rsidR="004C59F5" w:rsidRPr="00E61BFF" w:rsidRDefault="004C59F5" w:rsidP="000B6E75">
      <w:pPr>
        <w:pStyle w:val="43UeberschrG2"/>
      </w:pPr>
      <w:r>
        <w:t>Modification de la loi sur les médias</w:t>
      </w:r>
    </w:p>
    <w:p w14:paraId="6763C10F" w14:textId="77777777" w:rsidR="004C59F5" w:rsidRPr="00E61BFF" w:rsidRDefault="004C59F5" w:rsidP="000B6E75">
      <w:pPr>
        <w:pStyle w:val="12PromKlEinlSatz"/>
      </w:pPr>
      <w:r>
        <w:t>La loi fédérale sur la presse et les autres médias publics (</w:t>
      </w:r>
      <w:proofErr w:type="spellStart"/>
      <w:r>
        <w:t>Mediengesetz</w:t>
      </w:r>
      <w:proofErr w:type="spellEnd"/>
      <w:r>
        <w:t xml:space="preserve"> – </w:t>
      </w:r>
      <w:proofErr w:type="spellStart"/>
      <w:r>
        <w:t>MedienG</w:t>
      </w:r>
      <w:proofErr w:type="spellEnd"/>
      <w:r>
        <w:t xml:space="preserve">), Journal officiel fédéral no 314/1981, modifiée en dernier lieu par la loi fédérale, Journal officiel fédéral I no 32/2018, est modifiée comme </w:t>
      </w:r>
      <w:proofErr w:type="gramStart"/>
      <w:r>
        <w:t>suit:</w:t>
      </w:r>
      <w:proofErr w:type="gramEnd"/>
    </w:p>
    <w:p w14:paraId="78F24F3C" w14:textId="77777777" w:rsidR="004C59F5" w:rsidRPr="00E61BFF" w:rsidRDefault="004C59F5" w:rsidP="000B6E75">
      <w:pPr>
        <w:pStyle w:val="21NovAo1"/>
      </w:pPr>
      <w:r>
        <w:t xml:space="preserve">1. Le nom et le titre suivants sont insérés avant le paragraphe </w:t>
      </w:r>
      <w:proofErr w:type="gramStart"/>
      <w:r>
        <w:t>6:</w:t>
      </w:r>
      <w:proofErr w:type="gramEnd"/>
    </w:p>
    <w:p w14:paraId="02D6BB7E" w14:textId="77777777" w:rsidR="004C59F5" w:rsidRPr="00E61BFF" w:rsidRDefault="004C59F5" w:rsidP="000B6E75">
      <w:pPr>
        <w:pStyle w:val="41UeberschrG1"/>
      </w:pPr>
      <w:proofErr w:type="gramStart"/>
      <w:r>
        <w:t>«Première</w:t>
      </w:r>
      <w:proofErr w:type="gramEnd"/>
      <w:r>
        <w:t xml:space="preserve"> sous-section</w:t>
      </w:r>
    </w:p>
    <w:p w14:paraId="02E38CA5" w14:textId="77777777" w:rsidR="004C59F5" w:rsidRPr="00E61BFF" w:rsidRDefault="004C59F5" w:rsidP="000B6E75">
      <w:pPr>
        <w:pStyle w:val="43UeberschrG2"/>
      </w:pPr>
      <w:r>
        <w:t xml:space="preserve">Faits constitutifs </w:t>
      </w:r>
      <w:proofErr w:type="gramStart"/>
      <w:r>
        <w:t>d’indemnisation»</w:t>
      </w:r>
      <w:proofErr w:type="gramEnd"/>
    </w:p>
    <w:p w14:paraId="6E974E70" w14:textId="77777777" w:rsidR="004C59F5" w:rsidRPr="00E61BFF" w:rsidRDefault="004C59F5" w:rsidP="000B6E75">
      <w:pPr>
        <w:pStyle w:val="21NovAo1"/>
      </w:pPr>
      <w:r>
        <w:t xml:space="preserve">2. L’article 6 (1) est formulé comme </w:t>
      </w:r>
      <w:proofErr w:type="gramStart"/>
      <w:r>
        <w:t>suit:</w:t>
      </w:r>
      <w:proofErr w:type="gramEnd"/>
    </w:p>
    <w:p w14:paraId="3DA90DE0" w14:textId="77777777" w:rsidR="004C59F5" w:rsidRPr="00E61BFF" w:rsidRDefault="004C59F5" w:rsidP="000B6E75">
      <w:pPr>
        <w:pStyle w:val="51Abs"/>
      </w:pPr>
      <w:proofErr w:type="gramStart"/>
      <w:r>
        <w:t>«(</w:t>
      </w:r>
      <w:proofErr w:type="gramEnd"/>
      <w:r>
        <w:t>1) Si le fait objectif de diffamation, d’invective, de moquerie ou de calomnie dans un média est constitué, la personne concernée a droit à une indemnisation de la part du propriétaire du média pour le préjudice subi (article 8, paragraphe 1).»</w:t>
      </w:r>
    </w:p>
    <w:p w14:paraId="19863201" w14:textId="77777777" w:rsidR="004C59F5" w:rsidRPr="00E61BFF" w:rsidRDefault="004C59F5" w:rsidP="000B6E75">
      <w:pPr>
        <w:pStyle w:val="21NovAo1"/>
      </w:pPr>
      <w:r>
        <w:t xml:space="preserve">3. L’article 7 (1) est formulé comme </w:t>
      </w:r>
      <w:proofErr w:type="gramStart"/>
      <w:r>
        <w:t>suit:</w:t>
      </w:r>
      <w:proofErr w:type="gramEnd"/>
    </w:p>
    <w:p w14:paraId="4C390BDB" w14:textId="77777777" w:rsidR="004C59F5" w:rsidRPr="00E61BFF" w:rsidRDefault="004C59F5" w:rsidP="000B6E75">
      <w:pPr>
        <w:pStyle w:val="51Abs"/>
      </w:pPr>
      <w:proofErr w:type="gramStart"/>
      <w:r>
        <w:t>«(</w:t>
      </w:r>
      <w:proofErr w:type="gramEnd"/>
      <w:r>
        <w:t>1) Si l’intimité de la vie privée d’une personne est évoquée ou présentée dans un média de façon susceptible de l’exposer dans l’opinion publique, l’intéressé a droit à une indemnisation du propriétaire du média pour le préjudice subi (article 8, paragraphe 1).»</w:t>
      </w:r>
    </w:p>
    <w:p w14:paraId="4388B2F1" w14:textId="77777777" w:rsidR="004C59F5" w:rsidRPr="00E61BFF" w:rsidRDefault="004C59F5" w:rsidP="000B6E75">
      <w:pPr>
        <w:pStyle w:val="21NovAo1"/>
      </w:pPr>
      <w:r>
        <w:t xml:space="preserve">4. L’article 7 bis, paragraphe 1, est libellé comme </w:t>
      </w:r>
      <w:proofErr w:type="gramStart"/>
      <w:r>
        <w:t>suit:</w:t>
      </w:r>
      <w:proofErr w:type="gramEnd"/>
    </w:p>
    <w:p w14:paraId="6E458DFB" w14:textId="77777777" w:rsidR="004C59F5" w:rsidRPr="00E61BFF" w:rsidRDefault="004C59F5" w:rsidP="000B6E75">
      <w:pPr>
        <w:pStyle w:val="51Abs"/>
      </w:pPr>
      <w:proofErr w:type="gramStart"/>
      <w:r>
        <w:t>«(</w:t>
      </w:r>
      <w:proofErr w:type="gramEnd"/>
      <w:r>
        <w:t>1) Si le nom, l’image ou d’autres informations sont publiés dans un média qui permet de faire connaître l’identité, dans un groupe plus large de personnes qui ne sont pas directement informées, d’une personne qui</w:t>
      </w:r>
    </w:p>
    <w:p w14:paraId="7D64CC7E" w14:textId="77777777" w:rsidR="004C59F5" w:rsidRPr="00E61BFF" w:rsidRDefault="004C59F5" w:rsidP="000B6E75">
      <w:pPr>
        <w:pStyle w:val="52Aufzaehle1Ziffer"/>
      </w:pPr>
      <w:r>
        <w:tab/>
        <w:t>1.</w:t>
      </w:r>
      <w:r>
        <w:tab/>
        <w:t>a été victime [article 65, point 1, du code de procédure pénale (</w:t>
      </w:r>
      <w:proofErr w:type="spellStart"/>
      <w:r>
        <w:t>StPO</w:t>
      </w:r>
      <w:proofErr w:type="spellEnd"/>
      <w:r>
        <w:t xml:space="preserve">)] d’un acte passible de sanction judiciaire, </w:t>
      </w:r>
      <w:proofErr w:type="gramStart"/>
      <w:r>
        <w:t>ou</w:t>
      </w:r>
      <w:proofErr w:type="gramEnd"/>
    </w:p>
    <w:p w14:paraId="1F05F6C9" w14:textId="77777777" w:rsidR="004C59F5" w:rsidRPr="00E61BFF" w:rsidRDefault="004C59F5" w:rsidP="000B6E75">
      <w:pPr>
        <w:pStyle w:val="52Aufzaehle1Ziffer"/>
      </w:pPr>
      <w:r>
        <w:tab/>
        <w:t>2.</w:t>
      </w:r>
      <w:r>
        <w:tab/>
        <w:t>est soupçonnée d’un tel acte ou a été condamnée pour un tel acte,</w:t>
      </w:r>
    </w:p>
    <w:p w14:paraId="42D93DFC" w14:textId="77777777" w:rsidR="004C59F5" w:rsidRPr="00E61BFF" w:rsidRDefault="004C59F5" w:rsidP="000B6E75">
      <w:pPr>
        <w:pStyle w:val="52Aufzaehle1Ziffer"/>
      </w:pPr>
      <w:r>
        <w:tab/>
        <w:t>3.</w:t>
      </w:r>
      <w:r>
        <w:tab/>
        <w:t>a été entendue en qualité d’informateur devant une commission d’enquête du Conseil national,</w:t>
      </w:r>
    </w:p>
    <w:p w14:paraId="232BB288" w14:textId="77777777" w:rsidR="004C59F5" w:rsidRPr="00E61BFF" w:rsidRDefault="004C59F5" w:rsidP="000B6E75">
      <w:pPr>
        <w:pStyle w:val="58Schlussteile0Abs"/>
      </w:pPr>
      <w:proofErr w:type="gramStart"/>
      <w:r>
        <w:t>et</w:t>
      </w:r>
      <w:proofErr w:type="gramEnd"/>
      <w:r>
        <w:t xml:space="preserve"> si les intérêts dignes de protection de cette personne sont ainsi violés, l’intéressé a droit à une indemnisation du propriétaire du média pour le préjudice subi (article 8, paragraphe 1), sauf si, en raison de la position de l’intéressé en public, en raison d’un autre lien avec la vie publique ou pour d’autres raisons, il y avait un intérêt public majeur à publier ces informations.»</w:t>
      </w:r>
    </w:p>
    <w:p w14:paraId="5E6CD7E8" w14:textId="77777777" w:rsidR="004C59F5" w:rsidRPr="00E61BFF" w:rsidRDefault="004C59F5" w:rsidP="000B6E75">
      <w:pPr>
        <w:pStyle w:val="21NovAo1"/>
      </w:pPr>
      <w:r>
        <w:t xml:space="preserve">5. À l’article 7 bis, le paragraphe 1a suivant est ajouté après le paragraphe </w:t>
      </w:r>
      <w:proofErr w:type="gramStart"/>
      <w:r>
        <w:t>1:</w:t>
      </w:r>
      <w:proofErr w:type="gramEnd"/>
    </w:p>
    <w:p w14:paraId="10A3CA95" w14:textId="77777777" w:rsidR="004C59F5" w:rsidRPr="00E61BFF" w:rsidRDefault="004C59F5" w:rsidP="000B6E75">
      <w:pPr>
        <w:pStyle w:val="51Abs"/>
      </w:pPr>
      <w:proofErr w:type="gramStart"/>
      <w:r>
        <w:t>«(</w:t>
      </w:r>
      <w:proofErr w:type="gramEnd"/>
      <w:r>
        <w:t>1a) Si un média publie le nom ou l’image d’une personne qui</w:t>
      </w:r>
    </w:p>
    <w:p w14:paraId="769F6DCC" w14:textId="77777777" w:rsidR="004C59F5" w:rsidRPr="00E61BFF" w:rsidRDefault="004C59F5" w:rsidP="000B6E75">
      <w:pPr>
        <w:pStyle w:val="52Aufzaehle1Ziffer"/>
      </w:pPr>
      <w:r>
        <w:tab/>
        <w:t>1.</w:t>
      </w:r>
      <w:r>
        <w:tab/>
        <w:t xml:space="preserve">un parent (art. 72 </w:t>
      </w:r>
      <w:proofErr w:type="spellStart"/>
      <w:r>
        <w:t>StGB</w:t>
      </w:r>
      <w:proofErr w:type="spellEnd"/>
      <w:r>
        <w:t xml:space="preserve">) d’une personne visée à l’article 1er, paragraphes 1 ou 2, mais n’est pas lui-même une victime au sens de l’article 65, paragraphe 1, point b), du code de procédure pénale, </w:t>
      </w:r>
      <w:proofErr w:type="gramStart"/>
      <w:r>
        <w:t>ou</w:t>
      </w:r>
      <w:proofErr w:type="gramEnd"/>
    </w:p>
    <w:p w14:paraId="5D4429BD" w14:textId="77777777" w:rsidR="004C59F5" w:rsidRPr="00E61BFF" w:rsidRDefault="004C59F5" w:rsidP="000B6E75">
      <w:pPr>
        <w:pStyle w:val="52Aufzaehle1Ziffer"/>
      </w:pPr>
      <w:r>
        <w:tab/>
        <w:t>2.</w:t>
      </w:r>
      <w:r>
        <w:tab/>
        <w:t>a été témoin d’un acte passible d’une sanction judiciaire,</w:t>
      </w:r>
    </w:p>
    <w:p w14:paraId="1B02109A" w14:textId="77777777" w:rsidR="004C59F5" w:rsidRPr="00E61BFF" w:rsidRDefault="004C59F5" w:rsidP="000B6E75">
      <w:pPr>
        <w:pStyle w:val="58Schlussteile0Abs"/>
      </w:pPr>
      <w:proofErr w:type="gramStart"/>
      <w:r>
        <w:lastRenderedPageBreak/>
        <w:t>et</w:t>
      </w:r>
      <w:proofErr w:type="gramEnd"/>
      <w:r>
        <w:t xml:space="preserve"> si les intérêts dignes de protection de cette personne sont ainsi violés, l’intéressé a droit à une indemnisation du propriétaire du média pour le préjudice subi (article 8, paragraphe 1), sauf si il y avait un intérêt public majeur à publier ces informations (paragraphe 1).»</w:t>
      </w:r>
    </w:p>
    <w:p w14:paraId="3943AEB9" w14:textId="77777777" w:rsidR="004C59F5" w:rsidRPr="00E61BFF" w:rsidRDefault="004C59F5" w:rsidP="000B6E75">
      <w:pPr>
        <w:pStyle w:val="21NovAo1"/>
      </w:pPr>
      <w:r>
        <w:t xml:space="preserve">6. À l’article 7 bis, paragraphe 2, le point 1 est libellé comme </w:t>
      </w:r>
      <w:proofErr w:type="gramStart"/>
      <w:r>
        <w:t>suit:</w:t>
      </w:r>
      <w:proofErr w:type="gramEnd"/>
    </w:p>
    <w:p w14:paraId="7492D3AF" w14:textId="77777777" w:rsidR="004C59F5" w:rsidRPr="00E61BFF" w:rsidRDefault="004C59F5" w:rsidP="000B6E75">
      <w:pPr>
        <w:pStyle w:val="52Aufzaehle1Ziffer"/>
      </w:pPr>
      <w:r>
        <w:tab/>
        <w:t>«1.</w:t>
      </w:r>
      <w:r>
        <w:tab/>
      </w:r>
      <w:proofErr w:type="gramStart"/>
      <w:r>
        <w:t>est</w:t>
      </w:r>
      <w:proofErr w:type="gramEnd"/>
      <w:r>
        <w:t xml:space="preserve"> responsable, dans les cas visés au paragraphe 1(1), ou au paragraphe 1a, d’entraver la vie personnelle ou de porter atteinte aux intérêts légitimes de la victime, du parent ou du témoin en matière de sécurité;»</w:t>
      </w:r>
    </w:p>
    <w:p w14:paraId="3FCFD0AB" w14:textId="77777777" w:rsidR="004C59F5" w:rsidRPr="00E61BFF" w:rsidRDefault="004C59F5" w:rsidP="00220685">
      <w:pPr>
        <w:pStyle w:val="22NovAo2"/>
      </w:pPr>
      <w:r>
        <w:t>7. À l’article 7 </w:t>
      </w:r>
      <w:proofErr w:type="gramStart"/>
      <w:r>
        <w:t>bis(</w:t>
      </w:r>
      <w:proofErr w:type="gramEnd"/>
      <w:r>
        <w:t xml:space="preserve">3)(3), un addendum est inséré après le mot </w:t>
      </w:r>
      <w:r>
        <w:rPr>
          <w:i w:val="0"/>
        </w:rPr>
        <w:t>«concerne»</w:t>
      </w:r>
      <w:r>
        <w:t>.</w:t>
      </w:r>
    </w:p>
    <w:p w14:paraId="2284FFC6" w14:textId="77777777" w:rsidR="004C59F5" w:rsidRPr="00E61BFF" w:rsidRDefault="004C59F5" w:rsidP="000B6E75">
      <w:pPr>
        <w:pStyle w:val="21NovAo1"/>
      </w:pPr>
      <w:r>
        <w:t xml:space="preserve">8. L’article 7 ter, paragraphe 1, est libellé comme </w:t>
      </w:r>
      <w:proofErr w:type="gramStart"/>
      <w:r>
        <w:t>suit:</w:t>
      </w:r>
      <w:proofErr w:type="gramEnd"/>
    </w:p>
    <w:p w14:paraId="635505A0" w14:textId="77777777" w:rsidR="004C59F5" w:rsidRPr="00E61BFF" w:rsidRDefault="004C59F5" w:rsidP="000B6E75">
      <w:pPr>
        <w:pStyle w:val="51Abs"/>
      </w:pPr>
      <w:proofErr w:type="gramStart"/>
      <w:r>
        <w:t>«(</w:t>
      </w:r>
      <w:proofErr w:type="gramEnd"/>
      <w:r>
        <w:t>1) Si, dans un média, une personne soupçonnée d’un acte passible d’une sanction judiciaire, mais non condamnée par un jugement définitif et absolu, est déclarée convaincue ou coupable ou est désignée comme l’auteur de cet acte punissable et non pas simplement comme suspect, l’intéressé a droit à une indemnisation du propriétaire du média pour le préjudice subi (article 8, paragraphe 1).»</w:t>
      </w:r>
    </w:p>
    <w:p w14:paraId="4FC5BBE4" w14:textId="77777777" w:rsidR="004C59F5" w:rsidRPr="00E61BFF" w:rsidRDefault="004C59F5" w:rsidP="00220685">
      <w:pPr>
        <w:pStyle w:val="22NovAo2"/>
      </w:pPr>
      <w:r>
        <w:t>9. À l’article 7 quater, paragraphe 1, première phrase, le mot</w:t>
      </w:r>
      <w:proofErr w:type="gramStart"/>
      <w:r>
        <w:t xml:space="preserve"> «offense</w:t>
      </w:r>
      <w:proofErr w:type="gramEnd"/>
      <w:r>
        <w:t>» est remplacé par «préjudice personnel (article 8, paragraphe 1)»; la deuxième phrase est supprimée.</w:t>
      </w:r>
    </w:p>
    <w:p w14:paraId="6FC601D3" w14:textId="77777777" w:rsidR="004C59F5" w:rsidRPr="00E61BFF" w:rsidRDefault="004C59F5" w:rsidP="000B6E75">
      <w:pPr>
        <w:pStyle w:val="21NovAo1"/>
      </w:pPr>
      <w:r>
        <w:t xml:space="preserve">10. L’article 8, paragraphes 1 et 2, est libellé comme </w:t>
      </w:r>
      <w:proofErr w:type="gramStart"/>
      <w:r>
        <w:t>suit:</w:t>
      </w:r>
      <w:proofErr w:type="gramEnd"/>
    </w:p>
    <w:p w14:paraId="1A41005A" w14:textId="77777777" w:rsidR="004C59F5" w:rsidRPr="00E61BFF" w:rsidRDefault="004C59F5" w:rsidP="000B6E75">
      <w:pPr>
        <w:pStyle w:val="51Abs"/>
      </w:pPr>
      <w:r>
        <w:t>«1) Le montant de la compensation prévue aux articles 6, 7, 7a, 7b ou 7c est calculé au prorata de la portée, de la valeur de publication et de l’impact de la publication, ainsi que du type et de l’étendue de la distribution du support en particulier, ainsi que, dans le cas des sites web, du nombre d’utilisateurs finaux ayant accédé à la publication; les effets doivent généralement être considérés comme moindres si une publication est faite à la suite de publications comparables antérieures, mais avant que l’indemnisation soit consentie en première instance en vertu de la présente sous-section. Si une personne concernée a droit à une indemnisation en raison d’une publication en vertu de plusieurs dispositions de la présente sous-section, un seul montant d’indemnisation proportionnellement plus élevé doit être fixé. Il faut veiller à préserver l’existence économique du propriétaire du média. Le montant de l’indemnisation est d’au moins 100 EUR et le montant de 40 000 EUR ne peut toutefois dépasser le montant de 100 000 EUR conformément aux articles 6, 7 ou 7c en cas de conséquences particulièrement graves de publication et de négligence grave ou de comportement intentionnel du propriétaire des médias ou de son employé.</w:t>
      </w:r>
    </w:p>
    <w:p w14:paraId="4AB74A8C" w14:textId="77777777" w:rsidR="004C59F5" w:rsidRPr="00E61BFF" w:rsidRDefault="004C59F5" w:rsidP="000B6E75">
      <w:pPr>
        <w:pStyle w:val="51Abs"/>
      </w:pPr>
      <w:r>
        <w:t xml:space="preserve">(2) La personne concernée peut réclamer un montant d’indemnisation conformément aux articles 6, 7, 7 bis, 7 ter ou 7 quater dans les procédures pénales dans lesquelles le propriétaire du média est impliqué en tant qu’accusé ou conformément à l’article 41, paragraphe 6, jusqu’à la fin de l’audience principale. En l’absence d’une telle procédure pénale, la demande peut être présentée par une requête distincte (article 8 bis). Dans sa décision sur une demande d’indemnisation conformément aux articles 6, 7, 7a, 7b ou 7c, le tribunal n’est pas lié à l’appréciation juridique de la personne </w:t>
      </w:r>
      <w:proofErr w:type="gramStart"/>
      <w:r>
        <w:t>concernée;</w:t>
      </w:r>
      <w:proofErr w:type="gramEnd"/>
      <w:r>
        <w:t xml:space="preserve"> Celui-ci peut toutefois déclarer ne pas se prévaloir des dispositions individuelles de cette sous-section.»</w:t>
      </w:r>
    </w:p>
    <w:p w14:paraId="74B3AC21" w14:textId="77777777" w:rsidR="004C59F5" w:rsidRPr="00E61BFF" w:rsidRDefault="004C59F5" w:rsidP="00B47DC9">
      <w:pPr>
        <w:pStyle w:val="22NovAo2"/>
      </w:pPr>
      <w:r>
        <w:t>11. À l’article 8a, paragraphe 2, après les mots</w:t>
      </w:r>
      <w:proofErr w:type="gramStart"/>
      <w:r>
        <w:t xml:space="preserve"> </w:t>
      </w:r>
      <w:r>
        <w:rPr>
          <w:i w:val="0"/>
        </w:rPr>
        <w:t>«six</w:t>
      </w:r>
      <w:proofErr w:type="gramEnd"/>
      <w:r>
        <w:rPr>
          <w:i w:val="0"/>
        </w:rPr>
        <w:t xml:space="preserve"> mois»</w:t>
      </w:r>
      <w:r>
        <w:t xml:space="preserve"> les mots </w:t>
      </w:r>
      <w:r>
        <w:rPr>
          <w:i w:val="0"/>
        </w:rPr>
        <w:t xml:space="preserve">«toutefois, si le demandeur est une victime au sens de l’article 65, paragraphes 1a et b, </w:t>
      </w:r>
      <w:proofErr w:type="spellStart"/>
      <w:r>
        <w:rPr>
          <w:i w:val="0"/>
        </w:rPr>
        <w:t>StPO</w:t>
      </w:r>
      <w:proofErr w:type="spellEnd"/>
      <w:r>
        <w:rPr>
          <w:i w:val="0"/>
        </w:rPr>
        <w:t>, alors dans un délai d’un an,»</w:t>
      </w:r>
      <w:r>
        <w:t xml:space="preserve"> sont insérés et le mot </w:t>
      </w:r>
      <w:r>
        <w:rPr>
          <w:i w:val="0"/>
        </w:rPr>
        <w:t>«audition»</w:t>
      </w:r>
      <w:r>
        <w:t xml:space="preserve"> est remplacé par les mots </w:t>
      </w:r>
      <w:r>
        <w:rPr>
          <w:i w:val="0"/>
        </w:rPr>
        <w:t>«audience principale»</w:t>
      </w:r>
      <w:r>
        <w:t>.</w:t>
      </w:r>
    </w:p>
    <w:p w14:paraId="2BDF74F0" w14:textId="77777777" w:rsidR="004C59F5" w:rsidRPr="00E61BFF" w:rsidRDefault="004C59F5" w:rsidP="000B6E75">
      <w:pPr>
        <w:pStyle w:val="21NovAo1"/>
      </w:pPr>
      <w:r>
        <w:t xml:space="preserve">12. L’ancien article 8 bis, paragraphe 4, est placé après l’article 8, paragraphe </w:t>
      </w:r>
      <w:proofErr w:type="gramStart"/>
      <w:r>
        <w:t>3;</w:t>
      </w:r>
      <w:proofErr w:type="gramEnd"/>
      <w:r>
        <w:t xml:space="preserve"> le paragraphe 4 suivant est joint à l’article 8 bis:</w:t>
      </w:r>
    </w:p>
    <w:p w14:paraId="3695D3E9" w14:textId="77777777" w:rsidR="004C59F5" w:rsidRPr="00E61BFF" w:rsidRDefault="004C59F5" w:rsidP="000B6E75">
      <w:pPr>
        <w:pStyle w:val="51Abs"/>
      </w:pPr>
      <w:proofErr w:type="gramStart"/>
      <w:r>
        <w:t>«(</w:t>
      </w:r>
      <w:proofErr w:type="gramEnd"/>
      <w:r>
        <w:t>4) L’article 8, paragraphe 4, s’applique.»</w:t>
      </w:r>
    </w:p>
    <w:p w14:paraId="2CEF5861" w14:textId="77777777" w:rsidR="004C59F5" w:rsidRPr="00E61BFF" w:rsidRDefault="004C59F5" w:rsidP="000B6E75">
      <w:pPr>
        <w:pStyle w:val="21NovAo1"/>
      </w:pPr>
      <w:r>
        <w:t xml:space="preserve">13. Le nom et le titre suivants sont insérés avant le paragraphe </w:t>
      </w:r>
      <w:proofErr w:type="gramStart"/>
      <w:r>
        <w:t>9:</w:t>
      </w:r>
      <w:proofErr w:type="gramEnd"/>
    </w:p>
    <w:p w14:paraId="751E46B2" w14:textId="77777777" w:rsidR="004C59F5" w:rsidRPr="00E61BFF" w:rsidRDefault="004C59F5" w:rsidP="000B6E75">
      <w:pPr>
        <w:pStyle w:val="41UeberschrG1"/>
      </w:pPr>
      <w:proofErr w:type="gramStart"/>
      <w:r>
        <w:t>«Deuxième</w:t>
      </w:r>
      <w:proofErr w:type="gramEnd"/>
      <w:r>
        <w:t xml:space="preserve"> sous-section</w:t>
      </w:r>
    </w:p>
    <w:p w14:paraId="258B031E" w14:textId="77777777" w:rsidR="004C59F5" w:rsidRPr="00E61BFF" w:rsidRDefault="004C59F5" w:rsidP="000B6E75">
      <w:pPr>
        <w:pStyle w:val="43UeberschrG2"/>
      </w:pPr>
      <w:r>
        <w:t xml:space="preserve">Réponse et notification ultérieure de l’issue de la procédure </w:t>
      </w:r>
      <w:proofErr w:type="gramStart"/>
      <w:r>
        <w:t>pénale»</w:t>
      </w:r>
      <w:proofErr w:type="gramEnd"/>
    </w:p>
    <w:p w14:paraId="61035177" w14:textId="77777777" w:rsidR="004C59F5" w:rsidRPr="00E61BFF" w:rsidRDefault="004C59F5" w:rsidP="00B47DC9">
      <w:pPr>
        <w:pStyle w:val="22NovAo2"/>
      </w:pPr>
      <w:r>
        <w:t>14. À l’article 10, paragraphe 1, point 3, la mention</w:t>
      </w:r>
      <w:proofErr w:type="gramStart"/>
      <w:r>
        <w:t xml:space="preserve"> «procédure</w:t>
      </w:r>
      <w:proofErr w:type="gramEnd"/>
      <w:r>
        <w:t xml:space="preserve"> principale» est remplacée par «procédure pénale».</w:t>
      </w:r>
    </w:p>
    <w:p w14:paraId="57592B94" w14:textId="77777777" w:rsidR="004C59F5" w:rsidRPr="00E61BFF" w:rsidRDefault="004C59F5" w:rsidP="00B47DC9">
      <w:pPr>
        <w:pStyle w:val="22NovAo2"/>
      </w:pPr>
      <w:r>
        <w:t xml:space="preserve">15. À l’article 11, paragraphe 1, point 10, la mention «de la renonciation de la </w:t>
      </w:r>
      <w:proofErr w:type="gramStart"/>
      <w:r>
        <w:t>plainte»</w:t>
      </w:r>
      <w:proofErr w:type="gramEnd"/>
      <w:r>
        <w:t xml:space="preserve"> est remplacée par «de renoncer à poursuivre».</w:t>
      </w:r>
    </w:p>
    <w:p w14:paraId="12E9B572" w14:textId="77777777" w:rsidR="004C59F5" w:rsidRPr="00E61BFF" w:rsidRDefault="004C59F5" w:rsidP="00B47DC9">
      <w:pPr>
        <w:pStyle w:val="22NovAo2"/>
      </w:pPr>
      <w:r>
        <w:t>16. À l’article 13, paragraphe 7, le terme</w:t>
      </w:r>
      <w:proofErr w:type="gramStart"/>
      <w:r>
        <w:t xml:space="preserve"> «restrictions</w:t>
      </w:r>
      <w:proofErr w:type="gramEnd"/>
      <w:r>
        <w:t>» est remplacé par «activations».</w:t>
      </w:r>
    </w:p>
    <w:p w14:paraId="2AE28060" w14:textId="77777777" w:rsidR="004C59F5" w:rsidRPr="00E61BFF" w:rsidRDefault="004C59F5" w:rsidP="00B47DC9">
      <w:pPr>
        <w:pStyle w:val="22NovAo2"/>
      </w:pPr>
      <w:r>
        <w:lastRenderedPageBreak/>
        <w:t>17. À l’article 14, paragraphe 2, les termes</w:t>
      </w:r>
      <w:proofErr w:type="gramStart"/>
      <w:r>
        <w:t xml:space="preserve"> «juge</w:t>
      </w:r>
      <w:proofErr w:type="gramEnd"/>
      <w:r>
        <w:t xml:space="preserve"> unique» sont remplacés par «du tribunal du Land».</w:t>
      </w:r>
    </w:p>
    <w:p w14:paraId="4E63B1EC" w14:textId="77777777" w:rsidR="004C59F5" w:rsidRPr="00E61BFF" w:rsidRDefault="004C59F5" w:rsidP="00B47DC9">
      <w:pPr>
        <w:pStyle w:val="22NovAo2"/>
      </w:pPr>
      <w:r>
        <w:t>18. À l’article 14, paragraphe 3, après les mots</w:t>
      </w:r>
      <w:proofErr w:type="gramStart"/>
      <w:r>
        <w:t xml:space="preserve"> «est</w:t>
      </w:r>
      <w:proofErr w:type="gramEnd"/>
      <w:r>
        <w:t xml:space="preserve"> autorisé», la phrase suivante est ajoutée: </w:t>
      </w:r>
      <w:r>
        <w:rPr>
          <w:i w:val="0"/>
        </w:rPr>
        <w:t>«et une demande manifestement injustifiée ne peut être rejetée qu’après une audience publique orale, à moins que le demandeur n’y renonce expressément»</w:t>
      </w:r>
    </w:p>
    <w:p w14:paraId="61AD9CC6" w14:textId="77777777" w:rsidR="004C59F5" w:rsidRPr="00E61BFF" w:rsidRDefault="004C59F5" w:rsidP="000B6E75">
      <w:pPr>
        <w:pStyle w:val="21NovAo1"/>
      </w:pPr>
      <w:r>
        <w:t xml:space="preserve">19. L’article 15, paragraphe 1, est formulé comme </w:t>
      </w:r>
      <w:proofErr w:type="gramStart"/>
      <w:r>
        <w:t>suit:</w:t>
      </w:r>
      <w:proofErr w:type="gramEnd"/>
    </w:p>
    <w:p w14:paraId="5C64434D" w14:textId="77777777" w:rsidR="004C59F5" w:rsidRPr="00E61BFF" w:rsidRDefault="004C59F5" w:rsidP="000B6E75">
      <w:pPr>
        <w:pStyle w:val="51Abs"/>
      </w:pPr>
      <w:r>
        <w:t xml:space="preserve">«1) Si aucune objection n’a été soulevée dans les délais légaux, le tribunal statue par ordonnance dans un délai de cinq jours ouvrables à compter de l’expiration de ce délai. La demande est accueillie sans </w:t>
      </w:r>
      <w:proofErr w:type="gramStart"/>
      <w:r>
        <w:t>audition;</w:t>
      </w:r>
      <w:proofErr w:type="gramEnd"/>
      <w:r>
        <w:t xml:space="preserve"> toutefois, si la demande n’est manifestement pas justifiée, une décision est rendue après une procédure orale publique, sauf si le demandeur y renonce expressément.»</w:t>
      </w:r>
    </w:p>
    <w:p w14:paraId="0D76C5FB" w14:textId="77777777" w:rsidR="004C59F5" w:rsidRPr="00E61BFF" w:rsidRDefault="004C59F5" w:rsidP="00B47DC9">
      <w:pPr>
        <w:pStyle w:val="22NovAo2"/>
      </w:pPr>
      <w:r>
        <w:t>20. À l’article 15, paragraphe 3, les mots</w:t>
      </w:r>
      <w:proofErr w:type="gramStart"/>
      <w:r>
        <w:t xml:space="preserve"> «audience</w:t>
      </w:r>
      <w:proofErr w:type="gramEnd"/>
      <w:r>
        <w:t xml:space="preserve"> publique orale» sont remplacés par «tenue d’une audience principale».</w:t>
      </w:r>
    </w:p>
    <w:p w14:paraId="2095DBF8" w14:textId="77777777" w:rsidR="004C59F5" w:rsidRPr="00E61BFF" w:rsidRDefault="004C59F5" w:rsidP="00B47DC9">
      <w:pPr>
        <w:pStyle w:val="22NovAo2"/>
      </w:pPr>
      <w:r>
        <w:t>21. À l’article 16, paragraphe 1, les mots</w:t>
      </w:r>
      <w:proofErr w:type="gramStart"/>
      <w:r>
        <w:t xml:space="preserve"> «audience</w:t>
      </w:r>
      <w:proofErr w:type="gramEnd"/>
      <w:r>
        <w:t xml:space="preserve"> publique orale» sont remplacés par «tenue d’une audience principale».</w:t>
      </w:r>
    </w:p>
    <w:p w14:paraId="30246BE5" w14:textId="77777777" w:rsidR="004C59F5" w:rsidRPr="00E61BFF" w:rsidRDefault="004C59F5" w:rsidP="00B47DC9">
      <w:pPr>
        <w:pStyle w:val="22NovAo2"/>
      </w:pPr>
      <w:r>
        <w:t>22. À l’article 20, paragraphe 2, le mot</w:t>
      </w:r>
      <w:proofErr w:type="gramStart"/>
      <w:r>
        <w:t xml:space="preserve"> </w:t>
      </w:r>
      <w:r>
        <w:rPr>
          <w:i w:val="0"/>
        </w:rPr>
        <w:t>«demande</w:t>
      </w:r>
      <w:proofErr w:type="gramEnd"/>
      <w:r>
        <w:rPr>
          <w:i w:val="0"/>
        </w:rPr>
        <w:t xml:space="preserve"> de publication»</w:t>
      </w:r>
      <w:r>
        <w:t xml:space="preserve">; est remplacé par le mot </w:t>
      </w:r>
      <w:r>
        <w:rPr>
          <w:i w:val="0"/>
        </w:rPr>
        <w:t>«Ordre de publication»</w:t>
      </w:r>
      <w:r>
        <w:t>.</w:t>
      </w:r>
    </w:p>
    <w:p w14:paraId="004C0FE1" w14:textId="77777777" w:rsidR="004C59F5" w:rsidRPr="00E61BFF" w:rsidRDefault="004C59F5" w:rsidP="000B6E75">
      <w:pPr>
        <w:pStyle w:val="21NovAo1"/>
      </w:pPr>
      <w:r>
        <w:t xml:space="preserve">23. Le nom et le titre suivants sont insérés avant le paragraphe </w:t>
      </w:r>
      <w:proofErr w:type="gramStart"/>
      <w:r>
        <w:t>22:</w:t>
      </w:r>
      <w:proofErr w:type="gramEnd"/>
    </w:p>
    <w:p w14:paraId="0109DC7F" w14:textId="77777777" w:rsidR="004C59F5" w:rsidRPr="00E61BFF" w:rsidRDefault="004C59F5" w:rsidP="000B6E75">
      <w:pPr>
        <w:pStyle w:val="41UeberschrG1"/>
      </w:pPr>
      <w:proofErr w:type="gramStart"/>
      <w:r>
        <w:t>«Troisième</w:t>
      </w:r>
      <w:proofErr w:type="gramEnd"/>
      <w:r>
        <w:t xml:space="preserve"> sous-section</w:t>
      </w:r>
    </w:p>
    <w:p w14:paraId="725C98A0" w14:textId="77777777" w:rsidR="004C59F5" w:rsidRPr="00E61BFF" w:rsidRDefault="004C59F5" w:rsidP="000B6E75">
      <w:pPr>
        <w:pStyle w:val="43UeberschrG2"/>
      </w:pPr>
      <w:r>
        <w:t xml:space="preserve">Enregistrements et transmissions d’images et de </w:t>
      </w:r>
      <w:proofErr w:type="gramStart"/>
      <w:r>
        <w:t>sons»</w:t>
      </w:r>
      <w:proofErr w:type="gramEnd"/>
    </w:p>
    <w:p w14:paraId="65582BF2" w14:textId="77777777" w:rsidR="004C59F5" w:rsidRPr="00E61BFF" w:rsidRDefault="004C59F5" w:rsidP="000B6E75">
      <w:pPr>
        <w:pStyle w:val="21NovAo1"/>
      </w:pPr>
      <w:r>
        <w:t xml:space="preserve">24. Le nom et le titre suivants sont insérés avant le paragraphe </w:t>
      </w:r>
      <w:proofErr w:type="gramStart"/>
      <w:r>
        <w:t>23:</w:t>
      </w:r>
      <w:proofErr w:type="gramEnd"/>
    </w:p>
    <w:p w14:paraId="029ABEDB" w14:textId="77777777" w:rsidR="004C59F5" w:rsidRPr="00E61BFF" w:rsidRDefault="004C59F5" w:rsidP="000B6E75">
      <w:pPr>
        <w:pStyle w:val="41UeberschrG1"/>
      </w:pPr>
      <w:proofErr w:type="gramStart"/>
      <w:r>
        <w:t>«Quatrième</w:t>
      </w:r>
      <w:proofErr w:type="gramEnd"/>
      <w:r>
        <w:t xml:space="preserve"> sous-section</w:t>
      </w:r>
    </w:p>
    <w:p w14:paraId="0598862B" w14:textId="77777777" w:rsidR="004C59F5" w:rsidRPr="00E61BFF" w:rsidRDefault="004C59F5" w:rsidP="000B6E75">
      <w:pPr>
        <w:pStyle w:val="43UeberschrG2"/>
      </w:pPr>
      <w:r>
        <w:t xml:space="preserve">Influence interdite sur les procédures </w:t>
      </w:r>
      <w:proofErr w:type="gramStart"/>
      <w:r>
        <w:t>pénales»</w:t>
      </w:r>
      <w:proofErr w:type="gramEnd"/>
    </w:p>
    <w:p w14:paraId="475FD25A" w14:textId="77777777" w:rsidR="004C59F5" w:rsidRPr="00E61BFF" w:rsidRDefault="004C59F5" w:rsidP="00B47DC9">
      <w:pPr>
        <w:pStyle w:val="22NovAo2"/>
      </w:pPr>
      <w:r>
        <w:t>25. À l’article 30, le mot</w:t>
      </w:r>
      <w:proofErr w:type="gramStart"/>
      <w:r>
        <w:t xml:space="preserve"> </w:t>
      </w:r>
      <w:r>
        <w:rPr>
          <w:i w:val="0"/>
        </w:rPr>
        <w:t>«un</w:t>
      </w:r>
      <w:proofErr w:type="gramEnd"/>
      <w:r>
        <w:rPr>
          <w:i w:val="0"/>
        </w:rPr>
        <w:t>»</w:t>
      </w:r>
      <w:r>
        <w:t xml:space="preserve">; est remplacé par le mot </w:t>
      </w:r>
      <w:r>
        <w:rPr>
          <w:i w:val="0"/>
        </w:rPr>
        <w:t>«un»</w:t>
      </w:r>
      <w:r>
        <w:t>.</w:t>
      </w:r>
    </w:p>
    <w:p w14:paraId="4215900A" w14:textId="77777777" w:rsidR="004C59F5" w:rsidRPr="00E61BFF" w:rsidRDefault="004C59F5" w:rsidP="00B47DC9">
      <w:pPr>
        <w:pStyle w:val="22NovAo2"/>
      </w:pPr>
      <w:r>
        <w:t>26. À l’article 32, deuxième phrase, après le mot</w:t>
      </w:r>
      <w:proofErr w:type="gramStart"/>
      <w:r>
        <w:t xml:space="preserve"> </w:t>
      </w:r>
      <w:r>
        <w:rPr>
          <w:i w:val="0"/>
        </w:rPr>
        <w:t>«menacé</w:t>
      </w:r>
      <w:proofErr w:type="gramEnd"/>
      <w:r>
        <w:rPr>
          <w:i w:val="0"/>
        </w:rPr>
        <w:t>»</w:t>
      </w:r>
      <w:r>
        <w:t xml:space="preserve">, l’expression </w:t>
      </w:r>
      <w:r>
        <w:rPr>
          <w:i w:val="0"/>
        </w:rPr>
        <w:t>«ou a été commise par le contenu d’un support électronique périodique récupérable» est insérée</w:t>
      </w:r>
      <w:r>
        <w:t>.</w:t>
      </w:r>
    </w:p>
    <w:p w14:paraId="5043B9E1" w14:textId="77777777" w:rsidR="004C59F5" w:rsidRPr="00E61BFF" w:rsidRDefault="004C59F5" w:rsidP="00B47DC9">
      <w:pPr>
        <w:pStyle w:val="22NovAo2"/>
      </w:pPr>
      <w:r>
        <w:t>27. À l’article 33, paragraphe 2, la première phrase remplace l’expression</w:t>
      </w:r>
      <w:proofErr w:type="gramStart"/>
      <w:r>
        <w:t xml:space="preserve"> </w:t>
      </w:r>
      <w:r>
        <w:rPr>
          <w:i w:val="0"/>
        </w:rPr>
        <w:t>«non</w:t>
      </w:r>
      <w:proofErr w:type="gramEnd"/>
      <w:r>
        <w:rPr>
          <w:i w:val="0"/>
        </w:rPr>
        <w:t xml:space="preserve"> possible pour des raisons excluant la peine»</w:t>
      </w:r>
      <w:r>
        <w:t xml:space="preserve"> par l’expression </w:t>
      </w:r>
      <w:r>
        <w:rPr>
          <w:i w:val="0"/>
        </w:rPr>
        <w:t>«pour des raisons qui excluent la peine, par exemple parce que la criminalité de l’infraction est prescrite»</w:t>
      </w:r>
      <w:r>
        <w:t>.</w:t>
      </w:r>
    </w:p>
    <w:p w14:paraId="513EDC4E" w14:textId="77777777" w:rsidR="004C59F5" w:rsidRPr="00E61BFF" w:rsidRDefault="004C59F5" w:rsidP="00B47DC9">
      <w:pPr>
        <w:pStyle w:val="22NovAo2"/>
      </w:pPr>
      <w:r>
        <w:t xml:space="preserve">28. </w:t>
      </w:r>
      <w:proofErr w:type="gramStart"/>
      <w:r>
        <w:t>L’ article</w:t>
      </w:r>
      <w:proofErr w:type="gramEnd"/>
      <w:r>
        <w:t xml:space="preserve"> 33, paragraphe 3, est supprimé.</w:t>
      </w:r>
    </w:p>
    <w:p w14:paraId="739687EE" w14:textId="77777777" w:rsidR="004C59F5" w:rsidRPr="00E61BFF" w:rsidRDefault="004C59F5" w:rsidP="000B6E75">
      <w:pPr>
        <w:pStyle w:val="21NovAo1"/>
      </w:pPr>
      <w:r>
        <w:t xml:space="preserve">29. L’article 33 bis suivant et son intitulé sont ajoutés à la suite de l’article </w:t>
      </w:r>
      <w:proofErr w:type="gramStart"/>
      <w:r>
        <w:t>33:</w:t>
      </w:r>
      <w:proofErr w:type="gramEnd"/>
    </w:p>
    <w:p w14:paraId="70E9AF5E" w14:textId="77777777" w:rsidR="004C59F5" w:rsidRPr="00E61BFF" w:rsidRDefault="004C59F5" w:rsidP="000B6E75">
      <w:pPr>
        <w:pStyle w:val="45UeberschrPara"/>
      </w:pPr>
      <w:proofErr w:type="gramStart"/>
      <w:r>
        <w:t>«Confiscation</w:t>
      </w:r>
      <w:proofErr w:type="gramEnd"/>
      <w:r>
        <w:t xml:space="preserve"> en raison d’une atteinte de l’employeur</w:t>
      </w:r>
    </w:p>
    <w:p w14:paraId="4FF9975E" w14:textId="77777777" w:rsidR="004C59F5" w:rsidRPr="00E61BFF" w:rsidRDefault="004C59F5" w:rsidP="000B6E75">
      <w:pPr>
        <w:pStyle w:val="51Abs"/>
      </w:pPr>
      <w:r>
        <w:rPr>
          <w:rStyle w:val="991GldSymbol"/>
        </w:rPr>
        <w:t>Article 33 bis.</w:t>
      </w:r>
      <w:r>
        <w:t> (1) Si, sur un support lié à l’activité d’un travailleur ou d’un employé, les faits objectifs de reproche, d’insulte, de moquerie ou de diffamation sont produits ou menacés de danger (article 74, paragraphe 1, point 5, du code pénal), et si cette conduite est susceptible d’affecter de manière significative la capacité de l’employeur ou de l’employeur d’utiliser l’employé ou l’employé, ou de nuire gravement à l’image de l’employeur ou de l’employeur, celui-ci a le droit de présenter une demande de collecte d’éléments médiatiques destinés à la distribution ou à la suppression des parties pertinentes du site Web. Il en va de même pour les bénévoles et les personnes morales. L'engagement d’une action par l'employeur n'est pas rattaché au consentement de l'employé. L’employeur n’est pas tenu d’attenter une action en justice pour violation des droits à l’intégrité physique et morale de l’employé, notamment du fait du devoir d’aide et d’assistance de l’employeur envers l’employé prévu par le droit du travail.</w:t>
      </w:r>
    </w:p>
    <w:p w14:paraId="3530D27B" w14:textId="77777777" w:rsidR="004C59F5" w:rsidRPr="00E61BFF" w:rsidRDefault="00730F15" w:rsidP="00730F15">
      <w:pPr>
        <w:pStyle w:val="51Abs"/>
      </w:pPr>
      <w:r>
        <w:t>(2) Le droit à la confiscation n’existe pas en cas de reproche s’il existe un motif d’exclusion en vertu de l’article 6, paragraphe 2, point 2 ou 4. L’article 33, paragraphe 2, deuxième phrase s’applique.</w:t>
      </w:r>
    </w:p>
    <w:p w14:paraId="2D0790A7" w14:textId="77777777" w:rsidR="004C59F5" w:rsidRPr="00E61BFF" w:rsidRDefault="004C59F5" w:rsidP="000B6E75">
      <w:pPr>
        <w:pStyle w:val="51Abs"/>
      </w:pPr>
      <w:r>
        <w:t>(3) L’employeur peut demander la confiscation dans le cadre d’une procédure pénale jusqu’à la fin de l’audience principale ou avec une demande indépendante. L’article 33, paragraphes 4 et 5, s’applique à la procédure d’une telle demande.</w:t>
      </w:r>
    </w:p>
    <w:p w14:paraId="16451396" w14:textId="77777777" w:rsidR="004C59F5" w:rsidRPr="00E61BFF" w:rsidRDefault="004C59F5" w:rsidP="000B6E75">
      <w:pPr>
        <w:pStyle w:val="51Abs"/>
      </w:pPr>
      <w:r>
        <w:lastRenderedPageBreak/>
        <w:t>(4) La demande peut également être introduite dans le cadre d’une procédure indépendante qui se fait via une demande de la personne concernée pour la même publication et vice versa</w:t>
      </w:r>
      <w:proofErr w:type="gramStart"/>
      <w:r>
        <w:t>.»</w:t>
      </w:r>
      <w:proofErr w:type="gramEnd"/>
    </w:p>
    <w:p w14:paraId="730D2ED1" w14:textId="77777777" w:rsidR="004C59F5" w:rsidRPr="00E61BFF" w:rsidRDefault="004C59F5" w:rsidP="00B47DC9">
      <w:pPr>
        <w:pStyle w:val="22NovAo2"/>
      </w:pPr>
      <w:r>
        <w:t>30. À l’article 34, paragraphe 3, dans la première phrase, l’expression</w:t>
      </w:r>
      <w:proofErr w:type="gramStart"/>
      <w:r>
        <w:t xml:space="preserve"> </w:t>
      </w:r>
      <w:r>
        <w:rPr>
          <w:i w:val="0"/>
        </w:rPr>
        <w:t>«n’est</w:t>
      </w:r>
      <w:proofErr w:type="gramEnd"/>
      <w:r>
        <w:rPr>
          <w:i w:val="0"/>
        </w:rPr>
        <w:t xml:space="preserve"> pas possible pour des raisons excluant la peine»</w:t>
      </w:r>
      <w:r>
        <w:t xml:space="preserve"> est remplacée par l’expression </w:t>
      </w:r>
      <w:r>
        <w:rPr>
          <w:i w:val="0"/>
        </w:rPr>
        <w:t>«pour des raisons qui excluent la peine, comme l’impunité de l’infraction est prescrite »</w:t>
      </w:r>
      <w:r>
        <w:t xml:space="preserve">; dans la deuxième phrase, le mot </w:t>
      </w:r>
      <w:r>
        <w:rPr>
          <w:i w:val="0"/>
        </w:rPr>
        <w:t>«et le paragraphe 3 sont»</w:t>
      </w:r>
      <w:r>
        <w:t xml:space="preserve"> sont remplacés par le mot </w:t>
      </w:r>
      <w:r>
        <w:rPr>
          <w:i w:val="0"/>
        </w:rPr>
        <w:t>«est»</w:t>
      </w:r>
      <w:r>
        <w:t>.</w:t>
      </w:r>
    </w:p>
    <w:p w14:paraId="5BC9F326" w14:textId="77777777" w:rsidR="004C59F5" w:rsidRPr="00E61BFF" w:rsidRDefault="004C59F5" w:rsidP="00B47DC9">
      <w:pPr>
        <w:pStyle w:val="22NovAo2"/>
      </w:pPr>
      <w:r>
        <w:t>31. À l’article 36, paragraphe 1, la citation</w:t>
      </w:r>
      <w:proofErr w:type="gramStart"/>
      <w:r>
        <w:t xml:space="preserve"> «article</w:t>
      </w:r>
      <w:proofErr w:type="gramEnd"/>
      <w:r>
        <w:t xml:space="preserve"> 33» est remplacée par «articles 33 ou 33a».</w:t>
      </w:r>
    </w:p>
    <w:p w14:paraId="6D81CFF2" w14:textId="77777777" w:rsidR="004C59F5" w:rsidRPr="00E61BFF" w:rsidRDefault="004C59F5" w:rsidP="00B47DC9">
      <w:pPr>
        <w:pStyle w:val="22NovAo2"/>
      </w:pPr>
      <w:r>
        <w:t>32. À l’article 36, paragraphe 2, l’expression</w:t>
      </w:r>
      <w:proofErr w:type="gramStart"/>
      <w:r>
        <w:t xml:space="preserve"> «infraction</w:t>
      </w:r>
      <w:proofErr w:type="gramEnd"/>
      <w:r>
        <w:t xml:space="preserve"> relative au contenu des médias» est suivie de «ou selon l’article 33 bis».</w:t>
      </w:r>
    </w:p>
    <w:p w14:paraId="28135A45" w14:textId="77777777" w:rsidR="004C59F5" w:rsidRPr="00E61BFF" w:rsidRDefault="004C59F5" w:rsidP="000B6E75">
      <w:pPr>
        <w:pStyle w:val="21NovAo1"/>
      </w:pPr>
      <w:r>
        <w:t>33. L’article 36 ter, y compris le titre suivant, est ajouté après l’article 36 bis :</w:t>
      </w:r>
    </w:p>
    <w:p w14:paraId="097ADD84" w14:textId="77777777" w:rsidR="004C59F5" w:rsidRPr="00E61BFF" w:rsidRDefault="004C59F5" w:rsidP="000B6E75">
      <w:pPr>
        <w:pStyle w:val="45UeberschrPara"/>
      </w:pPr>
      <w:proofErr w:type="gramStart"/>
      <w:r>
        <w:t>«Exécution</w:t>
      </w:r>
      <w:proofErr w:type="gramEnd"/>
      <w:r>
        <w:t xml:space="preserve"> de la confiscation, saisie et publication de jugements sur des sites web à l’encontre des fournisseurs de services</w:t>
      </w:r>
    </w:p>
    <w:p w14:paraId="4990B944" w14:textId="77777777" w:rsidR="004C59F5" w:rsidRPr="00E61BFF" w:rsidRDefault="004C59F5" w:rsidP="000B6E75">
      <w:pPr>
        <w:pStyle w:val="51Abs"/>
      </w:pPr>
      <w:r>
        <w:rPr>
          <w:rStyle w:val="991GldSymbol"/>
        </w:rPr>
        <w:t>Article 36 ter.</w:t>
      </w:r>
      <w:r>
        <w:t> Si le propriétaire des médias a son siège à l’étranger ou que le propriétaire des médias ne peut être poursuivi pour d’autres raisons, le tribunal doit, à la demande du procureur ou du demandeur, ordonner au fournisseur de services d’hébergement (article 16 la loi sur le commerce électronique – ECG, Journal officiel fédéral I no 152/2001) de supprimer les organes compétents du site web (confiscation ou saisie – articles 33, 33 bis, 36) ou de publier les parties de l’arrêt (point 34)</w:t>
      </w:r>
      <w:proofErr w:type="gramStart"/>
      <w:r>
        <w:t>.»</w:t>
      </w:r>
      <w:proofErr w:type="gramEnd"/>
    </w:p>
    <w:p w14:paraId="502034E7" w14:textId="77777777" w:rsidR="004C59F5" w:rsidRPr="00E61BFF" w:rsidRDefault="004C59F5" w:rsidP="00B47DC9">
      <w:pPr>
        <w:pStyle w:val="22NovAo2"/>
      </w:pPr>
      <w:r>
        <w:t xml:space="preserve">34. À l’article 41, paragraphe 1, après la citation </w:t>
      </w:r>
      <w:r>
        <w:rPr>
          <w:i w:val="0"/>
        </w:rPr>
        <w:t>«33(2</w:t>
      </w:r>
      <w:proofErr w:type="gramStart"/>
      <w:r>
        <w:rPr>
          <w:i w:val="0"/>
        </w:rPr>
        <w:t>)»</w:t>
      </w:r>
      <w:proofErr w:type="gramEnd"/>
      <w:r>
        <w:t xml:space="preserve">, la citation </w:t>
      </w:r>
      <w:r>
        <w:rPr>
          <w:i w:val="0"/>
        </w:rPr>
        <w:t>«, 33a(3)»</w:t>
      </w:r>
      <w:r>
        <w:t>; est insérée entre parenthèses.</w:t>
      </w:r>
    </w:p>
    <w:p w14:paraId="7E9A5B87" w14:textId="77777777" w:rsidR="004C59F5" w:rsidRPr="00E61BFF" w:rsidRDefault="004C59F5" w:rsidP="000B6E75">
      <w:pPr>
        <w:pStyle w:val="21NovAo1"/>
      </w:pPr>
      <w:r>
        <w:t xml:space="preserve">35. L’article 41, paragraphe 5, est formulé comme </w:t>
      </w:r>
      <w:proofErr w:type="gramStart"/>
      <w:r>
        <w:t>suit:</w:t>
      </w:r>
      <w:proofErr w:type="gramEnd"/>
    </w:p>
    <w:p w14:paraId="02B6538A" w14:textId="77777777" w:rsidR="004C59F5" w:rsidRPr="00E61BFF" w:rsidRDefault="004C59F5" w:rsidP="000B6E75">
      <w:pPr>
        <w:pStyle w:val="51Abs"/>
      </w:pPr>
      <w:proofErr w:type="gramStart"/>
      <w:r>
        <w:t>«(</w:t>
      </w:r>
      <w:proofErr w:type="gramEnd"/>
      <w:r>
        <w:t xml:space="preserve">5) L’article 71 du </w:t>
      </w:r>
      <w:proofErr w:type="spellStart"/>
      <w:r>
        <w:t>StPO</w:t>
      </w:r>
      <w:proofErr w:type="spellEnd"/>
      <w:r>
        <w:t xml:space="preserve"> s’applique aux poursuites engagées à titre privé; de même, les règlements qui y sont édictés pour la procédure indépendante concernant les dispositions d’ordre patrimonial s’appliquent mutatis mutandis à la procédure indépendante conformément à l’article 8 bis, à l’article 33 paragraphe 2, à l’article 33 bis, paragraphe 3 et à l’article 34, paragraphe 3. Le tribunal doit examiner l’acte d’accusation ou la demande d’ouverture d’une procédure indépendante conformément à l’article 485 </w:t>
      </w:r>
      <w:proofErr w:type="spellStart"/>
      <w:r>
        <w:t>StPO</w:t>
      </w:r>
      <w:proofErr w:type="spellEnd"/>
      <w:r>
        <w:t xml:space="preserve">, par lequel il doit se prononcer dans les cas de l’article 485, paragraphe 1, point 3, en relation avec l’article 212, points 1 et 2, </w:t>
      </w:r>
      <w:proofErr w:type="spellStart"/>
      <w:r>
        <w:t>StPO</w:t>
      </w:r>
      <w:proofErr w:type="spellEnd"/>
      <w:r>
        <w:t xml:space="preserve"> après une audience publique orale, à moins que la partie civile ou le demandeur n’y renoncent expressément</w:t>
      </w:r>
      <w:proofErr w:type="gramStart"/>
      <w:r>
        <w:t>.»</w:t>
      </w:r>
      <w:proofErr w:type="gramEnd"/>
    </w:p>
    <w:p w14:paraId="27AF9499" w14:textId="77777777" w:rsidR="004C59F5" w:rsidRPr="00E61BFF" w:rsidRDefault="004C59F5" w:rsidP="000B6E75">
      <w:pPr>
        <w:pStyle w:val="21NovAo1"/>
      </w:pPr>
      <w:r>
        <w:t>36. À l’article 41, le paragraphe 7 actuel est attribué à la dénomination de vente</w:t>
      </w:r>
      <w:proofErr w:type="gramStart"/>
      <w:r>
        <w:t xml:space="preserve"> </w:t>
      </w:r>
      <w:r>
        <w:rPr>
          <w:i w:val="0"/>
        </w:rPr>
        <w:t>«(</w:t>
      </w:r>
      <w:proofErr w:type="gramEnd"/>
      <w:r>
        <w:rPr>
          <w:i w:val="0"/>
        </w:rPr>
        <w:t>8)»</w:t>
      </w:r>
      <w:r>
        <w:t xml:space="preserve"> et est classé conformément au paragraphe 7; L’article 7 est libellé comme suit:</w:t>
      </w:r>
    </w:p>
    <w:p w14:paraId="15E485A8" w14:textId="77777777" w:rsidR="004C59F5" w:rsidRPr="00E61BFF" w:rsidRDefault="004C59F5" w:rsidP="000B6E75">
      <w:pPr>
        <w:pStyle w:val="51Abs"/>
      </w:pPr>
      <w:proofErr w:type="gramStart"/>
      <w:r>
        <w:t>«(</w:t>
      </w:r>
      <w:proofErr w:type="gramEnd"/>
      <w:r>
        <w:t>7) Dans la procédure visée au paragraphe 1, si l’exécution de la confiscation (article 33) ou la publication de la décision (article 34) est demandée en vertu de l’article 36 ter, le fournisseur de services d’hébergement est invité à l’audience principale, mais son défaut de comparaître n’entrave pas la procédure, le jugement et la décision sur la demande conformément à l’article 36 ter. Le fournisseur de services d’hébergement a le droit d’être consulté sur les exigences de l’article 36 ter. Si le fournisseur de services d’hébergement est ordonné d’exécuter la saisie (article 36) conformément à l’article 36 ter, ou si l’exécution de la confiscation ou la publication de la décision n’est demandée et ordonnée qu’après la décision définitive à cet égard, l’ordonnance ordonnant la saisie ou la décision de confiscation ou de publication de la décision et l’ordonnance ordonnant l’exécution de la décision en vertu de l’article 36 ter sont notifiées au fournisseur de services d’hébergement.»</w:t>
      </w:r>
    </w:p>
    <w:p w14:paraId="7AE840DD" w14:textId="77777777" w:rsidR="004C59F5" w:rsidRPr="00E61BFF" w:rsidRDefault="004C59F5" w:rsidP="000B6E75">
      <w:pPr>
        <w:pStyle w:val="21NovAo1"/>
      </w:pPr>
      <w:r>
        <w:t xml:space="preserve">37. À l’article 41, le paragraphe 9 suivant est ajouté après le paragraphe </w:t>
      </w:r>
      <w:proofErr w:type="gramStart"/>
      <w:r>
        <w:t>8:</w:t>
      </w:r>
      <w:proofErr w:type="gramEnd"/>
    </w:p>
    <w:p w14:paraId="3B0D5F63" w14:textId="77777777" w:rsidR="004C59F5" w:rsidRPr="00E61BFF" w:rsidRDefault="004C59F5" w:rsidP="000B6E75">
      <w:pPr>
        <w:pStyle w:val="51Abs"/>
      </w:pPr>
      <w:proofErr w:type="gramStart"/>
      <w:r>
        <w:t>«(</w:t>
      </w:r>
      <w:proofErr w:type="gramEnd"/>
      <w:r>
        <w:t xml:space="preserve">9) Un accompagnement psychosocial et juridique (article 66 ter, paragraphe 2, </w:t>
      </w:r>
      <w:proofErr w:type="spellStart"/>
      <w:r>
        <w:t>StPO</w:t>
      </w:r>
      <w:proofErr w:type="spellEnd"/>
      <w:r>
        <w:t xml:space="preserve">) est disponible sur demande aux personnes énumérées à l’article 66 ter, paragraphe 1, </w:t>
      </w:r>
      <w:proofErr w:type="spellStart"/>
      <w:r>
        <w:t>StPO</w:t>
      </w:r>
      <w:proofErr w:type="spellEnd"/>
      <w:r>
        <w:t xml:space="preserve"> dans les conditions qui y sont énumérées, ainsi que pour les demandes indépendantes conformément à l’article 8 bis, à l’article 33, paragraphe 2 et à l’article 34 paragraphe 3.»</w:t>
      </w:r>
    </w:p>
    <w:p w14:paraId="0B11319C" w14:textId="77777777" w:rsidR="004C59F5" w:rsidRPr="00E61BFF" w:rsidRDefault="004C59F5" w:rsidP="00B47DC9">
      <w:pPr>
        <w:pStyle w:val="22NovAo2"/>
      </w:pPr>
      <w:r>
        <w:t>38. À l’article 42, l’expression</w:t>
      </w:r>
      <w:proofErr w:type="gramStart"/>
      <w:r>
        <w:t xml:space="preserve"> «infraction</w:t>
      </w:r>
      <w:proofErr w:type="gramEnd"/>
      <w:r>
        <w:t xml:space="preserve"> pénale» est suivie de «punissable».</w:t>
      </w:r>
    </w:p>
    <w:p w14:paraId="2DA8DC94" w14:textId="77777777" w:rsidR="004C59F5" w:rsidRPr="00E61BFF" w:rsidRDefault="004C59F5" w:rsidP="00B47DC9">
      <w:pPr>
        <w:pStyle w:val="22NovAo2"/>
      </w:pPr>
      <w:r>
        <w:t>39. À l’article 50, paragraphe 1, le terme</w:t>
      </w:r>
      <w:proofErr w:type="gramStart"/>
      <w:r>
        <w:t xml:space="preserve"> «entreprise</w:t>
      </w:r>
      <w:proofErr w:type="gramEnd"/>
      <w:r>
        <w:t xml:space="preserve"> de médias» est remplacé par «propriétaire de médias».</w:t>
      </w:r>
    </w:p>
    <w:p w14:paraId="4222E85E" w14:textId="77777777" w:rsidR="004C59F5" w:rsidRPr="00E61BFF" w:rsidRDefault="004C59F5" w:rsidP="000B6E75">
      <w:pPr>
        <w:pStyle w:val="21NovAo1"/>
      </w:pPr>
      <w:r>
        <w:lastRenderedPageBreak/>
        <w:t xml:space="preserve">40. Le paragraphe 11 suivant est ajouté à l’article </w:t>
      </w:r>
      <w:proofErr w:type="gramStart"/>
      <w:r>
        <w:t>55:</w:t>
      </w:r>
      <w:proofErr w:type="gramEnd"/>
    </w:p>
    <w:p w14:paraId="50392661" w14:textId="77777777" w:rsidR="004C59F5" w:rsidRPr="00E61BFF" w:rsidRDefault="004C59F5" w:rsidP="000B6E75">
      <w:pPr>
        <w:pStyle w:val="51Abs"/>
      </w:pPr>
      <w:r>
        <w:t>«11) Les noms et les intitulés des premier, deuxième, troisième et quatrième alinéas de l’article 3, de l’article 6, paragraphe 1, de l’article 7, paragraphe 1, de l’article 7, paragraphe 1, point a) 1) a) et 2), de l’article 7 ter, paragraphe 1, de l’article 7 quater, paragraphe 1, de l’article 8, paragraphes 1, 2 et 4, de l’article 8 bis, paragraphes 2 et 4, de l’article 10, paragraphe 1, paragraphe 3, de l’article 11, paragraphe 1, paragraphe 10, de l’article 13, paragraphe 7, de l’article 14, paragraphes 2 et 3, de l’article 15, paragraphes 1 et 3, de l’article 16, paragraphe 1, de l’article 20, paragraphe 2, de l’article 30, de l’article 32, de l’article 33, paragraphe 2, de l’article 33 bis, de l’article 34, paragraphe 3, de l’article 36, paragraphes 1 et 2, de l’article 36, paragraphe 1, point b), l’article 41, paragraphe 1, l’article 41, paragraphes 1, 5, 7, 8 et 9, l’article 42 et l’article 50, paragraphe 1, tels que modifiés par le Journal officiel fédéral I no 148/2020, entrent en vigueur le 1er janvier 2021; dans le même temps, l’article 33, paragraphe 3, est abrogé.»</w:t>
      </w:r>
    </w:p>
    <w:p w14:paraId="3B8234F9" w14:textId="77777777" w:rsidR="004C59F5" w:rsidRPr="00E61BFF" w:rsidRDefault="004C59F5" w:rsidP="000B6E75">
      <w:pPr>
        <w:pStyle w:val="21NovAo1"/>
      </w:pPr>
      <w:r>
        <w:t>41. Le paragraphe 3 suivant est ajouté à l’article 56 :</w:t>
      </w:r>
    </w:p>
    <w:p w14:paraId="0D371737" w14:textId="77777777" w:rsidR="004C59F5" w:rsidRPr="00E61BFF" w:rsidRDefault="004C59F5" w:rsidP="00B47DC9">
      <w:pPr>
        <w:pStyle w:val="51Abs"/>
      </w:pPr>
      <w:r>
        <w:t>«(3) l’article 6, paragraphe 1, l’article 7, paragraphe 1, l’article 7a, paragraphe 1, l’article 7, paragraphe 1, point a) et 2), l’article 7b, paragraphe 1, l’article 7c, paragraphe 1, l’article 8, paragraphes 1, 2 et 4, l’article 8a, paragraphes 2 et 4, l’article 10, paragraphe 1, point 3, l’article 11, paragraphe 1, point 10, l’article 13, paragraphe 7, l’article 14, paragraphes 2 et 3, l’article 15, paragraphes 1 et 3, l’article 16, paragraphe 1, l’article 20, paragraphe 2, l’article 30, l’article 32, l’article 33, paragraphe 2, l’article 33a, l’article 34, paragraphe 3, l’article 36, paragraphes 1 et 2, l’article 36b, l’article 41, paragraphes 1, 5, 7, 8 et 9, l’article 42 et l’article 50, paragraphe 1, tels que modifiés par le Journal officiel fédéral I n° 148/2020, ne s’appliquent qu’aux communications ou exécutions diffusées après l’entrée en vigueur du Journal officiel fédéral I n° 148/2020.»</w:t>
      </w:r>
    </w:p>
    <w:p w14:paraId="15825BE5" w14:textId="77777777" w:rsidR="004C59F5" w:rsidRPr="00E61BFF" w:rsidRDefault="004C59F5" w:rsidP="00B47DC9">
      <w:pPr>
        <w:pStyle w:val="21NovAo1"/>
      </w:pPr>
      <w:r>
        <w:t>42. L’article 57 devient l</w:t>
      </w:r>
      <w:proofErr w:type="gramStart"/>
      <w:r>
        <w:t>’</w:t>
      </w:r>
      <w:r>
        <w:rPr>
          <w:b/>
          <w:i w:val="0"/>
        </w:rPr>
        <w:t>«article</w:t>
      </w:r>
      <w:proofErr w:type="gramEnd"/>
      <w:r>
        <w:rPr>
          <w:b/>
          <w:i w:val="0"/>
        </w:rPr>
        <w:t> 58.»</w:t>
      </w:r>
      <w:r>
        <w:t>; L’article 57 suivant, y compris son titre, est inséré après l’article 56:</w:t>
      </w:r>
    </w:p>
    <w:p w14:paraId="450C1B89" w14:textId="77777777" w:rsidR="004C59F5" w:rsidRPr="00E61BFF" w:rsidRDefault="004C59F5" w:rsidP="000B6E75">
      <w:pPr>
        <w:pStyle w:val="45UeberschrPara"/>
      </w:pPr>
      <w:proofErr w:type="gramStart"/>
      <w:r>
        <w:t>«Transposition</w:t>
      </w:r>
      <w:proofErr w:type="gramEnd"/>
      <w:r>
        <w:t xml:space="preserve"> de directives de l’Union européenne</w:t>
      </w:r>
    </w:p>
    <w:p w14:paraId="7C892B36" w14:textId="77777777" w:rsidR="004C59F5" w:rsidRPr="00E61BFF" w:rsidRDefault="004C59F5" w:rsidP="000B6E75">
      <w:pPr>
        <w:pStyle w:val="51Abs"/>
      </w:pPr>
      <w:r>
        <w:rPr>
          <w:rStyle w:val="991GldSymbol"/>
        </w:rPr>
        <w:t>Article 57.</w:t>
      </w:r>
      <w:r>
        <w:t> Les articles 33, 33 bis, 36, 36 bis et 36 ter servent à la transposition</w:t>
      </w:r>
    </w:p>
    <w:p w14:paraId="354BABA8" w14:textId="77777777" w:rsidR="004C59F5" w:rsidRPr="00E61BFF" w:rsidRDefault="004C59F5" w:rsidP="000B6E75">
      <w:pPr>
        <w:pStyle w:val="52Aufzaehle1Ziffer"/>
      </w:pPr>
      <w:r>
        <w:tab/>
        <w:t>1.</w:t>
      </w:r>
      <w:r>
        <w:tab/>
        <w:t>de l’article 21 de la directive (UE) 2017/541 relative à la lutte contre le terrorisme et remplaçant la décision-cadre 2002/475/JAI du Conseil et modifiant la décision 2005/671/JAI du Conseil, JO L 88 du 31.3.2017, p. 6, et</w:t>
      </w:r>
    </w:p>
    <w:p w14:paraId="33051B62" w14:textId="77777777" w:rsidR="004C59F5" w:rsidRPr="00E61BFF" w:rsidRDefault="004C59F5" w:rsidP="000B6E75">
      <w:pPr>
        <w:pStyle w:val="52Aufzaehle1Ziffer"/>
      </w:pPr>
      <w:r>
        <w:tab/>
        <w:t>2.</w:t>
      </w:r>
      <w:r>
        <w:tab/>
        <w:t>de l’article 25 de la directive 2011/93/UE relative à la lutte contre les abus sexuels et l’exploitation sexuelle des enfants, ainsi que la pédopornographie et remplaçant la décision-cadre 2004/68/JAI du Conseil, JO L 335 du 17.12.2011, p. 1</w:t>
      </w:r>
      <w:proofErr w:type="gramStart"/>
      <w:r>
        <w:t>.»</w:t>
      </w:r>
      <w:proofErr w:type="gramEnd"/>
    </w:p>
    <w:p w14:paraId="65F83FCA" w14:textId="77777777" w:rsidR="004C59F5" w:rsidRPr="00E61BFF" w:rsidRDefault="004C59F5" w:rsidP="000B6E75">
      <w:pPr>
        <w:pStyle w:val="41UeberschrG1"/>
      </w:pPr>
      <w:r>
        <w:t>Article 10</w:t>
      </w:r>
    </w:p>
    <w:p w14:paraId="7FB40344" w14:textId="77777777" w:rsidR="004C59F5" w:rsidRPr="00E61BFF" w:rsidRDefault="004C59F5" w:rsidP="000B6E75">
      <w:pPr>
        <w:pStyle w:val="43UeberschrG2"/>
      </w:pPr>
      <w:r>
        <w:t>Modification du Code de procédure pénale de 1975</w:t>
      </w:r>
    </w:p>
    <w:p w14:paraId="37EE5492" w14:textId="77777777" w:rsidR="004C59F5" w:rsidRPr="00E61BFF" w:rsidRDefault="004C59F5" w:rsidP="000B6E75">
      <w:pPr>
        <w:pStyle w:val="12PromKlEinlSatz"/>
      </w:pPr>
      <w:r>
        <w:t xml:space="preserve">Le code de procédure pénale de 1975, Journal officiel de la République d’Autriche nº 631/1975, modifié en dernier lieu par la loi fédérale publiée au Journal officiel de la République d’Autriche I, nº 24/2020, est modifié comme </w:t>
      </w:r>
      <w:proofErr w:type="gramStart"/>
      <w:r>
        <w:t>suit:</w:t>
      </w:r>
      <w:proofErr w:type="gramEnd"/>
    </w:p>
    <w:p w14:paraId="4D2F2B19" w14:textId="77777777" w:rsidR="004C59F5" w:rsidRPr="00E61BFF" w:rsidRDefault="004C59F5" w:rsidP="000B6E75">
      <w:pPr>
        <w:pStyle w:val="21NovAo1"/>
      </w:pPr>
      <w:r>
        <w:t>1. Dans la table des matières, l’entrée suivante est insérée après l’entrée relative au point 66</w:t>
      </w:r>
      <w:proofErr w:type="gramStart"/>
      <w:r>
        <w:t>a:</w:t>
      </w:r>
      <w:proofErr w:type="gramEnd"/>
    </w:p>
    <w:p w14:paraId="2595318E" w14:textId="77777777" w:rsidR="004C59F5" w:rsidRPr="00E61BFF" w:rsidRDefault="005E1FCD" w:rsidP="005E1FCD">
      <w:pPr>
        <w:pStyle w:val="32InhaltEintragEinzug"/>
      </w:pPr>
      <w:r>
        <w:tab/>
      </w:r>
      <w:proofErr w:type="gramStart"/>
      <w:r>
        <w:t>«Article</w:t>
      </w:r>
      <w:proofErr w:type="gramEnd"/>
      <w:r>
        <w:t xml:space="preserve"> 66 ter Accompagnement juridique»</w:t>
      </w:r>
    </w:p>
    <w:p w14:paraId="679AD566" w14:textId="77777777" w:rsidR="004C59F5" w:rsidRPr="00E61BFF" w:rsidRDefault="004C59F5" w:rsidP="005E1FCD">
      <w:pPr>
        <w:pStyle w:val="22NovAo2"/>
      </w:pPr>
      <w:r>
        <w:t>2. Au paragraphe 30, paragraphe 1, point 3a, le mot</w:t>
      </w:r>
      <w:proofErr w:type="gramStart"/>
      <w:r>
        <w:t xml:space="preserve"> </w:t>
      </w:r>
      <w:r>
        <w:rPr>
          <w:i w:val="0"/>
        </w:rPr>
        <w:t>«continu</w:t>
      </w:r>
      <w:proofErr w:type="gramEnd"/>
      <w:r>
        <w:rPr>
          <w:i w:val="0"/>
        </w:rPr>
        <w:t>»</w:t>
      </w:r>
      <w:r>
        <w:t xml:space="preserve"> est remplacé par le mot </w:t>
      </w:r>
      <w:r>
        <w:rPr>
          <w:i w:val="0"/>
        </w:rPr>
        <w:t>«continu»</w:t>
      </w:r>
      <w:r>
        <w:t>.</w:t>
      </w:r>
    </w:p>
    <w:p w14:paraId="39F98877" w14:textId="77777777" w:rsidR="004C59F5" w:rsidRPr="00E61BFF" w:rsidRDefault="004C59F5" w:rsidP="000B6E75">
      <w:pPr>
        <w:pStyle w:val="21NovAo1"/>
      </w:pPr>
      <w:r>
        <w:t xml:space="preserve">3. À l’article 31, paragraphe 1, le point à la fin du point 5 est remplacé par une virgule et le point 6 suivant est </w:t>
      </w:r>
      <w:proofErr w:type="gramStart"/>
      <w:r>
        <w:t>ajouté:</w:t>
      </w:r>
      <w:proofErr w:type="gramEnd"/>
    </w:p>
    <w:p w14:paraId="34F511FA" w14:textId="77777777" w:rsidR="004C59F5" w:rsidRPr="00E61BFF" w:rsidRDefault="005E1FCD" w:rsidP="005E1FCD">
      <w:pPr>
        <w:pStyle w:val="52Aufzaehle1Ziffer"/>
      </w:pPr>
      <w:r>
        <w:tab/>
        <w:t>«6.</w:t>
      </w:r>
      <w:r>
        <w:tab/>
      </w:r>
      <w:proofErr w:type="gramStart"/>
      <w:r>
        <w:t>la</w:t>
      </w:r>
      <w:proofErr w:type="gramEnd"/>
      <w:r>
        <w:t xml:space="preserve"> procédure à suivre pour statuer sur les demandes d’ordonnance d’instruction de l’accusé (article 71, paragraphe 1, deuxième phrase).»</w:t>
      </w:r>
    </w:p>
    <w:p w14:paraId="38BF6801" w14:textId="77777777" w:rsidR="004C59F5" w:rsidRPr="00E61BFF" w:rsidRDefault="004C59F5" w:rsidP="000B6E75">
      <w:pPr>
        <w:pStyle w:val="21NovAo1"/>
      </w:pPr>
      <w:r>
        <w:t>4. Le paragraphe 49 actuel est attribué au nom du paragraphe</w:t>
      </w:r>
      <w:proofErr w:type="gramStart"/>
      <w:r>
        <w:t xml:space="preserve"> </w:t>
      </w:r>
      <w:r>
        <w:rPr>
          <w:i w:val="0"/>
        </w:rPr>
        <w:t>«(</w:t>
      </w:r>
      <w:proofErr w:type="gramEnd"/>
      <w:r>
        <w:rPr>
          <w:i w:val="0"/>
        </w:rPr>
        <w:t>1)»</w:t>
      </w:r>
      <w:r>
        <w:t xml:space="preserve"> et le paragraphe 2 suivant est ajouté:</w:t>
      </w:r>
    </w:p>
    <w:p w14:paraId="2205D372" w14:textId="77777777" w:rsidR="004C59F5" w:rsidRPr="00E61BFF" w:rsidRDefault="004C59F5" w:rsidP="000B6E75">
      <w:pPr>
        <w:pStyle w:val="51Abs"/>
      </w:pPr>
      <w:proofErr w:type="gramStart"/>
      <w:r>
        <w:t>«(</w:t>
      </w:r>
      <w:proofErr w:type="gramEnd"/>
      <w:r>
        <w:t>2) L’accusé n’a le droit d’accorder l’accès au dossier (article 68) aux victimes, aux particuliers ou aux procureurs privés que dans la mesure nécessaire à la sauvegarde de leurs intérêts.»</w:t>
      </w:r>
    </w:p>
    <w:p w14:paraId="548D712A" w14:textId="77777777" w:rsidR="004C59F5" w:rsidRPr="00E61BFF" w:rsidRDefault="004C59F5" w:rsidP="001B6B96">
      <w:pPr>
        <w:pStyle w:val="22NovAo2"/>
      </w:pPr>
      <w:r>
        <w:t>5. L’article 66, paragraphes 2 et 4, est supprimé.</w:t>
      </w:r>
    </w:p>
    <w:p w14:paraId="513B2D4D" w14:textId="77777777" w:rsidR="004C59F5" w:rsidRPr="00E61BFF" w:rsidRDefault="004C59F5" w:rsidP="000B6E75">
      <w:pPr>
        <w:pStyle w:val="21NovAo1"/>
      </w:pPr>
      <w:r>
        <w:lastRenderedPageBreak/>
        <w:t xml:space="preserve">6. L’article 66 ter, y compris le titre suivant, est ajouté après l’article 66 </w:t>
      </w:r>
      <w:proofErr w:type="gramStart"/>
      <w:r>
        <w:t>bis:</w:t>
      </w:r>
      <w:proofErr w:type="gramEnd"/>
    </w:p>
    <w:p w14:paraId="6645C307" w14:textId="77777777" w:rsidR="004C59F5" w:rsidRPr="00E61BFF" w:rsidRDefault="004C59F5" w:rsidP="000B6E75">
      <w:pPr>
        <w:pStyle w:val="45UeberschrPara"/>
      </w:pPr>
      <w:proofErr w:type="gramStart"/>
      <w:r>
        <w:t>«Accompagnement</w:t>
      </w:r>
      <w:proofErr w:type="gramEnd"/>
      <w:r>
        <w:t xml:space="preserve"> juridique</w:t>
      </w:r>
    </w:p>
    <w:p w14:paraId="1D57DE81" w14:textId="77777777" w:rsidR="004C59F5" w:rsidRPr="00E61BFF" w:rsidRDefault="004C59F5" w:rsidP="000B6E75">
      <w:pPr>
        <w:pStyle w:val="51Abs"/>
      </w:pPr>
      <w:r>
        <w:rPr>
          <w:rStyle w:val="991GldSymbol"/>
        </w:rPr>
        <w:t>Article 66 ter.</w:t>
      </w:r>
      <w:r>
        <w:t xml:space="preserve"> (1) À leur demande,</w:t>
      </w:r>
    </w:p>
    <w:p w14:paraId="4EFFB11C" w14:textId="77777777" w:rsidR="004C59F5" w:rsidRPr="00E61BFF" w:rsidRDefault="004C59F5" w:rsidP="000B6E75">
      <w:pPr>
        <w:pStyle w:val="52Aufzaehle2Lit"/>
      </w:pPr>
      <w:r>
        <w:tab/>
        <w:t>a)</w:t>
      </w:r>
      <w:r>
        <w:tab/>
        <w:t>les victimes au sens de l’article 65, point 1, lettre a ou b,</w:t>
      </w:r>
    </w:p>
    <w:p w14:paraId="423A6C7E" w14:textId="77777777" w:rsidR="004C59F5" w:rsidRPr="00E61BFF" w:rsidRDefault="004C59F5" w:rsidP="000B6E75">
      <w:pPr>
        <w:pStyle w:val="52Aufzaehle2Lit"/>
      </w:pPr>
      <w:r>
        <w:tab/>
        <w:t>b)</w:t>
      </w:r>
      <w:r>
        <w:tab/>
        <w:t xml:space="preserve">les victimes (article 65, point 1) d’actes terroristes (article 278 quater </w:t>
      </w:r>
      <w:proofErr w:type="spellStart"/>
      <w:r>
        <w:t>StGB</w:t>
      </w:r>
      <w:proofErr w:type="spellEnd"/>
      <w:r>
        <w:t>),</w:t>
      </w:r>
    </w:p>
    <w:p w14:paraId="5660F823" w14:textId="77777777" w:rsidR="004C59F5" w:rsidRPr="00E61BFF" w:rsidRDefault="004C59F5" w:rsidP="000B6E75">
      <w:pPr>
        <w:pStyle w:val="52Aufzaehle2Lit"/>
      </w:pPr>
      <w:r>
        <w:tab/>
        <w:t>c)</w:t>
      </w:r>
      <w:r>
        <w:tab/>
        <w:t xml:space="preserve">les victimes (article 65, point 1) de persécutions persistantes (article 107 bis </w:t>
      </w:r>
      <w:proofErr w:type="spellStart"/>
      <w:r>
        <w:t>StGB</w:t>
      </w:r>
      <w:proofErr w:type="spellEnd"/>
      <w:r>
        <w:t xml:space="preserve">), de harcèlement persistant au moyen des télécommunications ou d’un système informatique (article 107 quater </w:t>
      </w:r>
      <w:proofErr w:type="spellStart"/>
      <w:r>
        <w:t>StGB</w:t>
      </w:r>
      <w:proofErr w:type="spellEnd"/>
      <w:r>
        <w:t xml:space="preserve">) et de discours haineux (article 283 </w:t>
      </w:r>
      <w:proofErr w:type="spellStart"/>
      <w:r>
        <w:t>StGB</w:t>
      </w:r>
      <w:proofErr w:type="spellEnd"/>
      <w:r>
        <w:t>),</w:t>
      </w:r>
    </w:p>
    <w:p w14:paraId="611C32CD" w14:textId="77777777" w:rsidR="004C59F5" w:rsidRPr="00E61BFF" w:rsidRDefault="004C59F5" w:rsidP="000B6E75">
      <w:pPr>
        <w:pStyle w:val="52Aufzaehle2Lit"/>
      </w:pPr>
      <w:r>
        <w:tab/>
        <w:t>d)</w:t>
      </w:r>
      <w:r>
        <w:tab/>
        <w:t xml:space="preserve">Les victimes (article 65, paragraphe 1, du Code pénal), l’accusation d’infraction pénale (article 111 du Code pénal) qui a déjà été rejetée (article 113 du Code pénal), d’insultes (article 115 du Code pénal) et de diffamation (article 297 du Code pénal), lorsqu’il peut être présumé, sur la base de certains éléments de preuve, qu’un tel acte a été commis par télécommunications ou par l’utilisation d’un système </w:t>
      </w:r>
      <w:proofErr w:type="gramStart"/>
      <w:r>
        <w:t>informatique;</w:t>
      </w:r>
      <w:proofErr w:type="gramEnd"/>
      <w:r>
        <w:t xml:space="preserve"> et</w:t>
      </w:r>
    </w:p>
    <w:p w14:paraId="11D5C562" w14:textId="77777777" w:rsidR="004C59F5" w:rsidRPr="00E61BFF" w:rsidRDefault="004C59F5" w:rsidP="000B6E75">
      <w:pPr>
        <w:pStyle w:val="52Aufzaehle2Lit"/>
      </w:pPr>
      <w:r>
        <w:tab/>
        <w:t>e)</w:t>
      </w:r>
      <w:r>
        <w:tab/>
        <w:t>les mineurs qui ont été témoins de violences dans leur environnement social proche (violences au sein de la famille, violences contre les enfants),</w:t>
      </w:r>
    </w:p>
    <w:p w14:paraId="5101EB16" w14:textId="77777777" w:rsidR="004C59F5" w:rsidRPr="00E61BFF" w:rsidRDefault="004C59F5" w:rsidP="001B6B96">
      <w:pPr>
        <w:pStyle w:val="58Schlussteile0Abs"/>
      </w:pPr>
      <w:proofErr w:type="gramStart"/>
      <w:r>
        <w:t>accorder</w:t>
      </w:r>
      <w:proofErr w:type="gramEnd"/>
      <w:r>
        <w:t xml:space="preserve"> un soutien psychosocial et juridique aux procédures dans la mesure nécessaire à la sauvegarde de leurs droits procéduraux, en tenant le plus grand compte de leurs préoccupations personnelles. Les victimes dont l’intégrité sexuelle aurait pu être atteinte et qui n’ont pas encore atteint l’âge de quatorze ans doivent en tout état de cause bénéficier d’un accompagnement psychosocial.</w:t>
      </w:r>
    </w:p>
    <w:p w14:paraId="51A48475" w14:textId="77777777" w:rsidR="004C59F5" w:rsidRPr="00E61BFF" w:rsidRDefault="004C59F5" w:rsidP="000B6E75">
      <w:pPr>
        <w:pStyle w:val="51Abs"/>
      </w:pPr>
      <w:r>
        <w:t>(2) L’accompagnement psychosocial comprend la préparation des intéressés à la procédure et au stress émotionnel associé ainsi que l’accompagnement pour les interrogatoires dans l’enquête et la procédure principale, l’accompagnement juridique, les conseils juridiques et la représentation par un avocat.</w:t>
      </w:r>
    </w:p>
    <w:p w14:paraId="2F7A51B3" w14:textId="77777777" w:rsidR="004C59F5" w:rsidRPr="00E61BFF" w:rsidRDefault="004C59F5" w:rsidP="000B6E75">
      <w:pPr>
        <w:pStyle w:val="51Abs"/>
      </w:pPr>
      <w:r>
        <w:t>(3) Le ministre fédéral de la justice est autorisé à passer un contrat pour accorder aux personnes visées au paragraphe 1, après examen des exigences légales, des dispositions détaillées sur les conditions de mise en place de ces institutions et, en accord avec le ministre fédéral de la femme et de l’intégration à la Chancellerie fédérale et le ministre fédéral du travail, de la famille et de la jeunesse, sur les normes de qualité du suivi des processus, en particulier sur la formation et la formation continue des accompagnateurs.»</w:t>
      </w:r>
    </w:p>
    <w:p w14:paraId="029D07AA" w14:textId="77777777" w:rsidR="004C59F5" w:rsidRPr="00E61BFF" w:rsidRDefault="004C59F5" w:rsidP="001B6B96">
      <w:pPr>
        <w:pStyle w:val="22NovAo2"/>
      </w:pPr>
      <w:r>
        <w:t>7. À l’article 67, paragraphe 7 et à l’article 381, paragraphe 1, point 9, l’expression entre parenthèses</w:t>
      </w:r>
      <w:proofErr w:type="gramStart"/>
      <w:r>
        <w:t xml:space="preserve"> «(</w:t>
      </w:r>
      <w:proofErr w:type="gramEnd"/>
      <w:r>
        <w:t>article 66, paragraphe 2)» est remplacée par l’expression entre parenthèses «(article 66 ter)».</w:t>
      </w:r>
    </w:p>
    <w:p w14:paraId="5D3BAABF" w14:textId="77777777" w:rsidR="004C59F5" w:rsidRPr="00E61BFF" w:rsidRDefault="004C59F5" w:rsidP="001B6B96">
      <w:pPr>
        <w:pStyle w:val="22NovAo2"/>
      </w:pPr>
      <w:r>
        <w:t>8. Au paragraphe 70, paragraphe 2, l’expression</w:t>
      </w:r>
      <w:proofErr w:type="gramStart"/>
      <w:r>
        <w:t xml:space="preserve"> </w:t>
      </w:r>
      <w:r>
        <w:rPr>
          <w:i w:val="0"/>
        </w:rPr>
        <w:t>«article</w:t>
      </w:r>
      <w:proofErr w:type="gramEnd"/>
      <w:r>
        <w:rPr>
          <w:i w:val="0"/>
        </w:rPr>
        <w:t xml:space="preserve"> 65, paragraphe1, lettres a) ou b), et les victimes (article 65, paragraphe) d’infractions terroristes (article 278 quater </w:t>
      </w:r>
      <w:proofErr w:type="spellStart"/>
      <w:r>
        <w:rPr>
          <w:i w:val="0"/>
        </w:rPr>
        <w:t>StGB</w:t>
      </w:r>
      <w:proofErr w:type="spellEnd"/>
      <w:r>
        <w:rPr>
          <w:i w:val="0"/>
        </w:rPr>
        <w:t>)»</w:t>
      </w:r>
      <w:r>
        <w:t xml:space="preserve"> est remplacée par l’expression </w:t>
      </w:r>
      <w:r>
        <w:rPr>
          <w:i w:val="0"/>
        </w:rPr>
        <w:t>«article 66 ter, paragraphe 1, lettres a) à d)»</w:t>
      </w:r>
      <w:r>
        <w:t>.</w:t>
      </w:r>
    </w:p>
    <w:p w14:paraId="55123EC0" w14:textId="77777777" w:rsidR="004C59F5" w:rsidRPr="00E61BFF" w:rsidRDefault="004C59F5" w:rsidP="000B6E75">
      <w:pPr>
        <w:pStyle w:val="21NovAo1"/>
      </w:pPr>
      <w:r>
        <w:t xml:space="preserve">9. L’article 71 est formulé comme </w:t>
      </w:r>
      <w:proofErr w:type="gramStart"/>
      <w:r>
        <w:t>suit:</w:t>
      </w:r>
      <w:proofErr w:type="gramEnd"/>
    </w:p>
    <w:p w14:paraId="37FE22AB" w14:textId="77777777" w:rsidR="004C59F5" w:rsidRPr="00E61BFF" w:rsidRDefault="004C59F5" w:rsidP="000B6E75">
      <w:pPr>
        <w:pStyle w:val="51Abs"/>
      </w:pPr>
      <w:r>
        <w:t>« </w:t>
      </w:r>
      <w:r>
        <w:rPr>
          <w:rStyle w:val="991GldSymbol"/>
        </w:rPr>
        <w:t>Article 71.</w:t>
      </w:r>
      <w:r>
        <w:t xml:space="preserve"> (1) Les actes criminels dont la commission ne doit être poursuivie qu’à la demande de la victime désigne la loi. Afin d’enquêter sur l’accusé d’une infraction sur la base d’une infraction pénale (article 111 du Code pénal), d’accusation d’infraction qui a déjà été rejetée (article 113 du </w:t>
      </w:r>
      <w:proofErr w:type="spellStart"/>
      <w:r>
        <w:t>StGB</w:t>
      </w:r>
      <w:proofErr w:type="spellEnd"/>
      <w:r>
        <w:t xml:space="preserve">) ou d’insulte (article 115 du </w:t>
      </w:r>
      <w:proofErr w:type="spellStart"/>
      <w:r>
        <w:t>StGB</w:t>
      </w:r>
      <w:proofErr w:type="spellEnd"/>
      <w:r>
        <w:t>) commise au moyen de télécommunications ou au moyen d’un système informatique, la victime peut saisir le tribunal (article 31, paragraphe 1, point 6) pour obtenir des ordonnances en vertu de l’article 76 bis ou de l’article 135, paragraphe 2, point 2), qui doivent satisfaire aux exigences d’une demande de preuve (article 55). La victime a le droit d’introduire une demande, sauf s’il est évident, dans l’exposé des motifs. Le tribunal est tenu de statuer sur l’ordonnance des mesures d’enquête demandées conformément aux dispositions pertinentes. La dernière phrase de l’article 104, paragraphe 1, et la deuxième phrase de l’article 210, paragraphe 3, s’appliquent mutatis mutandis.</w:t>
      </w:r>
    </w:p>
    <w:p w14:paraId="2B84C893" w14:textId="77777777" w:rsidR="004C59F5" w:rsidRPr="00E61BFF" w:rsidRDefault="004C59F5" w:rsidP="000B6E75">
      <w:pPr>
        <w:pStyle w:val="51Abs"/>
      </w:pPr>
      <w:r>
        <w:t>(2) En cas d’enquête, la juridiction notifie immédiatement au défendeur la décision visée au paragraphe 1 et l’informe de son droit de porter plainte (article 87). Dès que la décision est devenue définitive à l’égard de l’accusé, le tribunal doit notifier à la victime les données faisant l’objet de l’enquête conformément à l’article 76 bis ou le résultat transmis par écrit (article 134, paragraphe 5). Dans le cas contraire, la victime doit être informée que l’enquête de l’accusé n’a pas été possible ou que la communication des données n’est pas autorisée.</w:t>
      </w:r>
    </w:p>
    <w:p w14:paraId="200F69B3" w14:textId="77777777" w:rsidR="004C59F5" w:rsidRPr="00E61BFF" w:rsidRDefault="004C59F5" w:rsidP="000B6E75">
      <w:pPr>
        <w:pStyle w:val="51Abs"/>
      </w:pPr>
      <w:r>
        <w:t xml:space="preserve">(3) La procédure principale pour les infractions visées au paragraphe 1 est conduite sur la base d’une action privée qui doit satisfaire aux exigences d’un acte d’accusation (article 211) ou d’une demande indépendante du procureur privé en vue de l’émission d’injonctions de mort en vertu de l’article 445. Les actions privées sont portées devant la juridiction compétente, dans le cas d’une demande au titre du paragraphe 1, dans un délai de six semaines à compter de la date à laquelle les informations ont été fournies </w:t>
      </w:r>
      <w:r>
        <w:lastRenderedPageBreak/>
        <w:t>conformément à la deuxième phrase du paragraphe 2. Le droit de présenter une demande et toute réclamation de droit privé doivent être indiqués dans les considérations, sauf s’il est évident. Il en va de même pour une demande indépendante de délivrance d’injonctions de capital en vertu de l’article 445.</w:t>
      </w:r>
    </w:p>
    <w:p w14:paraId="0A56B7A5" w14:textId="77777777" w:rsidR="004C59F5" w:rsidRPr="00E61BFF" w:rsidRDefault="004C59F5" w:rsidP="000B6E75">
      <w:pPr>
        <w:pStyle w:val="51Abs"/>
      </w:pPr>
      <w:r>
        <w:t>(4) Dans les cas visés à l’article 117, paragraphes 2 et 3, du code pénal, la victime a le droit d’intenter une action privée si elle ou son autorité supérieure n’accorde pas ou ne retire pas l’autorisation de poursuivre (art. 92). N’a pas le droit de mettre en accusation la personne qui y renonce expressément ou qui a pardonné la commission de l’infraction. Les articles 57 et 58 du Code pénal restent inchangés.</w:t>
      </w:r>
    </w:p>
    <w:p w14:paraId="3BCFF096" w14:textId="77777777" w:rsidR="004C59F5" w:rsidRPr="00E61BFF" w:rsidRDefault="004C59F5" w:rsidP="000B6E75">
      <w:pPr>
        <w:pStyle w:val="51Abs"/>
      </w:pPr>
      <w:r>
        <w:t>(5) Tardivement (paragraphe 3), les actions privées et les demandes d’injonction de propriété en vertu de l’article 445 doivent être rejetées sur décision du tribunal et, en outre, l’action privée ou la demande d’injonctions de capital en vertu de l’article 445 doit être notifiée au défendeur ou au défendeur et aux parties à la responsabilité avec les informations qu’elles ont le droit de présenter leurs observations dans un délai de 14 jours. En vertu de cette disposition, le tribunal est tenu d’organiser l’audience principale, à moins qu’elle ne se déroule en vertu de l’article 451 ou de l’article 485.</w:t>
      </w:r>
    </w:p>
    <w:p w14:paraId="334D7473" w14:textId="77777777" w:rsidR="004C59F5" w:rsidRPr="00E61BFF" w:rsidRDefault="004C59F5" w:rsidP="000B6E75">
      <w:pPr>
        <w:pStyle w:val="51Abs"/>
      </w:pPr>
      <w:r>
        <w:t xml:space="preserve">(6) Dans l’affaire au principal, le procureur privé a en principe les mêmes droits que le procureur </w:t>
      </w:r>
      <w:proofErr w:type="gramStart"/>
      <w:r>
        <w:t>public;</w:t>
      </w:r>
      <w:proofErr w:type="gramEnd"/>
      <w:r>
        <w:t xml:space="preserve"> toutefois, il n’a le droit de demander des mesures coercitives que dans la mesure où cela est nécessaire pour obtenir des preuves ou des ordonnances en matière de biens. Il n’a pas le droit de demander les mesures coercitives prévues à la 9e section.</w:t>
      </w:r>
    </w:p>
    <w:p w14:paraId="3D791DF8" w14:textId="77777777" w:rsidR="004C59F5" w:rsidRPr="00E61BFF" w:rsidRDefault="004C59F5" w:rsidP="000B6E75">
      <w:pPr>
        <w:pStyle w:val="51Abs"/>
      </w:pPr>
      <w:r>
        <w:t>(7) Si le procureur privé n’est pas présent à l’audience principale ou ne présente pas les demandes nécessaires, il est présumé qu’il a renoncé à la persécution. Dans ce cas, la procédure est close par décision</w:t>
      </w:r>
      <w:proofErr w:type="gramStart"/>
      <w:r>
        <w:t>.»</w:t>
      </w:r>
      <w:proofErr w:type="gramEnd"/>
    </w:p>
    <w:p w14:paraId="6A7F83CA" w14:textId="77777777" w:rsidR="004C59F5" w:rsidRPr="00E61BFF" w:rsidRDefault="004C59F5" w:rsidP="001B6B96">
      <w:pPr>
        <w:pStyle w:val="22NovAo2"/>
      </w:pPr>
      <w:r>
        <w:t>10. À l’article 76 bis paragraphe 1, après les mots</w:t>
      </w:r>
      <w:proofErr w:type="gramStart"/>
      <w:r>
        <w:t xml:space="preserve"> «services</w:t>
      </w:r>
      <w:proofErr w:type="gramEnd"/>
      <w:r>
        <w:t xml:space="preserve"> de communication», les mots «et d’autres prestataires de services (article 3, paragraphe 2, ECG)» sont insérés, et les mots «ou les utilisateurs d’un autre service (article 3, paragraphe 4, ECG)» sont insérés après les mots «participants (article 90(7) TKG)».</w:t>
      </w:r>
    </w:p>
    <w:p w14:paraId="38EFCE46" w14:textId="77777777" w:rsidR="004C59F5" w:rsidRPr="00E61BFF" w:rsidRDefault="004C59F5" w:rsidP="000B6E75">
      <w:pPr>
        <w:pStyle w:val="21NovAo1"/>
      </w:pPr>
      <w:r>
        <w:t xml:space="preserve">11. Au paragraphe 390, paragraphe 1, le paragraphe 1a suivant est inséré après le paragraphe </w:t>
      </w:r>
      <w:proofErr w:type="gramStart"/>
      <w:r>
        <w:t>1:</w:t>
      </w:r>
      <w:proofErr w:type="gramEnd"/>
    </w:p>
    <w:p w14:paraId="62C930DD" w14:textId="77777777" w:rsidR="004C59F5" w:rsidRPr="00E61BFF" w:rsidRDefault="004C59F5" w:rsidP="000B6E75">
      <w:pPr>
        <w:pStyle w:val="51Abs"/>
      </w:pPr>
      <w:proofErr w:type="gramStart"/>
      <w:r>
        <w:t>«(</w:t>
      </w:r>
      <w:proofErr w:type="gramEnd"/>
      <w:r>
        <w:t>1a) Dans le cadre d’une procédure pénale fondée sur des allégations pénales (article 111 du Code pénal), une accusation d’infraction déjà rejetée (article 113 du Code pénal) ou une insulte (article 115 du Code pénal) commise au moyen de télécommunications ou à l’aide d’un système informatique, le procureur privé ou le demandeur (article 71, paragraphe 1) n’est tenu de rembourser les frais que s’il a soulevé sciemment à tort l’allégation.»</w:t>
      </w:r>
    </w:p>
    <w:p w14:paraId="5B647B87" w14:textId="77777777" w:rsidR="004C59F5" w:rsidRPr="00E61BFF" w:rsidRDefault="004C59F5" w:rsidP="000B6E75">
      <w:pPr>
        <w:pStyle w:val="21NovAo1"/>
      </w:pPr>
      <w:r>
        <w:t xml:space="preserve">12. À l’article 393, le paragraphe 4a suivant est inséré après le paragraphe </w:t>
      </w:r>
      <w:proofErr w:type="gramStart"/>
      <w:r>
        <w:t>4:</w:t>
      </w:r>
      <w:proofErr w:type="gramEnd"/>
    </w:p>
    <w:p w14:paraId="38E3E3CD" w14:textId="77777777" w:rsidR="004C59F5" w:rsidRPr="00E61BFF" w:rsidRDefault="004C59F5" w:rsidP="000B6E75">
      <w:pPr>
        <w:pStyle w:val="51Abs"/>
      </w:pPr>
      <w:proofErr w:type="gramStart"/>
      <w:r>
        <w:t>«(</w:t>
      </w:r>
      <w:proofErr w:type="gramEnd"/>
      <w:r>
        <w:t xml:space="preserve">4a) Si une procédure pénale prend fin sur la base d’une infraction pénale (article 111 du Code pénal), d’allégation d’infraction déjà rejetée (article 113 du </w:t>
      </w:r>
      <w:proofErr w:type="spellStart"/>
      <w:r>
        <w:t>StGB</w:t>
      </w:r>
      <w:proofErr w:type="spellEnd"/>
      <w:r>
        <w:t xml:space="preserve">) ou d’insulte (article 115 du </w:t>
      </w:r>
      <w:proofErr w:type="spellStart"/>
      <w:r>
        <w:t>StGB</w:t>
      </w:r>
      <w:proofErr w:type="spellEnd"/>
      <w:r>
        <w:t>) commise au moyen de télécommunications ou à l’aide d’un système informatique, le procureur privé rembourse au défendeur, dans le cadre de la procédure principale et de l’appel, tous les frais de défense, sauf s’il n’y a pas d’obligation d’indemnisation au titre du paragraphe 4.»</w:t>
      </w:r>
    </w:p>
    <w:p w14:paraId="19A70FAF" w14:textId="77777777" w:rsidR="00870E6F" w:rsidRPr="00E61BFF" w:rsidRDefault="00870E6F" w:rsidP="00870E6F">
      <w:pPr>
        <w:pStyle w:val="22NovAo2"/>
      </w:pPr>
      <w:r>
        <w:t>12a. Au paragraphe 395(1), après les mots</w:t>
      </w:r>
      <w:proofErr w:type="gramStart"/>
      <w:r>
        <w:t xml:space="preserve"> </w:t>
      </w:r>
      <w:r>
        <w:rPr>
          <w:i w:val="0"/>
        </w:rPr>
        <w:t>«paragraphe</w:t>
      </w:r>
      <w:proofErr w:type="gramEnd"/>
      <w:r>
        <w:rPr>
          <w:i w:val="0"/>
        </w:rPr>
        <w:t xml:space="preserve"> 4»</w:t>
      </w:r>
      <w:r>
        <w:t xml:space="preserve">, l’expression </w:t>
      </w:r>
      <w:r>
        <w:rPr>
          <w:i w:val="0"/>
        </w:rPr>
        <w:t>«paragraphe 4a»</w:t>
      </w:r>
      <w:r>
        <w:t xml:space="preserve"> est insérée.</w:t>
      </w:r>
    </w:p>
    <w:p w14:paraId="391168BE" w14:textId="77777777" w:rsidR="004C59F5" w:rsidRPr="00E61BFF" w:rsidRDefault="004C59F5" w:rsidP="000B6E75">
      <w:pPr>
        <w:pStyle w:val="21NovAo1"/>
      </w:pPr>
      <w:r>
        <w:t xml:space="preserve">13. Le paragraphe 46 suivant est ajouté à l’article </w:t>
      </w:r>
      <w:proofErr w:type="gramStart"/>
      <w:r>
        <w:t>514:</w:t>
      </w:r>
      <w:proofErr w:type="gramEnd"/>
    </w:p>
    <w:p w14:paraId="6BEC1564" w14:textId="77777777" w:rsidR="004C59F5" w:rsidRPr="00E61BFF" w:rsidRDefault="004C59F5" w:rsidP="000B6E75">
      <w:pPr>
        <w:pStyle w:val="51Abs"/>
      </w:pPr>
      <w:r>
        <w:t>«(46) L’inscription du titre de l’article 66 ter dans la table des matières et de l’article 30, paragraphe 1, point 3 bis), de l’article 31, paragraphe 1, de l’article 49, de l’article 66 ter, de l’article 67, paragraphe 7, de l’article 70, paragraphe 2, de l’article 71, de l’article 76 bis, paragraphe 1, de l’article 381, paragraphe 1, point 9, de l’article 390, paragraphe 1 bis, de l’article 393 bis, paragraphe 4 bis, de l’article 395, paragraphe 1, et de l’article 516 bis, paragraphe 12, tel que modifié par le Journal officiel fédéral I no 148/2020, entre en vigueur le 1er janvier 2021; dans le même temps, l’article 66, paragraphes 2 et 4, est supprimé. L’article 390, paragraphe 1 bis, et l’article 393, paragraphe 4 bis, tels que modifiés par le Journal officiel fédéral I no 148/2020, entrent en vigueur et sont annulés le 31 décembre 2023</w:t>
      </w:r>
      <w:proofErr w:type="gramStart"/>
      <w:r>
        <w:t>.»</w:t>
      </w:r>
      <w:proofErr w:type="gramEnd"/>
    </w:p>
    <w:p w14:paraId="5AFD8B65" w14:textId="77777777" w:rsidR="004C59F5" w:rsidRPr="00E61BFF" w:rsidRDefault="004C59F5" w:rsidP="000B6E75">
      <w:pPr>
        <w:pStyle w:val="21NovAo1"/>
      </w:pPr>
      <w:r>
        <w:t xml:space="preserve">14. Le paragraphe 12 suivant est ajouté à l’article 516 </w:t>
      </w:r>
      <w:proofErr w:type="gramStart"/>
      <w:r>
        <w:t>bis:</w:t>
      </w:r>
      <w:proofErr w:type="gramEnd"/>
    </w:p>
    <w:p w14:paraId="4BD99B73" w14:textId="77777777" w:rsidR="004C59F5" w:rsidRPr="00E61BFF" w:rsidRDefault="004C59F5" w:rsidP="000B6E75">
      <w:pPr>
        <w:pStyle w:val="51Abs"/>
      </w:pPr>
      <w:proofErr w:type="gramStart"/>
      <w:r>
        <w:t>«(</w:t>
      </w:r>
      <w:proofErr w:type="gramEnd"/>
      <w:r>
        <w:t>12) L’article 66 ter dans la version du Journal officiel de la République d’Autriche I, nº 148/2020 sert à transposer la directive 2012/29/UE établissant des normes minimales concernant les droits, le soutien et la protection des victimes de la criminalité et remplaçant la décision-cadre 2001/220/JAI, JO L 315 du 14.11.2012, p. 57.»</w:t>
      </w:r>
    </w:p>
    <w:p w14:paraId="762D6AFB" w14:textId="77777777" w:rsidR="004C59F5" w:rsidRPr="00E61BFF" w:rsidRDefault="004C59F5" w:rsidP="000B6E75">
      <w:pPr>
        <w:pStyle w:val="41UeberschrG1"/>
      </w:pPr>
      <w:r>
        <w:lastRenderedPageBreak/>
        <w:t>Article 11</w:t>
      </w:r>
    </w:p>
    <w:p w14:paraId="476E2814" w14:textId="77777777" w:rsidR="004C59F5" w:rsidRPr="00E61BFF" w:rsidRDefault="004C59F5" w:rsidP="000B6E75">
      <w:pPr>
        <w:pStyle w:val="43UeberschrG2"/>
      </w:pPr>
      <w:r>
        <w:t>Entrée en vigueur</w:t>
      </w:r>
    </w:p>
    <w:p w14:paraId="68045BB5" w14:textId="77777777" w:rsidR="004C59F5" w:rsidRPr="00E61BFF" w:rsidRDefault="004C59F5" w:rsidP="000B6E75">
      <w:pPr>
        <w:pStyle w:val="51Abs"/>
      </w:pPr>
      <w:r>
        <w:rPr>
          <w:rStyle w:val="991GldSymbol"/>
          <w:b w:val="0"/>
        </w:rPr>
        <w:t xml:space="preserve">Article </w:t>
      </w:r>
      <w:proofErr w:type="gramStart"/>
      <w:r>
        <w:rPr>
          <w:rStyle w:val="991GldSymbol"/>
          <w:b w:val="0"/>
        </w:rPr>
        <w:t>8</w:t>
      </w:r>
      <w:r>
        <w:t>;tel</w:t>
      </w:r>
      <w:proofErr w:type="gramEnd"/>
      <w:r>
        <w:t xml:space="preserve"> que modifié par la loi fédérale Journal officiel fédéral I no 148/20120 entre en vigueur le 1er janvier 2021.</w:t>
      </w:r>
    </w:p>
    <w:p w14:paraId="0A3F23CC" w14:textId="77777777" w:rsidR="004C59F5" w:rsidRPr="00E61BFF" w:rsidRDefault="004C59F5" w:rsidP="000B6E75">
      <w:pPr>
        <w:pStyle w:val="41UeberschrG1"/>
      </w:pPr>
      <w:r>
        <w:t>Article 12</w:t>
      </w:r>
    </w:p>
    <w:p w14:paraId="334CF1F2" w14:textId="77777777" w:rsidR="004C59F5" w:rsidRPr="00E61BFF" w:rsidRDefault="004C59F5" w:rsidP="000B6E75">
      <w:pPr>
        <w:pStyle w:val="43UeberschrG2"/>
      </w:pPr>
      <w:r>
        <w:t>Notification</w:t>
      </w:r>
    </w:p>
    <w:p w14:paraId="29EAAA88" w14:textId="77777777" w:rsidR="004C59F5" w:rsidRPr="00E61BFF" w:rsidRDefault="004C59F5" w:rsidP="000B6E75">
      <w:pPr>
        <w:pStyle w:val="51Abs"/>
      </w:pPr>
      <w:r>
        <w:t>Le contenu de cette disposition a été notifié conformément aux dispositions de la directive (UE) 2015/1535 du Parlement européen et du Conseil du 9 septembre 2015 prévoyant une procédure d’information dans le domaine des réglementations techniques et des règles relatives aux services de la société de l’information en ce qui concerne les numéros de notification 2020/547/A et 2020/548/A.</w:t>
      </w:r>
    </w:p>
    <w:p w14:paraId="2A9CE02D" w14:textId="77777777" w:rsidR="00691C7A" w:rsidRPr="00E61BFF" w:rsidRDefault="00691C7A" w:rsidP="00691C7A">
      <w:pPr>
        <w:pStyle w:val="68UnterschrL"/>
      </w:pPr>
      <w:r>
        <w:t xml:space="preserve">Van der </w:t>
      </w:r>
      <w:proofErr w:type="spellStart"/>
      <w:r>
        <w:t>Bellen</w:t>
      </w:r>
      <w:proofErr w:type="spellEnd"/>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8FB0" w14:textId="77777777" w:rsidR="00284CF0" w:rsidRDefault="00284CF0">
      <w:r>
        <w:separator/>
      </w:r>
    </w:p>
  </w:endnote>
  <w:endnote w:type="continuationSeparator" w:id="0">
    <w:p w14:paraId="285142AF" w14:textId="77777777" w:rsidR="00284CF0" w:rsidRDefault="00284CF0">
      <w:r>
        <w:continuationSeparator/>
      </w:r>
    </w:p>
  </w:endnote>
  <w:endnote w:type="continuationNotice" w:id="1">
    <w:p w14:paraId="244EFF3B" w14:textId="77777777" w:rsidR="00284CF0" w:rsidRDefault="00284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4EC9" w14:textId="77777777" w:rsidR="00284CF0" w:rsidRDefault="00284CF0">
      <w:r>
        <w:separator/>
      </w:r>
    </w:p>
  </w:footnote>
  <w:footnote w:type="continuationSeparator" w:id="0">
    <w:p w14:paraId="380C8D6F" w14:textId="77777777" w:rsidR="00284CF0" w:rsidRDefault="00284CF0">
      <w:r>
        <w:continuationSeparator/>
      </w:r>
    </w:p>
  </w:footnote>
  <w:footnote w:type="continuationNotice" w:id="1">
    <w:p w14:paraId="4B2B2033" w14:textId="77777777" w:rsidR="00284CF0" w:rsidRDefault="00284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Journal officiel fédéral I – Publié le 23 décembre 2020 – no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sur </w:t>
    </w:r>
    <w:r w:rsidR="00284CF0">
      <w:fldChar w:fldCharType="begin"/>
    </w:r>
    <w:r w:rsidR="00284CF0">
      <w:instrText xml:space="preserve"> NUMPAGES  \* Arabic  \* MERGEFORMAT </w:instrText>
    </w:r>
    <w:r w:rsidR="00284CF0">
      <w:fldChar w:fldCharType="separate"/>
    </w:r>
    <w:r w:rsidR="00677399">
      <w:t>2</w:t>
    </w:r>
    <w:r w:rsidR="00284CF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t>Journal officiel fédéral I – Publié le 23 décembre 2020 – no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sur </w:t>
    </w:r>
    <w:r w:rsidR="00284CF0">
      <w:fldChar w:fldCharType="begin"/>
    </w:r>
    <w:r w:rsidR="00284CF0">
      <w:instrText xml:space="preserve"> NUMPAGES  \* Arabic  \* MERGEFORMAT </w:instrText>
    </w:r>
    <w:r w:rsidR="00284CF0">
      <w:fldChar w:fldCharType="separate"/>
    </w:r>
    <w:r w:rsidR="00E70894">
      <w:t>12</w:t>
    </w:r>
    <w:r w:rsidR="00284CF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sur </w:t>
    </w:r>
    <w:r w:rsidR="00284CF0">
      <w:fldChar w:fldCharType="begin"/>
    </w:r>
    <w:r w:rsidR="00284CF0">
      <w:instrText xml:space="preserve"> NUMPAGES  \* MERGEFORMAT </w:instrText>
    </w:r>
    <w:r w:rsidR="00284CF0">
      <w:fldChar w:fldCharType="separate"/>
    </w:r>
    <w:r w:rsidR="00E70894">
      <w:t>1</w:t>
    </w:r>
    <w:r w:rsidR="00284CF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37FA0"/>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4CF0"/>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0EB5"/>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2C6"/>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3371"/>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 w:val="00FF7C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fr-FR" w:eastAsia="de-DE"/>
    </w:rPr>
  </w:style>
  <w:style w:type="character" w:customStyle="1" w:styleId="Heading2Char">
    <w:name w:val="Heading 2 Char"/>
    <w:basedOn w:val="DefaultParagraphFont"/>
    <w:link w:val="Heading2"/>
    <w:uiPriority w:val="9"/>
    <w:locked/>
    <w:rPr>
      <w:rFonts w:ascii="Arial" w:hAnsi="Arial" w:cs="Times New Roman"/>
      <w:b/>
      <w:i/>
      <w:sz w:val="24"/>
      <w:lang w:val="fr-FR"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fr-FR"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fr-FR"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fr-FR"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fr-FR"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fr-FR"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fr-FR"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fr-FR"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fr-FR"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fr-FR"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fr-FR"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fr-FR"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fr-FR"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fr-FR" w:eastAsia="de-DE"/>
    </w:rPr>
  </w:style>
  <w:style w:type="character" w:customStyle="1" w:styleId="43UeberschrG2Zchn">
    <w:name w:val="43_UeberschrG2 Zchn"/>
    <w:link w:val="43UeberschrG2"/>
    <w:locked/>
    <w:rsid w:val="00397186"/>
    <w:rPr>
      <w:b/>
      <w:color w:val="000000"/>
      <w:sz w:val="22"/>
      <w:lang w:val="fr-FR" w:eastAsia="de-DE"/>
    </w:rPr>
  </w:style>
  <w:style w:type="character" w:customStyle="1" w:styleId="51AbsZchn">
    <w:name w:val="51_Abs Zchn"/>
    <w:link w:val="51Abs"/>
    <w:locked/>
    <w:rsid w:val="00A843DD"/>
    <w:rPr>
      <w:color w:val="000000"/>
      <w:lang w:val="fr-FR" w:eastAsia="de-DE"/>
    </w:rPr>
  </w:style>
  <w:style w:type="character" w:customStyle="1" w:styleId="21NovAo1Zchn">
    <w:name w:val="21_NovAo1 Zchn"/>
    <w:link w:val="21NovAo1"/>
    <w:locked/>
    <w:rsid w:val="00A843DD"/>
    <w:rPr>
      <w:i/>
      <w:color w:val="000000"/>
      <w:lang w:val="fr-FR" w:eastAsia="de-DE"/>
    </w:rPr>
  </w:style>
  <w:style w:type="character" w:customStyle="1" w:styleId="22NovAo2Zchn">
    <w:name w:val="22_NovAo2 Zchn"/>
    <w:link w:val="22NovAo2"/>
    <w:locked/>
    <w:rsid w:val="00283888"/>
    <w:rPr>
      <w:i/>
      <w:color w:val="000000"/>
      <w:lang w:val="fr-FR"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fr-FR" w:eastAsia="de-DE"/>
    </w:rPr>
  </w:style>
  <w:style w:type="character" w:customStyle="1" w:styleId="45UeberschrParaChar">
    <w:name w:val="45_UeberschrPara Char"/>
    <w:link w:val="45UeberschrPara"/>
    <w:locked/>
    <w:rsid w:val="0080155F"/>
    <w:rPr>
      <w:b/>
      <w:color w:val="000000"/>
      <w:lang w:val="fr-FR"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7610</Words>
  <Characters>39681</Characters>
  <Application>Microsoft Office Word</Application>
  <DocSecurity>0</DocSecurity>
  <Lines>593</Lines>
  <Paragraphs>257</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2021-12-16T10:16:00Z</dcterms:created>
  <dcterms:modified xsi:type="dcterms:W3CDTF">2021-12-16T13:38:00Z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