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901FB" w14:textId="580CCA28" w:rsidR="008F5571" w:rsidRPr="0031530B" w:rsidRDefault="008F5571" w:rsidP="008F5571">
      <w:pPr>
        <w:spacing w:after="0" w:line="240" w:lineRule="auto"/>
        <w:rPr>
          <w:rFonts w:ascii="Courier New" w:hAnsi="Courier New" w:cs="Courier New"/>
          <w:sz w:val="20"/>
          <w:szCs w:val="20"/>
        </w:rPr>
      </w:pPr>
      <w:r w:rsidRPr="0031530B">
        <w:rPr>
          <w:rFonts w:ascii="Courier New" w:hAnsi="Courier New"/>
          <w:sz w:val="20"/>
        </w:rPr>
        <w:t>1. ------IND- 2020 0549 B-- ET- ------ 20200911 --- --- PROJET</w:t>
      </w:r>
    </w:p>
    <w:p w14:paraId="72BFD6B2" w14:textId="77777777" w:rsidR="008F5571" w:rsidRPr="0031530B" w:rsidRDefault="008F5571" w:rsidP="008F5571">
      <w:pPr>
        <w:spacing w:after="0" w:line="240" w:lineRule="auto"/>
      </w:pPr>
    </w:p>
    <w:p w14:paraId="71744518" w14:textId="2E9DB1EE" w:rsidR="00994A23" w:rsidRPr="0031530B" w:rsidRDefault="00224C6A">
      <w:pPr>
        <w:pStyle w:val="centeredARTICLE"/>
        <w:rPr>
          <w:rFonts w:ascii="Arial" w:hAnsi="Arial" w:cs="Arial"/>
        </w:rPr>
      </w:pPr>
      <w:r w:rsidRPr="0031530B">
        <w:rPr>
          <w:rFonts w:ascii="Arial" w:hAnsi="Arial"/>
        </w:rPr>
        <w:t>Artikkel 1</w:t>
      </w:r>
    </w:p>
    <w:p w14:paraId="148B8B34" w14:textId="77777777" w:rsidR="00994A23" w:rsidRPr="0031530B" w:rsidRDefault="00224C6A">
      <w:pPr>
        <w:pStyle w:val="BodyTextNL"/>
        <w:rPr>
          <w:rFonts w:ascii="Arial" w:hAnsi="Arial" w:cs="Arial"/>
        </w:rPr>
      </w:pPr>
      <w:r w:rsidRPr="0031530B">
        <w:rPr>
          <w:rFonts w:ascii="Arial" w:hAnsi="Arial"/>
        </w:rPr>
        <w:t>Käesoleva seadusega reguleeritakse Belgia põhiseaduse artiklis 74 osutatud küsimust.</w:t>
      </w:r>
    </w:p>
    <w:p w14:paraId="48680981" w14:textId="77777777" w:rsidR="00994A23" w:rsidRPr="0031530B" w:rsidRDefault="00224C6A">
      <w:pPr>
        <w:pStyle w:val="centeredARTICLE"/>
        <w:rPr>
          <w:rFonts w:ascii="Arial" w:hAnsi="Arial" w:cs="Arial"/>
        </w:rPr>
      </w:pPr>
      <w:r w:rsidRPr="0031530B">
        <w:rPr>
          <w:rFonts w:ascii="Arial" w:hAnsi="Arial"/>
        </w:rPr>
        <w:t>Artikkel </w:t>
      </w:r>
      <w:r w:rsidRPr="0031530B">
        <w:rPr>
          <w:rFonts w:ascii="Arial" w:hAnsi="Arial"/>
          <w:u w:val="thick"/>
        </w:rPr>
        <w:t>2</w:t>
      </w:r>
      <w:r w:rsidRPr="0031530B">
        <w:rPr>
          <w:rFonts w:ascii="Arial" w:hAnsi="Arial"/>
        </w:rPr>
        <w:t xml:space="preserve"> (</w:t>
      </w:r>
      <w:r w:rsidRPr="0031530B">
        <w:rPr>
          <w:rFonts w:ascii="Arial" w:hAnsi="Arial"/>
          <w:i/>
        </w:rPr>
        <w:t>uus</w:t>
      </w:r>
      <w:r w:rsidRPr="0031530B">
        <w:rPr>
          <w:rFonts w:ascii="Arial" w:hAnsi="Arial"/>
        </w:rPr>
        <w:t>)</w:t>
      </w:r>
    </w:p>
    <w:p w14:paraId="5A417BDE" w14:textId="77777777" w:rsidR="00994A23" w:rsidRPr="0031530B" w:rsidRDefault="00224C6A">
      <w:pPr>
        <w:pStyle w:val="BodyTextNL"/>
        <w:rPr>
          <w:rFonts w:ascii="Arial" w:hAnsi="Arial" w:cs="Arial"/>
        </w:rPr>
      </w:pPr>
      <w:r w:rsidRPr="0031530B">
        <w:rPr>
          <w:rFonts w:ascii="Arial" w:hAnsi="Arial"/>
        </w:rPr>
        <w:t>Seadusega sätestatakse Euroopa Parlamendi ja nõukogu 5. juuni 2019. aasta direktiivi (EL) 2019/904 (teatavate plasttoodete keskkonnamõju vähendamise kohta) ning Euroopa Parlamendi ja nõukogu 29. aprilli 2015. aasta direktiivi (EL) 2015/720 (millega muudetakse direktiivi 94/62/EÜ seoses õhukeste plastkandekottide tarbimise vähendamisega) osaline ülevõtmine.</w:t>
      </w:r>
    </w:p>
    <w:p w14:paraId="1D39E3F8" w14:textId="77777777" w:rsidR="00994A23" w:rsidRPr="0031530B" w:rsidRDefault="00224C6A">
      <w:pPr>
        <w:pStyle w:val="centeredARTICLE"/>
        <w:rPr>
          <w:rFonts w:ascii="Arial" w:hAnsi="Arial" w:cs="Arial"/>
        </w:rPr>
      </w:pPr>
      <w:r w:rsidRPr="0031530B">
        <w:rPr>
          <w:rFonts w:ascii="Arial" w:hAnsi="Arial"/>
        </w:rPr>
        <w:t>Artikkel </w:t>
      </w:r>
      <w:r w:rsidRPr="0031530B">
        <w:rPr>
          <w:rFonts w:ascii="Arial" w:hAnsi="Arial"/>
          <w:u w:val="thick"/>
        </w:rPr>
        <w:t>3</w:t>
      </w:r>
      <w:r w:rsidRPr="0031530B">
        <w:rPr>
          <w:rFonts w:ascii="Arial" w:hAnsi="Arial"/>
        </w:rPr>
        <w:t xml:space="preserve"> (endine artikkel 2)</w:t>
      </w:r>
    </w:p>
    <w:p w14:paraId="50EB5F49" w14:textId="77777777" w:rsidR="00994A23" w:rsidRPr="0031530B" w:rsidRDefault="00224C6A">
      <w:pPr>
        <w:pStyle w:val="BodyTextNL"/>
        <w:rPr>
          <w:rFonts w:ascii="Arial" w:hAnsi="Arial" w:cs="Arial"/>
        </w:rPr>
      </w:pPr>
      <w:r w:rsidRPr="0031530B">
        <w:rPr>
          <w:rFonts w:ascii="Arial" w:hAnsi="Arial"/>
        </w:rPr>
        <w:t xml:space="preserve">21. detsembri 1998. aasta seaduse (mis käsitleb tootestandardeid, millega edendatakse jätkusuutlikke tootmis- ja tarbimisharjumusi ja kaitstakse keskkonda, rahvatervist ja töötajaid, ning mida </w:t>
      </w:r>
      <w:r w:rsidRPr="0031530B">
        <w:rPr>
          <w:rFonts w:ascii="Arial" w:hAnsi="Arial"/>
          <w:u w:val="thick"/>
        </w:rPr>
        <w:t>viimati</w:t>
      </w:r>
      <w:r w:rsidRPr="0031530B">
        <w:rPr>
          <w:rFonts w:ascii="Arial" w:hAnsi="Arial"/>
        </w:rPr>
        <w:t xml:space="preserve"> muudeti 16. detsembri 2015. aasta seadusega) artiklit 2 täiendatakse järgmiselt sõnastatud punktidega 23 kuni 26:</w:t>
      </w:r>
    </w:p>
    <w:p w14:paraId="70B34437" w14:textId="77777777" w:rsidR="00994A23" w:rsidRPr="0031530B" w:rsidRDefault="00224C6A">
      <w:pPr>
        <w:pStyle w:val="BodyTextNL"/>
        <w:rPr>
          <w:rFonts w:ascii="Arial" w:hAnsi="Arial" w:cs="Arial"/>
        </w:rPr>
      </w:pPr>
      <w:r w:rsidRPr="0031530B">
        <w:rPr>
          <w:rFonts w:ascii="Arial" w:hAnsi="Arial"/>
        </w:rPr>
        <w:t xml:space="preserve">„23. plast – materjal, mis koosneb kemikaalimääruse </w:t>
      </w:r>
      <w:r w:rsidRPr="0031530B">
        <w:rPr>
          <w:rFonts w:ascii="Arial" w:hAnsi="Arial"/>
          <w:u w:val="thick"/>
        </w:rPr>
        <w:t>REACH</w:t>
      </w:r>
      <w:r w:rsidRPr="0031530B">
        <w:rPr>
          <w:rFonts w:ascii="Arial" w:hAnsi="Arial"/>
        </w:rPr>
        <w:t xml:space="preserve"> (mis käsitleb kemikaalide registreerimist, hindamist, autoriseerimist ja piiramist) artikli 3 punktis 5 määratletud polümeerist, millele võib olla lisatud lisaaineid või muid aineid ja mis võib toimida lõpptoodete peamise struktuurikomponendina, välja arvatud looduslikud polümeerid, mida ei ole keemiliselt modifitseeritud;</w:t>
      </w:r>
    </w:p>
    <w:p w14:paraId="284CE3E0" w14:textId="77777777" w:rsidR="00994A23" w:rsidRPr="0031530B" w:rsidRDefault="00224C6A">
      <w:pPr>
        <w:pStyle w:val="BodyTextNL"/>
        <w:rPr>
          <w:rFonts w:ascii="Arial" w:hAnsi="Arial" w:cs="Arial"/>
        </w:rPr>
      </w:pPr>
      <w:r w:rsidRPr="0031530B">
        <w:rPr>
          <w:rFonts w:ascii="Arial" w:hAnsi="Arial"/>
        </w:rPr>
        <w:t>24. ühekordselt kasutatav plasttoode – täielikult või osaliselt plastist valmistatud toode, mis ei ole kavandatud, valmistatud või turule lastud eesmärgiga see tootjale uuesti täitmiseks tagastada või seda kavandatud eesmärgil korduskasutada nii, et toode ringleks oma olelusringi jooksul mitu korda;</w:t>
      </w:r>
    </w:p>
    <w:p w14:paraId="28CEBF73" w14:textId="77777777" w:rsidR="00994A23" w:rsidRPr="0031530B" w:rsidRDefault="00224C6A">
      <w:pPr>
        <w:pStyle w:val="BodyTextNL"/>
        <w:rPr>
          <w:rFonts w:ascii="Arial" w:hAnsi="Arial" w:cs="Arial"/>
        </w:rPr>
      </w:pPr>
      <w:r w:rsidRPr="0031530B">
        <w:rPr>
          <w:rFonts w:ascii="Arial" w:hAnsi="Arial"/>
        </w:rPr>
        <w:t>25. oksüdantide toimel lagunev plast – plastmaterjal, mis sisaldab lisaaineid, mis oksüdeerumise käigus lagundavad plastmaterjali mikroosakesteks või põhjustavad selle keemilise lagunemise;</w:t>
      </w:r>
    </w:p>
    <w:p w14:paraId="1E9365A9" w14:textId="77777777" w:rsidR="00994A23" w:rsidRPr="0031530B" w:rsidRDefault="00224C6A">
      <w:pPr>
        <w:pStyle w:val="BodyTextNL"/>
        <w:rPr>
          <w:rFonts w:ascii="Arial" w:hAnsi="Arial" w:cs="Arial"/>
        </w:rPr>
      </w:pPr>
      <w:r w:rsidRPr="0031530B">
        <w:rPr>
          <w:rStyle w:val="Underline"/>
          <w:rFonts w:ascii="Arial" w:hAnsi="Arial"/>
        </w:rPr>
        <w:t>26. ühekordselt kasutatav plastkandekott – õhuke plastkandekott või väga õhuke plastkandekott Euroopa Parlamendi ja nõukogu 20. detsembri 1994. aasta direktiivi 94/62/EÜ (pakendite ja pakendijäätmete kohta) tähenduses, mis on valmistatud täielikult või osaliselt plastist ning mis ei ole kavandatud, valmistatud või turule lastud eesmärgiga seda oma olelusringi jooksul kavandatud eesmärgil korduskasutada.“</w:t>
      </w:r>
    </w:p>
    <w:p w14:paraId="17AFD7CB" w14:textId="77777777" w:rsidR="00994A23" w:rsidRPr="0031530B" w:rsidRDefault="00224C6A">
      <w:pPr>
        <w:pStyle w:val="centeredARTICLE"/>
        <w:rPr>
          <w:rFonts w:ascii="Arial" w:hAnsi="Arial" w:cs="Arial"/>
        </w:rPr>
      </w:pPr>
      <w:r w:rsidRPr="0031530B">
        <w:rPr>
          <w:rFonts w:ascii="Arial" w:hAnsi="Arial"/>
        </w:rPr>
        <w:t>Artikkel </w:t>
      </w:r>
      <w:r w:rsidRPr="0031530B">
        <w:rPr>
          <w:rFonts w:ascii="Arial" w:hAnsi="Arial"/>
          <w:u w:val="thick"/>
        </w:rPr>
        <w:t>4</w:t>
      </w:r>
      <w:r w:rsidRPr="0031530B">
        <w:rPr>
          <w:rFonts w:ascii="Arial" w:hAnsi="Arial"/>
        </w:rPr>
        <w:t xml:space="preserve"> (endine artikkel 3)</w:t>
      </w:r>
    </w:p>
    <w:p w14:paraId="4FF64097" w14:textId="77777777" w:rsidR="00994A23" w:rsidRPr="0031530B" w:rsidRDefault="00224C6A" w:rsidP="008F5571">
      <w:pPr>
        <w:pStyle w:val="BodyTextNL"/>
        <w:keepNext/>
        <w:keepLines/>
        <w:rPr>
          <w:rFonts w:ascii="Arial" w:hAnsi="Arial" w:cs="Arial"/>
        </w:rPr>
      </w:pPr>
      <w:r w:rsidRPr="0031530B">
        <w:rPr>
          <w:rFonts w:ascii="Arial" w:hAnsi="Arial"/>
        </w:rPr>
        <w:t>Samale seadusele lisatakse IV</w:t>
      </w:r>
      <w:r w:rsidRPr="0031530B">
        <w:rPr>
          <w:rStyle w:val="Italic"/>
          <w:rFonts w:ascii="Arial" w:hAnsi="Arial"/>
        </w:rPr>
        <w:t>bis</w:t>
      </w:r>
      <w:r w:rsidRPr="0031530B">
        <w:rPr>
          <w:rFonts w:ascii="Arial" w:hAnsi="Arial"/>
        </w:rPr>
        <w:t xml:space="preserve"> peatükk järgmises sõnastuses:</w:t>
      </w:r>
    </w:p>
    <w:p w14:paraId="3518C363" w14:textId="77777777" w:rsidR="00994A23" w:rsidRPr="0031530B" w:rsidRDefault="00224C6A">
      <w:pPr>
        <w:pStyle w:val="BodyTextNL"/>
        <w:rPr>
          <w:rFonts w:ascii="Arial" w:hAnsi="Arial" w:cs="Arial"/>
        </w:rPr>
      </w:pPr>
      <w:r w:rsidRPr="0031530B">
        <w:rPr>
          <w:rFonts w:ascii="Arial" w:hAnsi="Arial"/>
        </w:rPr>
        <w:t>„IV</w:t>
      </w:r>
      <w:r w:rsidRPr="0031530B">
        <w:rPr>
          <w:rStyle w:val="Italic"/>
          <w:rFonts w:ascii="Arial" w:hAnsi="Arial"/>
        </w:rPr>
        <w:t>bis</w:t>
      </w:r>
      <w:r w:rsidRPr="0031530B">
        <w:rPr>
          <w:rFonts w:ascii="Arial" w:hAnsi="Arial"/>
        </w:rPr>
        <w:t xml:space="preserve"> peatükk Erisätted </w:t>
      </w:r>
      <w:r w:rsidRPr="0031530B">
        <w:rPr>
          <w:rFonts w:ascii="Arial" w:hAnsi="Arial"/>
          <w:u w:val="thick"/>
        </w:rPr>
        <w:t>plasttoodete</w:t>
      </w:r>
      <w:r w:rsidRPr="0031530B">
        <w:rPr>
          <w:rFonts w:ascii="Arial" w:hAnsi="Arial"/>
        </w:rPr>
        <w:t xml:space="preserve"> kohta“.</w:t>
      </w:r>
    </w:p>
    <w:p w14:paraId="120C8156" w14:textId="77777777" w:rsidR="00994A23" w:rsidRPr="0031530B" w:rsidRDefault="00224C6A" w:rsidP="003E44CB">
      <w:pPr>
        <w:pStyle w:val="centeredARTICLE"/>
        <w:rPr>
          <w:rFonts w:ascii="Arial" w:hAnsi="Arial" w:cs="Arial"/>
        </w:rPr>
      </w:pPr>
      <w:r w:rsidRPr="0031530B">
        <w:rPr>
          <w:rFonts w:ascii="Arial" w:hAnsi="Arial"/>
        </w:rPr>
        <w:lastRenderedPageBreak/>
        <w:t>Artikkel </w:t>
      </w:r>
      <w:r w:rsidRPr="0031530B">
        <w:rPr>
          <w:rFonts w:ascii="Arial" w:hAnsi="Arial"/>
          <w:u w:val="thick"/>
        </w:rPr>
        <w:t>5</w:t>
      </w:r>
      <w:r w:rsidRPr="0031530B">
        <w:rPr>
          <w:rFonts w:ascii="Arial" w:hAnsi="Arial"/>
        </w:rPr>
        <w:t xml:space="preserve"> (endine artikkel 4)</w:t>
      </w:r>
    </w:p>
    <w:p w14:paraId="04CA87F4" w14:textId="77777777" w:rsidR="00994A23" w:rsidRPr="0031530B" w:rsidRDefault="00224C6A" w:rsidP="003E44CB">
      <w:pPr>
        <w:pStyle w:val="BodyTextNL"/>
        <w:keepNext/>
        <w:keepLines/>
        <w:rPr>
          <w:rFonts w:ascii="Arial" w:hAnsi="Arial" w:cs="Arial"/>
        </w:rPr>
      </w:pPr>
      <w:r w:rsidRPr="0031530B">
        <w:rPr>
          <w:rFonts w:ascii="Arial" w:hAnsi="Arial"/>
        </w:rPr>
        <w:t>Eespool nimetatud IV</w:t>
      </w:r>
      <w:r w:rsidRPr="0031530B">
        <w:rPr>
          <w:rStyle w:val="Italic"/>
          <w:rFonts w:ascii="Arial" w:hAnsi="Arial"/>
        </w:rPr>
        <w:t>bis</w:t>
      </w:r>
      <w:r w:rsidRPr="0031530B">
        <w:rPr>
          <w:rFonts w:ascii="Arial" w:hAnsi="Arial"/>
        </w:rPr>
        <w:t xml:space="preserve"> peatükile lisatakse artikkel </w:t>
      </w:r>
      <w:r w:rsidRPr="0031530B">
        <w:rPr>
          <w:rFonts w:ascii="Arial" w:hAnsi="Arial"/>
          <w:u w:val="thick"/>
        </w:rPr>
        <w:t>9bis</w:t>
      </w:r>
      <w:r w:rsidRPr="0031530B">
        <w:rPr>
          <w:rFonts w:ascii="Arial" w:hAnsi="Arial"/>
        </w:rPr>
        <w:t xml:space="preserve"> järgmises sõnastuses:</w:t>
      </w:r>
    </w:p>
    <w:p w14:paraId="68CE4898" w14:textId="77777777" w:rsidR="00994A23" w:rsidRPr="0031530B" w:rsidRDefault="00224C6A" w:rsidP="003E44CB">
      <w:pPr>
        <w:pStyle w:val="BodyTextNL"/>
        <w:keepNext/>
        <w:rPr>
          <w:rFonts w:ascii="Arial" w:hAnsi="Arial" w:cs="Arial"/>
        </w:rPr>
      </w:pPr>
      <w:r w:rsidRPr="0031530B">
        <w:rPr>
          <w:rFonts w:ascii="Arial" w:hAnsi="Arial"/>
        </w:rPr>
        <w:t>„Artikkel </w:t>
      </w:r>
      <w:r w:rsidRPr="0031530B">
        <w:rPr>
          <w:rFonts w:ascii="Arial" w:hAnsi="Arial"/>
          <w:u w:val="thick"/>
        </w:rPr>
        <w:t>9bis</w:t>
      </w:r>
      <w:r w:rsidRPr="0031530B">
        <w:rPr>
          <w:rFonts w:ascii="Arial" w:hAnsi="Arial"/>
        </w:rPr>
        <w:t>. Turule on keelatud lasta oksüdantide toimel laguneval plastil põhinevaid tooteid.“</w:t>
      </w:r>
    </w:p>
    <w:p w14:paraId="4CC3EED2" w14:textId="77777777" w:rsidR="00994A23" w:rsidRPr="0031530B" w:rsidRDefault="00224C6A">
      <w:pPr>
        <w:pStyle w:val="centeredARTICLE"/>
        <w:rPr>
          <w:rFonts w:ascii="Arial" w:hAnsi="Arial" w:cs="Arial"/>
        </w:rPr>
      </w:pPr>
      <w:r w:rsidRPr="0031530B">
        <w:rPr>
          <w:rFonts w:ascii="Arial" w:hAnsi="Arial"/>
        </w:rPr>
        <w:t>Artikkel </w:t>
      </w:r>
      <w:r w:rsidRPr="0031530B">
        <w:rPr>
          <w:rFonts w:ascii="Arial" w:hAnsi="Arial"/>
          <w:u w:val="thick"/>
        </w:rPr>
        <w:t>6</w:t>
      </w:r>
      <w:r w:rsidRPr="0031530B">
        <w:rPr>
          <w:rFonts w:ascii="Arial" w:hAnsi="Arial"/>
        </w:rPr>
        <w:t xml:space="preserve"> (endine artikkel 5)</w:t>
      </w:r>
    </w:p>
    <w:p w14:paraId="13ADD4F2" w14:textId="77777777" w:rsidR="00994A23" w:rsidRPr="0031530B" w:rsidRDefault="00224C6A" w:rsidP="008F5571">
      <w:pPr>
        <w:pStyle w:val="BodyTextNL"/>
        <w:keepNext/>
        <w:keepLines/>
        <w:rPr>
          <w:rFonts w:ascii="Arial" w:hAnsi="Arial" w:cs="Arial"/>
        </w:rPr>
      </w:pPr>
      <w:r w:rsidRPr="0031530B">
        <w:rPr>
          <w:rFonts w:ascii="Arial" w:hAnsi="Arial"/>
        </w:rPr>
        <w:t>Eespool nimetatud IV</w:t>
      </w:r>
      <w:r w:rsidRPr="0031530B">
        <w:rPr>
          <w:rStyle w:val="Italic"/>
          <w:rFonts w:ascii="Arial" w:hAnsi="Arial"/>
        </w:rPr>
        <w:t>bis</w:t>
      </w:r>
      <w:r w:rsidRPr="0031530B">
        <w:rPr>
          <w:rFonts w:ascii="Arial" w:hAnsi="Arial"/>
        </w:rPr>
        <w:t xml:space="preserve"> peatükile lisatakse artikkel </w:t>
      </w:r>
      <w:r w:rsidRPr="0031530B">
        <w:rPr>
          <w:rFonts w:ascii="Arial" w:hAnsi="Arial"/>
          <w:u w:val="thick"/>
        </w:rPr>
        <w:t>9ter</w:t>
      </w:r>
      <w:r w:rsidRPr="0031530B">
        <w:rPr>
          <w:rFonts w:ascii="Arial" w:hAnsi="Arial"/>
        </w:rPr>
        <w:t xml:space="preserve"> järgmises sõnastuses:</w:t>
      </w:r>
    </w:p>
    <w:p w14:paraId="0ECEF58C" w14:textId="77777777" w:rsidR="00994A23" w:rsidRPr="0031530B" w:rsidRDefault="00224C6A" w:rsidP="008F5571">
      <w:pPr>
        <w:pStyle w:val="BodyTextNL"/>
        <w:keepNext/>
        <w:keepLines/>
        <w:rPr>
          <w:rFonts w:ascii="Arial" w:hAnsi="Arial" w:cs="Arial"/>
        </w:rPr>
      </w:pPr>
      <w:r w:rsidRPr="0031530B">
        <w:rPr>
          <w:rFonts w:ascii="Arial" w:hAnsi="Arial"/>
        </w:rPr>
        <w:t>„Artikkel </w:t>
      </w:r>
      <w:r w:rsidRPr="0031530B">
        <w:rPr>
          <w:rFonts w:ascii="Arial" w:hAnsi="Arial"/>
          <w:u w:val="thick"/>
        </w:rPr>
        <w:t>9ter</w:t>
      </w:r>
      <w:r w:rsidRPr="0031530B">
        <w:rPr>
          <w:rFonts w:ascii="Arial" w:hAnsi="Arial"/>
        </w:rPr>
        <w:t>. Turule on keelatud lasta järgmiseid ühekordselt kasutatavaid plasttooteid:</w:t>
      </w:r>
    </w:p>
    <w:p w14:paraId="34AEC717" w14:textId="77777777" w:rsidR="00994A23" w:rsidRPr="0031530B" w:rsidRDefault="00224C6A">
      <w:pPr>
        <w:pStyle w:val="BodyTextNL"/>
        <w:rPr>
          <w:rFonts w:ascii="Arial" w:hAnsi="Arial" w:cs="Arial"/>
        </w:rPr>
      </w:pPr>
      <w:r w:rsidRPr="0031530B">
        <w:rPr>
          <w:rFonts w:ascii="Arial" w:hAnsi="Arial"/>
        </w:rPr>
        <w:t>1. vatitikuvarred, välja arvatud need, mis kuuluvad nõukogu 20. juuni 1990. aasta direktiivi 90/385/EMÜ (</w:t>
      </w:r>
      <w:r w:rsidRPr="0031530B">
        <w:rPr>
          <w:rFonts w:ascii="Arial" w:hAnsi="Arial"/>
          <w:u w:val="thick"/>
        </w:rPr>
        <w:t>aktiivseid siirdatavaid meditsiiniseadmeid käsitlevate liikmesriikide õigusnormide ühtlustamise kohta</w:t>
      </w:r>
      <w:r w:rsidRPr="0031530B">
        <w:rPr>
          <w:rFonts w:ascii="Arial" w:hAnsi="Arial"/>
        </w:rPr>
        <w:t>) või nõukogu 14. juuni 1993. aasta direktiivi 93/42/EMÜ (</w:t>
      </w:r>
      <w:r w:rsidRPr="0031530B">
        <w:rPr>
          <w:rFonts w:ascii="Arial" w:hAnsi="Arial"/>
          <w:u w:val="thick"/>
        </w:rPr>
        <w:t>meditsiiniseadmete kohta</w:t>
      </w:r>
      <w:r w:rsidRPr="0031530B">
        <w:rPr>
          <w:rFonts w:ascii="Arial" w:hAnsi="Arial"/>
        </w:rPr>
        <w:t>) kohaldamisalasse;</w:t>
      </w:r>
    </w:p>
    <w:p w14:paraId="30187EEB" w14:textId="77777777" w:rsidR="00994A23" w:rsidRPr="0031530B" w:rsidRDefault="00224C6A">
      <w:pPr>
        <w:pStyle w:val="BodyTextNL"/>
        <w:rPr>
          <w:rFonts w:ascii="Arial" w:hAnsi="Arial" w:cs="Arial"/>
        </w:rPr>
      </w:pPr>
      <w:r w:rsidRPr="0031530B">
        <w:rPr>
          <w:rFonts w:ascii="Arial" w:hAnsi="Arial"/>
        </w:rPr>
        <w:t>2. söögiriistad (kahvlid, noad, lusikad, söögipulgad);</w:t>
      </w:r>
    </w:p>
    <w:p w14:paraId="36C9D4BD" w14:textId="77777777" w:rsidR="00994A23" w:rsidRPr="0031530B" w:rsidRDefault="00224C6A">
      <w:pPr>
        <w:pStyle w:val="BodyTextNL"/>
        <w:spacing w:before="240"/>
        <w:rPr>
          <w:rFonts w:ascii="Arial" w:hAnsi="Arial" w:cs="Arial"/>
        </w:rPr>
      </w:pPr>
      <w:r w:rsidRPr="0031530B">
        <w:rPr>
          <w:rFonts w:ascii="Arial" w:hAnsi="Arial"/>
        </w:rPr>
        <w:t>3. taldrikud;</w:t>
      </w:r>
    </w:p>
    <w:p w14:paraId="77F3288E" w14:textId="77777777" w:rsidR="00994A23" w:rsidRPr="0031530B" w:rsidRDefault="00224C6A">
      <w:pPr>
        <w:pStyle w:val="BodyTextNL"/>
        <w:rPr>
          <w:rFonts w:ascii="Arial" w:hAnsi="Arial" w:cs="Arial"/>
        </w:rPr>
      </w:pPr>
      <w:r w:rsidRPr="0031530B">
        <w:rPr>
          <w:rFonts w:ascii="Arial" w:hAnsi="Arial"/>
        </w:rPr>
        <w:t>4. kõrred, välja arvatud need, mis kuuluvad nõukogu 20. juuni 1990. aasta direktiivi 90/385/EMÜ (</w:t>
      </w:r>
      <w:r w:rsidRPr="0031530B">
        <w:rPr>
          <w:rFonts w:ascii="Arial" w:hAnsi="Arial"/>
          <w:u w:val="thick"/>
        </w:rPr>
        <w:t>aktiivseid siirdatavaid meditsiiniseadmeid käsitlevate liikmesriikide õigusnormide ühtlustamise kohta</w:t>
      </w:r>
      <w:r w:rsidRPr="0031530B">
        <w:rPr>
          <w:rFonts w:ascii="Arial" w:hAnsi="Arial"/>
        </w:rPr>
        <w:t>) või nõukogu 14. juuni 1993. aasta direktiivi 93/42/EMÜ (</w:t>
      </w:r>
      <w:r w:rsidRPr="0031530B">
        <w:rPr>
          <w:rFonts w:ascii="Arial" w:hAnsi="Arial"/>
          <w:u w:val="thick"/>
        </w:rPr>
        <w:t>meditsiiniseadmete kohta</w:t>
      </w:r>
      <w:r w:rsidRPr="0031530B">
        <w:rPr>
          <w:rFonts w:ascii="Arial" w:hAnsi="Arial"/>
        </w:rPr>
        <w:t>) kohaldamisalasse;</w:t>
      </w:r>
    </w:p>
    <w:p w14:paraId="4667BDE1" w14:textId="77777777" w:rsidR="00994A23" w:rsidRPr="0031530B" w:rsidRDefault="00224C6A">
      <w:pPr>
        <w:pStyle w:val="BodyTextNL"/>
        <w:rPr>
          <w:rFonts w:ascii="Arial" w:hAnsi="Arial" w:cs="Arial"/>
        </w:rPr>
      </w:pPr>
      <w:r w:rsidRPr="0031530B">
        <w:rPr>
          <w:rFonts w:ascii="Arial" w:hAnsi="Arial"/>
        </w:rPr>
        <w:t>5. joogisegamispulgad;</w:t>
      </w:r>
    </w:p>
    <w:p w14:paraId="14EC48F7" w14:textId="77777777" w:rsidR="00994A23" w:rsidRPr="0031530B" w:rsidRDefault="00224C6A">
      <w:pPr>
        <w:pStyle w:val="BodyTextNL"/>
        <w:rPr>
          <w:rFonts w:ascii="Arial" w:hAnsi="Arial" w:cs="Arial"/>
        </w:rPr>
      </w:pPr>
      <w:r w:rsidRPr="0031530B">
        <w:rPr>
          <w:rFonts w:ascii="Arial" w:hAnsi="Arial"/>
        </w:rPr>
        <w:t>6. õhupallide külge kinnitatavad ja neid toetavad pulgad, välja arvatud tööstuslikuks või muuks kutseliseks kasutuseks mõeldud õhupallid ja rakendused, mida ei levitata tarbijatele, sealhulgas selliste pulkade mehhanismid;</w:t>
      </w:r>
    </w:p>
    <w:p w14:paraId="47B7F89B" w14:textId="77777777" w:rsidR="00994A23" w:rsidRPr="003E44CB" w:rsidRDefault="00224C6A" w:rsidP="008F5571">
      <w:pPr>
        <w:pStyle w:val="BodyTextNL"/>
        <w:keepNext/>
        <w:keepLines/>
        <w:rPr>
          <w:rFonts w:ascii="Arial" w:hAnsi="Arial" w:cs="Arial"/>
          <w:spacing w:val="-4"/>
        </w:rPr>
      </w:pPr>
      <w:r w:rsidRPr="003E44CB">
        <w:rPr>
          <w:rFonts w:ascii="Arial" w:hAnsi="Arial"/>
          <w:spacing w:val="-4"/>
        </w:rPr>
        <w:t xml:space="preserve">7. vahtpolüstüreenist valmistatud toidupakendid, st kaanega või kaaneta </w:t>
      </w:r>
      <w:r w:rsidRPr="003E44CB">
        <w:rPr>
          <w:rFonts w:ascii="Arial" w:hAnsi="Arial"/>
          <w:spacing w:val="-4"/>
          <w:u w:val="thick"/>
        </w:rPr>
        <w:t>mahutid</w:t>
      </w:r>
      <w:r w:rsidRPr="003E44CB">
        <w:rPr>
          <w:rFonts w:ascii="Arial" w:hAnsi="Arial"/>
          <w:spacing w:val="-4"/>
        </w:rPr>
        <w:t>, nt karbid, millest pakutakse valmistoitu,</w:t>
      </w:r>
    </w:p>
    <w:p w14:paraId="77C93A15" w14:textId="77777777" w:rsidR="00994A23" w:rsidRPr="0031530B" w:rsidRDefault="00224C6A">
      <w:pPr>
        <w:pStyle w:val="BodyTextNL"/>
        <w:spacing w:before="240"/>
        <w:rPr>
          <w:rFonts w:ascii="Arial" w:hAnsi="Arial" w:cs="Arial"/>
        </w:rPr>
      </w:pPr>
      <w:r w:rsidRPr="0031530B">
        <w:rPr>
          <w:rFonts w:ascii="Arial" w:hAnsi="Arial"/>
        </w:rPr>
        <w:t>a) mis on ette nähtud koheseks tarbimiseks, kas kohapeal või kaasa võtmiseks,</w:t>
      </w:r>
    </w:p>
    <w:p w14:paraId="7DC6276B" w14:textId="77777777" w:rsidR="00994A23" w:rsidRPr="0031530B" w:rsidRDefault="00224C6A">
      <w:pPr>
        <w:pStyle w:val="BodyTextNL"/>
        <w:rPr>
          <w:rFonts w:ascii="Arial" w:hAnsi="Arial" w:cs="Arial"/>
        </w:rPr>
      </w:pPr>
      <w:r w:rsidRPr="0031530B">
        <w:rPr>
          <w:rFonts w:ascii="Arial" w:hAnsi="Arial"/>
        </w:rPr>
        <w:t xml:space="preserve">b) mida </w:t>
      </w:r>
      <w:r w:rsidRPr="0031530B">
        <w:rPr>
          <w:rFonts w:ascii="Arial" w:hAnsi="Arial"/>
          <w:u w:val="thick"/>
        </w:rPr>
        <w:t>tavaliselt</w:t>
      </w:r>
      <w:r w:rsidRPr="0031530B">
        <w:rPr>
          <w:rFonts w:ascii="Arial" w:hAnsi="Arial"/>
        </w:rPr>
        <w:t xml:space="preserve"> tarbitakse </w:t>
      </w:r>
      <w:r w:rsidRPr="0031530B">
        <w:rPr>
          <w:rFonts w:ascii="Arial" w:hAnsi="Arial"/>
          <w:u w:val="thick"/>
        </w:rPr>
        <w:t>mahutist</w:t>
      </w:r>
      <w:r w:rsidRPr="0031530B">
        <w:rPr>
          <w:rFonts w:ascii="Arial" w:hAnsi="Arial"/>
        </w:rPr>
        <w:t xml:space="preserve"> ning</w:t>
      </w:r>
    </w:p>
    <w:p w14:paraId="35E33460" w14:textId="77777777" w:rsidR="00994A23" w:rsidRPr="0031530B" w:rsidRDefault="00224C6A">
      <w:pPr>
        <w:pStyle w:val="BodyTextNL"/>
        <w:rPr>
          <w:rFonts w:ascii="Arial" w:hAnsi="Arial" w:cs="Arial"/>
        </w:rPr>
      </w:pPr>
      <w:r w:rsidRPr="0031530B">
        <w:rPr>
          <w:rFonts w:ascii="Arial" w:hAnsi="Arial"/>
        </w:rPr>
        <w:t>c) mis on valmis tarbimiseks ilma täiendava küpsetamise, keetmise või soojendamiseta;</w:t>
      </w:r>
    </w:p>
    <w:p w14:paraId="685D0E21" w14:textId="77777777" w:rsidR="00994A23" w:rsidRPr="0031530B" w:rsidRDefault="00224C6A">
      <w:pPr>
        <w:pStyle w:val="BodyTextNL"/>
        <w:spacing w:before="240"/>
        <w:rPr>
          <w:rFonts w:ascii="Arial" w:hAnsi="Arial" w:cs="Arial"/>
        </w:rPr>
      </w:pPr>
      <w:r w:rsidRPr="0031530B">
        <w:rPr>
          <w:rFonts w:ascii="Arial" w:hAnsi="Arial"/>
        </w:rPr>
        <w:t>k.a kiirtoidu või muu kohe tarbimiseks ette nähtud toidu pakkumiseks kasutatavad mahutid, v.a joogipakendid, taldrikud ning toitu sisaldavad pakid ja pakkematerjalid;</w:t>
      </w:r>
    </w:p>
    <w:p w14:paraId="54F3FE39" w14:textId="77777777" w:rsidR="00994A23" w:rsidRPr="0031530B" w:rsidRDefault="00224C6A">
      <w:pPr>
        <w:pStyle w:val="BodyTextNL"/>
        <w:spacing w:before="240"/>
        <w:rPr>
          <w:rFonts w:ascii="Arial" w:hAnsi="Arial" w:cs="Arial"/>
        </w:rPr>
      </w:pPr>
      <w:r w:rsidRPr="0031530B">
        <w:rPr>
          <w:rFonts w:ascii="Arial" w:hAnsi="Arial"/>
        </w:rPr>
        <w:t>8. vahtpolüstüreenist joogipakendid, sealhulgas nende korgid ja kaaned;</w:t>
      </w:r>
    </w:p>
    <w:p w14:paraId="2F6CC2AD" w14:textId="77777777" w:rsidR="00994A23" w:rsidRPr="0031530B" w:rsidRDefault="00224C6A">
      <w:pPr>
        <w:pStyle w:val="BodyTextNL"/>
        <w:rPr>
          <w:rFonts w:ascii="Arial" w:hAnsi="Arial" w:cs="Arial"/>
        </w:rPr>
      </w:pPr>
      <w:r w:rsidRPr="0031530B">
        <w:rPr>
          <w:rFonts w:ascii="Arial" w:hAnsi="Arial"/>
        </w:rPr>
        <w:t>9. vahtpolüstüreenist joogitopsid, sealhulgas nende katted ja kaaned.“</w:t>
      </w:r>
    </w:p>
    <w:p w14:paraId="7A7524E3" w14:textId="77777777" w:rsidR="00994A23" w:rsidRPr="0031530B" w:rsidRDefault="00224C6A">
      <w:pPr>
        <w:pStyle w:val="centeredARTICLE"/>
        <w:rPr>
          <w:rFonts w:ascii="Arial" w:hAnsi="Arial" w:cs="Arial"/>
        </w:rPr>
      </w:pPr>
      <w:r w:rsidRPr="0031530B">
        <w:rPr>
          <w:rFonts w:ascii="Arial" w:hAnsi="Arial"/>
        </w:rPr>
        <w:t>Artikkel </w:t>
      </w:r>
      <w:r w:rsidRPr="0031530B">
        <w:rPr>
          <w:rFonts w:ascii="Arial" w:hAnsi="Arial"/>
          <w:u w:val="thick"/>
        </w:rPr>
        <w:t>7</w:t>
      </w:r>
      <w:r w:rsidRPr="0031530B">
        <w:rPr>
          <w:rFonts w:ascii="Arial" w:hAnsi="Arial"/>
        </w:rPr>
        <w:t xml:space="preserve"> (endine artikkel 6)</w:t>
      </w:r>
    </w:p>
    <w:p w14:paraId="7B150196" w14:textId="77777777" w:rsidR="00994A23" w:rsidRPr="0031530B" w:rsidRDefault="00224C6A" w:rsidP="008F5571">
      <w:pPr>
        <w:pStyle w:val="BodyTextNL"/>
        <w:keepNext/>
        <w:keepLines/>
        <w:rPr>
          <w:rFonts w:ascii="Arial" w:hAnsi="Arial" w:cs="Arial"/>
        </w:rPr>
      </w:pPr>
      <w:r w:rsidRPr="0031530B">
        <w:rPr>
          <w:rFonts w:ascii="Arial" w:hAnsi="Arial"/>
        </w:rPr>
        <w:t>Eespool nimetatud IV</w:t>
      </w:r>
      <w:r w:rsidRPr="0031530B">
        <w:rPr>
          <w:rStyle w:val="Italic"/>
          <w:rFonts w:ascii="Arial" w:hAnsi="Arial"/>
        </w:rPr>
        <w:t>bis</w:t>
      </w:r>
      <w:r w:rsidRPr="0031530B">
        <w:rPr>
          <w:rFonts w:ascii="Arial" w:hAnsi="Arial"/>
        </w:rPr>
        <w:t xml:space="preserve"> peatükile lisatakse artikkel </w:t>
      </w:r>
      <w:r w:rsidRPr="0031530B">
        <w:rPr>
          <w:rFonts w:ascii="Arial" w:hAnsi="Arial"/>
          <w:u w:val="thick"/>
        </w:rPr>
        <w:t>9quater</w:t>
      </w:r>
      <w:r w:rsidRPr="0031530B">
        <w:rPr>
          <w:rFonts w:ascii="Arial" w:hAnsi="Arial"/>
        </w:rPr>
        <w:t xml:space="preserve"> järgmises sõnastuses:</w:t>
      </w:r>
    </w:p>
    <w:p w14:paraId="6FEAD1B3" w14:textId="77777777" w:rsidR="00994A23" w:rsidRPr="0031530B" w:rsidRDefault="00224C6A" w:rsidP="008F5571">
      <w:pPr>
        <w:pStyle w:val="BodyTextNL"/>
        <w:keepNext/>
        <w:keepLines/>
        <w:rPr>
          <w:rFonts w:ascii="Arial" w:hAnsi="Arial" w:cs="Arial"/>
        </w:rPr>
      </w:pPr>
      <w:r w:rsidRPr="0031530B">
        <w:rPr>
          <w:rFonts w:ascii="Arial" w:hAnsi="Arial"/>
        </w:rPr>
        <w:t>„Artikkel </w:t>
      </w:r>
      <w:r w:rsidRPr="0031530B">
        <w:rPr>
          <w:rFonts w:ascii="Arial" w:hAnsi="Arial"/>
          <w:u w:val="thick"/>
        </w:rPr>
        <w:t>9quater</w:t>
      </w:r>
      <w:r w:rsidRPr="0031530B">
        <w:rPr>
          <w:rFonts w:ascii="Arial" w:hAnsi="Arial"/>
        </w:rPr>
        <w:t>. Turule on keelatud lasta ühekordselt kasutatavaid plastkandekotte, mis on kavandatud siseruumides või vabas õhus asuvates müügikohtades ostetud kaupade pakkimiseks või kandmiseks, välja arvatud:</w:t>
      </w:r>
    </w:p>
    <w:p w14:paraId="1E7BA3C2" w14:textId="77777777" w:rsidR="00994A23" w:rsidRPr="0031530B" w:rsidRDefault="00224C6A">
      <w:pPr>
        <w:pStyle w:val="BodyTextNL"/>
        <w:rPr>
          <w:rFonts w:ascii="Arial" w:hAnsi="Arial" w:cs="Arial"/>
        </w:rPr>
      </w:pPr>
      <w:r w:rsidRPr="0031530B">
        <w:rPr>
          <w:rFonts w:ascii="Arial" w:hAnsi="Arial"/>
        </w:rPr>
        <w:t>1. kasutamiseks lennujaamades ja varustatuna väga kindla liimuva klambriga ja/või vastupidavate õmblustega;</w:t>
      </w:r>
    </w:p>
    <w:p w14:paraId="08461A54" w14:textId="46343887" w:rsidR="00994A23" w:rsidRPr="0031530B" w:rsidRDefault="00224C6A">
      <w:pPr>
        <w:pStyle w:val="BodyTextNL"/>
        <w:rPr>
          <w:rFonts w:ascii="Arial" w:hAnsi="Arial" w:cs="Arial"/>
        </w:rPr>
      </w:pPr>
      <w:r w:rsidRPr="0031530B">
        <w:rPr>
          <w:rFonts w:ascii="Arial" w:hAnsi="Arial"/>
        </w:rPr>
        <w:lastRenderedPageBreak/>
        <w:t>2. neid, mis on mõeldud prügi kogumiseks;</w:t>
      </w:r>
    </w:p>
    <w:p w14:paraId="046CBB9F" w14:textId="77777777" w:rsidR="00994A23" w:rsidRPr="0031530B" w:rsidRDefault="00224C6A">
      <w:pPr>
        <w:pStyle w:val="BodyTextNL"/>
        <w:rPr>
          <w:rFonts w:ascii="Arial" w:hAnsi="Arial" w:cs="Arial"/>
        </w:rPr>
      </w:pPr>
      <w:r w:rsidRPr="0031530B">
        <w:rPr>
          <w:rFonts w:ascii="Arial" w:hAnsi="Arial"/>
        </w:rPr>
        <w:t>3. neid, mis on mõeldud meditsiiniliseks otstarbeks;</w:t>
      </w:r>
    </w:p>
    <w:p w14:paraId="5A667197" w14:textId="77777777" w:rsidR="00994A23" w:rsidRPr="0031530B" w:rsidRDefault="00224C6A">
      <w:pPr>
        <w:pStyle w:val="BodyTextNL"/>
        <w:rPr>
          <w:rFonts w:ascii="Arial" w:hAnsi="Arial" w:cs="Arial"/>
        </w:rPr>
      </w:pPr>
      <w:r w:rsidRPr="0031530B">
        <w:rPr>
          <w:rFonts w:ascii="Arial" w:hAnsi="Arial"/>
        </w:rPr>
        <w:t>4. neid, mis on mõeldud toiduainete pakendamiseks, mida müüakse väikestes kogustes ning mis on niisked või vedelad või sisaldavad lekkida võivaid vedelikke, tingimusel, et kandekott põhineb biomaterjalidel ja sobib koduseks komposteerimiseks;</w:t>
      </w:r>
    </w:p>
    <w:p w14:paraId="27209BDA" w14:textId="77777777" w:rsidR="00994A23" w:rsidRPr="0031530B" w:rsidRDefault="00224C6A">
      <w:pPr>
        <w:pStyle w:val="BodyTextNL"/>
        <w:rPr>
          <w:rFonts w:ascii="Arial" w:hAnsi="Arial" w:cs="Arial"/>
        </w:rPr>
      </w:pPr>
      <w:r w:rsidRPr="0031530B">
        <w:rPr>
          <w:rFonts w:ascii="Arial" w:hAnsi="Arial"/>
        </w:rPr>
        <w:t xml:space="preserve">5. väga õhukesi kotte, mis on mõeldud veetaimede ja -loomade esmapakendiks. </w:t>
      </w:r>
    </w:p>
    <w:p w14:paraId="2907C68D" w14:textId="77777777" w:rsidR="00994A23" w:rsidRPr="003E44CB" w:rsidRDefault="00224C6A">
      <w:pPr>
        <w:pStyle w:val="BodyTextNL"/>
        <w:spacing w:before="240"/>
        <w:rPr>
          <w:rFonts w:ascii="Arial" w:hAnsi="Arial" w:cs="Arial"/>
          <w:spacing w:val="-4"/>
        </w:rPr>
      </w:pPr>
      <w:r w:rsidRPr="003E44CB">
        <w:rPr>
          <w:rFonts w:ascii="Arial" w:hAnsi="Arial"/>
          <w:spacing w:val="-4"/>
          <w:u w:val="thick"/>
        </w:rPr>
        <w:t xml:space="preserve">Kuue kuu möödumisel … seaduse (millega muudetakse 21. detsembri 1998. aasta seadust, mis käsitleb tootestandardeid, millega edendatakse jätkusuutlikke tootmis- ja tarbimisharjumusi ja kaitstakse keskkonda, rahvatervist ja töötajaid, et kehtestada oksüdantide toimel lagunevate plasttoodete ja teatavate teiste ühekordselt kasutatavate plasttoodete keeld) avaldamisest </w:t>
      </w:r>
      <w:r w:rsidRPr="003E44CB">
        <w:rPr>
          <w:rFonts w:ascii="Arial" w:hAnsi="Arial"/>
          <w:i/>
          <w:spacing w:val="-4"/>
          <w:u w:val="thick"/>
        </w:rPr>
        <w:t>Belgia ametlikus väljaandes</w:t>
      </w:r>
      <w:r w:rsidRPr="003E44CB">
        <w:rPr>
          <w:rFonts w:ascii="Arial" w:hAnsi="Arial"/>
          <w:spacing w:val="-4"/>
        </w:rPr>
        <w:t xml:space="preserve"> peavad lõike 1 punktis 4 osutatud kandekotid koosnema vähemalt 40 % ulatuses biomaterjalist ning 1. jaanuariks 2025 koosnema vähemalt 60 % ulatuses biomaterjalist. </w:t>
      </w:r>
    </w:p>
    <w:p w14:paraId="2A58C639" w14:textId="77777777" w:rsidR="00994A23" w:rsidRPr="0031530B" w:rsidRDefault="00224C6A">
      <w:pPr>
        <w:pStyle w:val="BodyTextNL"/>
        <w:rPr>
          <w:rFonts w:ascii="Arial" w:hAnsi="Arial" w:cs="Arial"/>
        </w:rPr>
      </w:pPr>
      <w:r w:rsidRPr="0031530B">
        <w:rPr>
          <w:rFonts w:ascii="Arial" w:hAnsi="Arial"/>
          <w:u w:val="thick"/>
        </w:rPr>
        <w:t>Kuningal on õigus lisada lõikes 1 sätestatud keelule veel erandeid ainult juhul, kui asjaolud seda nõuavad ning puuduvad alternatiivid ühekordselt kasutatavatele plasttoodetele, võttes arvesse</w:t>
      </w:r>
      <w:r w:rsidRPr="0031530B">
        <w:rPr>
          <w:rFonts w:ascii="Arial" w:hAnsi="Arial"/>
        </w:rPr>
        <w:t xml:space="preserve"> </w:t>
      </w:r>
      <w:r w:rsidRPr="0031530B">
        <w:rPr>
          <w:rStyle w:val="ItalicUnderline"/>
          <w:rFonts w:ascii="Arial" w:hAnsi="Arial"/>
          <w:i w:val="0"/>
        </w:rPr>
        <w:t>Euroopa Parlamendi ja nõukogu 20. detsembri 1994. aasta direktiivi 94/62/EÜ (pakendite ja pakendijäätmete kohta) proportsionaalsust ja mittediskrimineerimist käsitlevaid sätteid.“</w:t>
      </w:r>
    </w:p>
    <w:p w14:paraId="2AB9389F" w14:textId="77777777" w:rsidR="00994A23" w:rsidRPr="0031530B" w:rsidRDefault="00224C6A">
      <w:pPr>
        <w:pStyle w:val="centeredARTICLE"/>
        <w:rPr>
          <w:rFonts w:ascii="Arial" w:hAnsi="Arial" w:cs="Arial"/>
        </w:rPr>
      </w:pPr>
      <w:r w:rsidRPr="0031530B">
        <w:rPr>
          <w:rFonts w:ascii="Arial" w:hAnsi="Arial"/>
        </w:rPr>
        <w:t>Artikkel </w:t>
      </w:r>
      <w:r w:rsidRPr="0031530B">
        <w:rPr>
          <w:rStyle w:val="Underline"/>
          <w:rFonts w:ascii="Arial" w:hAnsi="Arial"/>
        </w:rPr>
        <w:t>8</w:t>
      </w:r>
      <w:r w:rsidRPr="0031530B">
        <w:rPr>
          <w:rFonts w:ascii="Arial" w:hAnsi="Arial"/>
        </w:rPr>
        <w:t xml:space="preserve"> (endine artikkel 7)</w:t>
      </w:r>
    </w:p>
    <w:p w14:paraId="1EBE0348" w14:textId="77777777" w:rsidR="00994A23" w:rsidRPr="0031530B" w:rsidRDefault="00224C6A">
      <w:pPr>
        <w:pStyle w:val="BodyTextNL"/>
        <w:rPr>
          <w:rFonts w:ascii="Arial" w:hAnsi="Arial" w:cs="Arial"/>
        </w:rPr>
      </w:pPr>
      <w:r w:rsidRPr="0031530B">
        <w:rPr>
          <w:rFonts w:ascii="Arial" w:hAnsi="Arial"/>
        </w:rPr>
        <w:t>Sama 21. detsembri 1998. aasta seaduse artikli 17 lõike 2 punktis 2 asendatakse fraas „artiklid 10–14“ fraasiga „artiklid </w:t>
      </w:r>
      <w:r w:rsidRPr="0031530B">
        <w:rPr>
          <w:rFonts w:ascii="Arial" w:hAnsi="Arial"/>
          <w:u w:val="thick"/>
        </w:rPr>
        <w:t>9bis</w:t>
      </w:r>
      <w:r w:rsidRPr="0031530B">
        <w:rPr>
          <w:rFonts w:ascii="Arial" w:hAnsi="Arial"/>
        </w:rPr>
        <w:t>–14“.</w:t>
      </w:r>
    </w:p>
    <w:p w14:paraId="7A909A9F" w14:textId="77777777" w:rsidR="00994A23" w:rsidRPr="0031530B" w:rsidRDefault="00224C6A">
      <w:pPr>
        <w:pStyle w:val="centeredARTICLE"/>
        <w:rPr>
          <w:rFonts w:ascii="Arial" w:hAnsi="Arial" w:cs="Arial"/>
        </w:rPr>
      </w:pPr>
      <w:r w:rsidRPr="0031530B">
        <w:rPr>
          <w:rStyle w:val="Underline"/>
          <w:rFonts w:ascii="Arial" w:hAnsi="Arial"/>
        </w:rPr>
        <w:t>Artikkel 9</w:t>
      </w:r>
      <w:r w:rsidRPr="0031530B">
        <w:rPr>
          <w:rFonts w:ascii="Arial" w:hAnsi="Arial"/>
        </w:rPr>
        <w:t xml:space="preserve"> (</w:t>
      </w:r>
      <w:r w:rsidRPr="0031530B">
        <w:rPr>
          <w:rFonts w:ascii="Arial" w:hAnsi="Arial"/>
          <w:i/>
        </w:rPr>
        <w:t>uus</w:t>
      </w:r>
      <w:r w:rsidRPr="0031530B">
        <w:rPr>
          <w:rFonts w:ascii="Arial" w:hAnsi="Arial"/>
        </w:rPr>
        <w:t>)</w:t>
      </w:r>
    </w:p>
    <w:p w14:paraId="1888D22E" w14:textId="77777777" w:rsidR="00994A23" w:rsidRPr="0031530B" w:rsidRDefault="00224C6A">
      <w:pPr>
        <w:pStyle w:val="BodyTextNL"/>
        <w:rPr>
          <w:rStyle w:val="Italic"/>
          <w:rFonts w:ascii="Arial" w:hAnsi="Arial" w:cs="Arial"/>
        </w:rPr>
      </w:pPr>
      <w:r w:rsidRPr="0031530B">
        <w:rPr>
          <w:rFonts w:ascii="Arial" w:hAnsi="Arial"/>
        </w:rPr>
        <w:t>Plastkandekotte, mille turule laskmine on keelatud kõnealuse seaduse artikliga </w:t>
      </w:r>
      <w:r w:rsidRPr="0031530B">
        <w:rPr>
          <w:rFonts w:ascii="Arial" w:hAnsi="Arial"/>
          <w:u w:val="thick"/>
        </w:rPr>
        <w:t>9quater</w:t>
      </w:r>
      <w:r w:rsidRPr="0031530B">
        <w:rPr>
          <w:rFonts w:ascii="Arial" w:hAnsi="Arial"/>
        </w:rPr>
        <w:t>, kuid mille eest jaemüüja on maksnud juba enne käesoleva seaduse artikli </w:t>
      </w:r>
      <w:r w:rsidRPr="0031530B">
        <w:rPr>
          <w:rStyle w:val="Underline"/>
          <w:rFonts w:ascii="Arial" w:hAnsi="Arial"/>
        </w:rPr>
        <w:t>10</w:t>
      </w:r>
      <w:r w:rsidRPr="0031530B">
        <w:rPr>
          <w:rFonts w:ascii="Arial" w:hAnsi="Arial"/>
        </w:rPr>
        <w:t xml:space="preserve"> lõike 2 jõustumist, võib jätkuvalt jagada kuue kuu jooksul alates nimetatud kuupäevast.</w:t>
      </w:r>
      <w:r w:rsidRPr="0031530B">
        <w:rPr>
          <w:rStyle w:val="Italic"/>
          <w:rFonts w:ascii="Arial" w:hAnsi="Arial"/>
        </w:rPr>
        <w:t xml:space="preserve"> </w:t>
      </w:r>
    </w:p>
    <w:p w14:paraId="53F3F179" w14:textId="77777777" w:rsidR="00994A23" w:rsidRPr="0031530B" w:rsidRDefault="00224C6A">
      <w:pPr>
        <w:pStyle w:val="centeredARTICLE"/>
        <w:rPr>
          <w:rStyle w:val="Underline"/>
          <w:rFonts w:ascii="Arial" w:hAnsi="Arial" w:cs="Arial"/>
        </w:rPr>
      </w:pPr>
      <w:r w:rsidRPr="0031530B">
        <w:rPr>
          <w:rFonts w:ascii="Arial" w:hAnsi="Arial"/>
        </w:rPr>
        <w:t>Artikkel </w:t>
      </w:r>
      <w:r w:rsidRPr="0031530B">
        <w:rPr>
          <w:rStyle w:val="Underline"/>
          <w:rFonts w:ascii="Arial" w:hAnsi="Arial"/>
        </w:rPr>
        <w:t>10</w:t>
      </w:r>
      <w:r w:rsidRPr="0031530B">
        <w:rPr>
          <w:rFonts w:ascii="Arial" w:hAnsi="Arial"/>
        </w:rPr>
        <w:t xml:space="preserve"> (endine artikkel 8)</w:t>
      </w:r>
    </w:p>
    <w:p w14:paraId="508382BA" w14:textId="77777777" w:rsidR="00994A23" w:rsidRPr="0031530B" w:rsidRDefault="00224C6A" w:rsidP="008F5571">
      <w:pPr>
        <w:pStyle w:val="BodyTextNL"/>
        <w:keepNext/>
        <w:keepLines/>
        <w:rPr>
          <w:rFonts w:ascii="Arial" w:hAnsi="Arial" w:cs="Arial"/>
        </w:rPr>
      </w:pPr>
      <w:r w:rsidRPr="0031530B">
        <w:rPr>
          <w:rFonts w:ascii="Arial" w:hAnsi="Arial"/>
        </w:rPr>
        <w:t>Käesolev seadus jõustub 3. juulil 2021.</w:t>
      </w:r>
    </w:p>
    <w:p w14:paraId="603AF641" w14:textId="77777777" w:rsidR="00994A23" w:rsidRPr="0031530B" w:rsidRDefault="00224C6A">
      <w:pPr>
        <w:pStyle w:val="BodyTextNL"/>
        <w:rPr>
          <w:rFonts w:ascii="Arial" w:hAnsi="Arial" w:cs="Arial"/>
        </w:rPr>
      </w:pPr>
      <w:r w:rsidRPr="0031530B">
        <w:rPr>
          <w:rFonts w:ascii="Arial" w:hAnsi="Arial"/>
        </w:rPr>
        <w:t>Kuningas võib määrata lõikes 1 nimetatud kuupäevast varasema jõustumisaja.</w:t>
      </w:r>
    </w:p>
    <w:p w14:paraId="51060FE7" w14:textId="77777777" w:rsidR="00994A23" w:rsidRPr="0031530B" w:rsidRDefault="00224C6A">
      <w:pPr>
        <w:pStyle w:val="BodyTextNL"/>
      </w:pPr>
      <w:r w:rsidRPr="0031530B">
        <w:rPr>
          <w:rFonts w:ascii="Arial" w:hAnsi="Arial"/>
        </w:rPr>
        <w:t xml:space="preserve">Erinevalt lõigetes 1 ja 2 sätestatust jõustuvad </w:t>
      </w:r>
      <w:r w:rsidRPr="0031530B">
        <w:rPr>
          <w:rFonts w:ascii="Arial" w:hAnsi="Arial"/>
          <w:u w:val="thick"/>
        </w:rPr>
        <w:t>artiklid 3, 4, 7 ja 8</w:t>
      </w:r>
      <w:r w:rsidRPr="0031530B">
        <w:rPr>
          <w:rFonts w:ascii="Arial" w:hAnsi="Arial"/>
        </w:rPr>
        <w:t xml:space="preserve"> kuus kuud pärast käesoleva seaduse avaldamist </w:t>
      </w:r>
      <w:r w:rsidRPr="0031530B">
        <w:rPr>
          <w:rStyle w:val="Italic"/>
          <w:rFonts w:ascii="Arial" w:hAnsi="Arial"/>
        </w:rPr>
        <w:t xml:space="preserve">Belgia ametlikus </w:t>
      </w:r>
      <w:r w:rsidRPr="0031530B">
        <w:rPr>
          <w:rStyle w:val="Italic"/>
          <w:rFonts w:ascii="Arial" w:hAnsi="Arial"/>
          <w:u w:val="thick"/>
        </w:rPr>
        <w:t>väljaandes</w:t>
      </w:r>
      <w:r w:rsidRPr="0031530B">
        <w:rPr>
          <w:rFonts w:ascii="Arial" w:hAnsi="Arial"/>
        </w:rPr>
        <w:t>.</w:t>
      </w:r>
    </w:p>
    <w:sectPr w:rsidR="00994A23" w:rsidRPr="0031530B">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6A"/>
    <w:rsid w:val="00224C6A"/>
    <w:rsid w:val="00272AB1"/>
    <w:rsid w:val="0031530B"/>
    <w:rsid w:val="003E44CB"/>
    <w:rsid w:val="008F5571"/>
    <w:rsid w:val="00994A23"/>
    <w:rsid w:val="00B611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CEC5B"/>
  <w14:defaultImageDpi w14:val="0"/>
  <w15:docId w15:val="{C6B2BA8E-28E1-4DE1-8A66-0220D7F8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t-E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Helvetica LT Std" w:hAnsi="Helvetica LT Std" w:cs="Helvetica LT Std"/>
      <w:color w:val="000000"/>
      <w:sz w:val="24"/>
      <w:szCs w:val="24"/>
    </w:rPr>
  </w:style>
  <w:style w:type="paragraph" w:customStyle="1" w:styleId="BodyTextNL">
    <w:name w:val="BodyText_NL"/>
    <w:basedOn w:val="NoParagraphStyle"/>
    <w:uiPriority w:val="99"/>
    <w:pPr>
      <w:spacing w:after="240"/>
      <w:ind w:firstLine="227"/>
      <w:jc w:val="both"/>
    </w:pPr>
    <w:rPr>
      <w:sz w:val="20"/>
      <w:szCs w:val="20"/>
    </w:rPr>
  </w:style>
  <w:style w:type="paragraph" w:customStyle="1" w:styleId="centeredARTICLE">
    <w:name w:val="centered ARTICLE"/>
    <w:basedOn w:val="BodyTextNL"/>
    <w:next w:val="NoParagraphStyle"/>
    <w:uiPriority w:val="99"/>
    <w:pPr>
      <w:keepNext/>
      <w:keepLines/>
      <w:suppressAutoHyphens/>
      <w:spacing w:before="240"/>
      <w:ind w:firstLine="0"/>
      <w:jc w:val="center"/>
    </w:pPr>
  </w:style>
  <w:style w:type="character" w:customStyle="1" w:styleId="Underline">
    <w:name w:val="_Underline"/>
    <w:uiPriority w:val="99"/>
    <w:rPr>
      <w:u w:val="thick"/>
    </w:rPr>
  </w:style>
  <w:style w:type="character" w:customStyle="1" w:styleId="Italic">
    <w:name w:val="_Italic"/>
    <w:uiPriority w:val="99"/>
    <w:rPr>
      <w:i/>
      <w:iCs/>
    </w:rPr>
  </w:style>
  <w:style w:type="character" w:customStyle="1" w:styleId="ItalicUnderline">
    <w:name w:val="_Italic_Underline"/>
    <w:basedOn w:val="Italic"/>
    <w:uiPriority w:val="99"/>
    <w:rPr>
      <w:i/>
      <w:iCs/>
      <w:u w:val="thick"/>
    </w:rPr>
  </w:style>
  <w:style w:type="character" w:customStyle="1" w:styleId="Sup">
    <w:name w:val="_Sup"/>
    <w:uiPriority w:val="99"/>
    <w:rPr>
      <w:vertAlign w:val="superscript"/>
    </w:rPr>
  </w:style>
  <w:style w:type="character" w:customStyle="1" w:styleId="Bold">
    <w:name w:val="_Bold"/>
    <w:uiPriority w:val="99"/>
    <w:rPr>
      <w:b/>
      <w:bCs/>
    </w:rPr>
  </w:style>
  <w:style w:type="character" w:customStyle="1" w:styleId="BoldUnderline">
    <w:name w:val="_Bold_Underline"/>
    <w:basedOn w:val="Bold"/>
    <w:uiPriority w:val="99"/>
    <w:rPr>
      <w:b/>
      <w:bCs/>
      <w:u w:val="thick"/>
    </w:rPr>
  </w:style>
  <w:style w:type="character" w:customStyle="1" w:styleId="Caps">
    <w:name w:val="_Caps"/>
    <w:uiPriority w:val="99"/>
    <w:rPr>
      <w:caps/>
    </w:rPr>
  </w:style>
  <w:style w:type="character" w:customStyle="1" w:styleId="BoldCaps">
    <w:name w:val="_Bold_Caps"/>
    <w:basedOn w:val="Bold"/>
    <w:uiPriority w:val="99"/>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831</Words>
  <Characters>5958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
  <dc:description/>
  <cp:lastModifiedBy>Diana STOICA</cp:lastModifiedBy>
  <cp:revision>4</cp:revision>
  <dcterms:created xsi:type="dcterms:W3CDTF">2020-09-04T09:56:00Z</dcterms:created>
  <dcterms:modified xsi:type="dcterms:W3CDTF">2020-09-11T11:49:00Z</dcterms:modified>
</cp:coreProperties>
</file>