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6EB" w:rsidRPr="002866EB" w:rsidRDefault="002866EB" w:rsidP="002866EB">
      <w:pPr>
        <w:jc w:val="center"/>
        <w:textAlignment w:val="baseline"/>
        <w:rPr>
          <w:rFonts w:ascii="Courier New" w:hAnsi="Courier New"/>
          <w:sz w:val="20"/>
        </w:rPr>
      </w:pPr>
      <w:r>
        <w:rPr>
          <w:rFonts w:ascii="Courier New" w:hAnsi="Courier New"/>
          <w:sz w:val="20"/>
        </w:rPr>
        <w:t>1. ------IND- 2018 0477 FIN HR- ------ 20181005 --- --- PROJET</w:t>
      </w:r>
    </w:p>
    <w:p w:rsidR="008A0B0A" w:rsidRPr="007E23E2" w:rsidRDefault="008A0B0A" w:rsidP="008A0B0A">
      <w:pPr>
        <w:pStyle w:val="LLNormaali"/>
      </w:pPr>
    </w:p>
    <w:p w:rsidR="00F8307A" w:rsidRPr="007E23E2" w:rsidRDefault="00F8307A" w:rsidP="008A0B0A">
      <w:pPr>
        <w:pStyle w:val="LLNormaali"/>
      </w:pPr>
    </w:p>
    <w:p w:rsidR="008968F7" w:rsidRPr="007E23E2" w:rsidRDefault="008968F7" w:rsidP="008968F7">
      <w:pPr>
        <w:pStyle w:val="LLValtioneuvostonAsetus"/>
      </w:pPr>
      <w:r>
        <w:t>Uredba Vlade</w:t>
      </w:r>
    </w:p>
    <w:p w:rsidR="008968F7" w:rsidRPr="007E23E2" w:rsidRDefault="008968F7" w:rsidP="008968F7">
      <w:pPr>
        <w:pStyle w:val="LLSaadoksenNimi"/>
      </w:pPr>
      <w:r>
        <w:t>o izmjeni Uredbe o upotrebi vozila na cesti</w:t>
      </w:r>
    </w:p>
    <w:p w:rsidR="008A0B0A" w:rsidRPr="007E23E2" w:rsidRDefault="008968F7" w:rsidP="008968F7">
      <w:pPr>
        <w:pStyle w:val="LLJohtolauseKappaleet"/>
      </w:pPr>
      <w:r>
        <w:t>Odlukom Vlade ovime se</w:t>
      </w:r>
    </w:p>
    <w:p w:rsidR="008A0B0A" w:rsidRPr="007E23E2" w:rsidRDefault="008A0B0A" w:rsidP="008968F7">
      <w:pPr>
        <w:pStyle w:val="LLJohtolauseKappaleet"/>
      </w:pPr>
      <w:r>
        <w:rPr>
          <w:i/>
        </w:rPr>
        <w:t>stavlja izvan snage</w:t>
      </w:r>
      <w:r>
        <w:t xml:space="preserve"> članak 21. stavak 2. Uredbe o upotrebi vozila na cesti (1257/1992), kako je prenesena u Uredbu 47/2017</w:t>
      </w:r>
    </w:p>
    <w:p w:rsidR="008A0B0A" w:rsidRPr="007E23E2" w:rsidRDefault="008A0B0A" w:rsidP="008968F7">
      <w:pPr>
        <w:pStyle w:val="LLJohtolauseKappaleet"/>
      </w:pPr>
      <w:r>
        <w:rPr>
          <w:i/>
        </w:rPr>
        <w:t>izmjenjuju</w:t>
      </w:r>
      <w:r>
        <w:t xml:space="preserve"> članci 2., 13., 17., 19.a, 19.b, 20., 23., 23.a, 24., 26., 27., 32., 33., 36., 45., 51.b i 52. uredbe,</w:t>
      </w:r>
    </w:p>
    <w:p w:rsidR="008A0B0A" w:rsidRPr="007E23E2" w:rsidRDefault="008A0B0A" w:rsidP="008968F7">
      <w:pPr>
        <w:pStyle w:val="LLJohtolauseKappaleet"/>
      </w:pPr>
      <w:r>
        <w:t>kako je članak 2. prenesen u Uredbu 407/2013 i 570/2017, kako je članak 13. prenesen u Uredbu 1243/2002, kako je članak 17. djelomično prenesen u Uredbe 303/1996, 1227/2011 i 407/2013, kako su članci 19.a, 27. 32. i 52. preneseni u Uredbu 407/2013, članak 19.b u Uredbu 1243/2002, članak 20. u Uredbe 407/2013 i 123/2017, članak 23. u Uredbu 47/2017, članak 23.a u Uredbu 1062/2013, članak 24. u Uredbe 407/2013, 240/2017 i 206/2018, članak 26. u Uredbu 1227/2011, članak 33. u Uredbu 487/2009, članak 36. djelomično u Uredbu 531/1993, članak 45. u Uredbu 1612/2015, a članak 51.b u Uredbu 570/2017,</w:t>
      </w:r>
    </w:p>
    <w:p w:rsidR="008A0B0A" w:rsidRPr="007E23E2" w:rsidRDefault="008A0B0A" w:rsidP="008968F7">
      <w:pPr>
        <w:pStyle w:val="LLJohtolauseKappaleet"/>
      </w:pPr>
      <w:r>
        <w:rPr>
          <w:i/>
        </w:rPr>
        <w:t>zamjenjuje</w:t>
      </w:r>
      <w:r>
        <w:t xml:space="preserve"> članak 22., stavljen izvan zakona Uredbom 670/1997, novim člankom 22. i </w:t>
      </w:r>
      <w:r>
        <w:rPr>
          <w:i/>
        </w:rPr>
        <w:t>dodaje</w:t>
      </w:r>
      <w:r>
        <w:t xml:space="preserve"> novi stavak 2. članku 32.a, kako je prenesen u Uredbu 407/2013, kao i novi članak 32.b uredbi, kako slijedi:</w:t>
      </w:r>
    </w:p>
    <w:p w:rsidR="0077609A" w:rsidRPr="007E23E2" w:rsidRDefault="0077609A" w:rsidP="00C245D5">
      <w:pPr>
        <w:pStyle w:val="LLNormaali"/>
        <w:keepNext/>
      </w:pPr>
    </w:p>
    <w:p w:rsidR="008968F7" w:rsidRPr="007E23E2" w:rsidRDefault="008A0B0A" w:rsidP="00C245D5">
      <w:pPr>
        <w:pStyle w:val="LLPykala"/>
        <w:keepNext/>
      </w:pPr>
      <w:r>
        <w:t>Članak 2.</w:t>
      </w:r>
    </w:p>
    <w:p w:rsidR="008A0B0A" w:rsidRPr="007E23E2" w:rsidRDefault="008A0B0A" w:rsidP="00C245D5">
      <w:pPr>
        <w:pStyle w:val="LLPykalanOtsikko"/>
        <w:keepNext/>
      </w:pPr>
      <w:r>
        <w:t>Definicije</w:t>
      </w:r>
    </w:p>
    <w:p w:rsidR="008A0B0A" w:rsidRPr="007E23E2" w:rsidRDefault="008A0B0A" w:rsidP="008968F7">
      <w:pPr>
        <w:pStyle w:val="LLKappalejako"/>
      </w:pPr>
      <w:r>
        <w:t>Odredbe Zakona o vozilima i uredbe donesene na temelju Zakona primjenjuju se na definiciju vozila, kategorija vozila i dimenzija i mase vozila. Nadalje, definicija dimenzija i mase vozila propisana je Uredbom Komisije (EU) br. 1230/2012 koja provodi Uredbu (EZ) br. 661/2009 Europskog parlamenta i Vijeća u vezi sa zahtjevima homologacije za mase i dimenzije motornih vozila i njihovih prikolica te izmjenjuje Direktivu 2007/46/EZ Europskog parlamenta i Vijeća.</w:t>
      </w:r>
    </w:p>
    <w:p w:rsidR="008968F7" w:rsidRPr="007E23E2" w:rsidRDefault="008A0B0A" w:rsidP="00CA20FF">
      <w:pPr>
        <w:pStyle w:val="LLMomentinJohdantoKappale"/>
      </w:pPr>
      <w:r>
        <w:t>Za potrebe ove Uredbe:</w:t>
      </w:r>
    </w:p>
    <w:p w:rsidR="008A0B0A" w:rsidRPr="007E23E2" w:rsidRDefault="001B17ED" w:rsidP="008968F7">
      <w:pPr>
        <w:pStyle w:val="LLMomentinAlakohta"/>
      </w:pPr>
      <w:r>
        <w:t xml:space="preserve">1) </w:t>
      </w:r>
      <w:r>
        <w:rPr>
          <w:i/>
        </w:rPr>
        <w:t>povezana masa</w:t>
      </w:r>
      <w:r>
        <w:t xml:space="preserve"> odnosi se na dopuštenu stvarnu masu priključenog vučenog vozila, bez mase na sedlu ili vučnoj spojnici vozila za vuču poluprikolice, traktorske prikolice ili prikolice sa središnjom osovinom;</w:t>
      </w:r>
    </w:p>
    <w:p w:rsidR="008A0B0A" w:rsidRPr="007E23E2" w:rsidRDefault="001B17ED" w:rsidP="008968F7">
      <w:pPr>
        <w:pStyle w:val="LLMomentinAlakohta"/>
      </w:pPr>
      <w:r>
        <w:t xml:space="preserve">2) </w:t>
      </w:r>
      <w:r>
        <w:rPr>
          <w:i/>
        </w:rPr>
        <w:t>nedjeljiv teret</w:t>
      </w:r>
      <w:r>
        <w:t xml:space="preserve"> odnosi se na teret koji u svrhu prijevoza cestom ne može biti podijeljen u dva ili više dijela bez prevelikih troškova ili opasnosti od oštećenja i koji se zbog svoje mase ili dimenzija ne može prevoziti vozilom ili skupinom vozila koja svojim masama i dimenzijama nisu u skladu s najvećim dopuštenim masama i dimenzijama na cesti; nedjeljiv teret također znači spremnik osmišljen za prijevoz morem koji se izvozi ili uvozi, prazan ili napunjen na mjestu odlaska, viši od 2,80 m ili dulji od 12,30 m; ako prijevoz navedenog spremnika zahtijeva prelaženje visine od 4,40 m ili, u skladu s time, duljine od 23,00 m ili prelaženje općenito dopuštenog ograničenja mase na cesti u zglobnom vozilu, spremnik se smatra neodvojivim proizvodom samo kada služi kao pakiranje nedjeljivog proizvoda ili kada se prevozi prazan;</w:t>
      </w:r>
    </w:p>
    <w:p w:rsidR="008A0B0A" w:rsidRPr="007E23E2" w:rsidRDefault="001B17ED" w:rsidP="008968F7">
      <w:pPr>
        <w:pStyle w:val="LLMomentinAlakohta"/>
      </w:pPr>
      <w:r>
        <w:t xml:space="preserve">3) </w:t>
      </w:r>
      <w:r>
        <w:rPr>
          <w:i/>
        </w:rPr>
        <w:t>Ministarstvo</w:t>
      </w:r>
      <w:r>
        <w:t xml:space="preserve"> se odnosi na Ministarstvo prometa i komunikacija;</w:t>
      </w:r>
    </w:p>
    <w:p w:rsidR="008A0B0A" w:rsidRPr="007E23E2" w:rsidRDefault="001B17ED" w:rsidP="008968F7">
      <w:pPr>
        <w:pStyle w:val="LLMomentinAlakohta"/>
      </w:pPr>
      <w:r>
        <w:t xml:space="preserve">4) </w:t>
      </w:r>
      <w:r>
        <w:rPr>
          <w:i/>
        </w:rPr>
        <w:t>radna oprema</w:t>
      </w:r>
      <w:r>
        <w:t xml:space="preserve"> odnosi se na stroj koji se može pričvrstiti na vozilo, koji je u potpunosti podignut od tla tijekom cestovnog prijevoza i koji se ne može okretati oko svoje vertikalne osi u odnosu na vozilo tijekom cestovnog prijevoza;</w:t>
      </w:r>
    </w:p>
    <w:p w:rsidR="008A0B0A" w:rsidRPr="007E23E2" w:rsidRDefault="001B17ED" w:rsidP="008968F7">
      <w:pPr>
        <w:pStyle w:val="LLMomentinAlakohta"/>
      </w:pPr>
      <w:r>
        <w:lastRenderedPageBreak/>
        <w:t xml:space="preserve">5) </w:t>
      </w:r>
      <w:r>
        <w:rPr>
          <w:i/>
        </w:rPr>
        <w:t>direktiva o dimenzijama i masi</w:t>
      </w:r>
      <w:r>
        <w:t xml:space="preserve"> odnosi se na Direktivu Vijeća 96/53/EZ kojom se za određena cestovna vozila koja se kreću unutar Europske unije utvrđuju najveće dopuštene dimenzije u nacionalnom i međunarodnom prometu te najveće dopuštene mase u međunarodnom prometu, kako je posljednji put izmijenjeno Direktivom (EU) 2015/719 Europskog parlamenta i Vijeća;</w:t>
      </w:r>
    </w:p>
    <w:p w:rsidR="008A0B0A" w:rsidRPr="007E23E2" w:rsidRDefault="001B17ED" w:rsidP="008968F7">
      <w:pPr>
        <w:pStyle w:val="LLMomentinAlakohta"/>
      </w:pPr>
      <w:r>
        <w:t xml:space="preserve">6) </w:t>
      </w:r>
      <w:r>
        <w:rPr>
          <w:i/>
        </w:rPr>
        <w:t>alternativna goriva</w:t>
      </w:r>
      <w:r>
        <w:t xml:space="preserve"> odnose se na alternativna goriva iz članka 2. direktive o dimenzijama i masi;</w:t>
      </w:r>
    </w:p>
    <w:p w:rsidR="008A0B0A" w:rsidRPr="007E23E2" w:rsidRDefault="001B17ED" w:rsidP="008968F7">
      <w:pPr>
        <w:pStyle w:val="LLMomentinAlakohta"/>
      </w:pPr>
      <w:r>
        <w:t xml:space="preserve">7) </w:t>
      </w:r>
      <w:r>
        <w:rPr>
          <w:i/>
        </w:rPr>
        <w:t>upravljačka osovina</w:t>
      </w:r>
      <w:r>
        <w:t xml:space="preserve"> odnosi se na osovinu čiji se kotači mogu izravno ili neizravno okretati u odnosu na uzdužnu osovinu vozila kako bi se utvrdio smjer kretanja vozila;</w:t>
      </w:r>
    </w:p>
    <w:p w:rsidR="008A0B0A" w:rsidRPr="007E23E2" w:rsidRDefault="001B17ED" w:rsidP="008968F7">
      <w:pPr>
        <w:pStyle w:val="LLMomentinAlakohta"/>
      </w:pPr>
      <w:r>
        <w:t xml:space="preserve">8) </w:t>
      </w:r>
      <w:r>
        <w:rPr>
          <w:i/>
        </w:rPr>
        <w:t>upravljana osovina</w:t>
      </w:r>
      <w:r>
        <w:t xml:space="preserve"> odnosi se na osovinu čiji se kut upravljanja kotača mijenja samo zbog međudjelovanja sila između kotača i površine ceste; međutim, osovina čiji se kut upravljanja neznatno mijenja zbog elastičnosti spojnice osovine ne smatra se upravljanom osovinom.</w:t>
      </w:r>
    </w:p>
    <w:p w:rsidR="00CA20FF" w:rsidRPr="007E23E2" w:rsidRDefault="00CA20FF" w:rsidP="008968F7">
      <w:pPr>
        <w:pStyle w:val="LLMomentinAlakohta"/>
      </w:pPr>
    </w:p>
    <w:p w:rsidR="008A0B0A" w:rsidRPr="007E23E2" w:rsidRDefault="008A0B0A" w:rsidP="00C245D5">
      <w:pPr>
        <w:pStyle w:val="LLPykala"/>
        <w:keepNext/>
      </w:pPr>
      <w:r>
        <w:t>Članak 13.</w:t>
      </w:r>
    </w:p>
    <w:p w:rsidR="008A0B0A" w:rsidRPr="007E23E2" w:rsidRDefault="008A0B0A" w:rsidP="00C245D5">
      <w:pPr>
        <w:pStyle w:val="LLPykalanOtsikko"/>
        <w:keepNext/>
      </w:pPr>
      <w:r>
        <w:t>Upravljana osovina</w:t>
      </w:r>
    </w:p>
    <w:p w:rsidR="008A0B0A" w:rsidRPr="007E23E2" w:rsidRDefault="008A0B0A" w:rsidP="00CA20FF">
      <w:pPr>
        <w:pStyle w:val="LLKappalejako"/>
      </w:pPr>
      <w:r>
        <w:t>Ako vozilo ili prikolica za koje nisu pruženi ili određeni tehnički zahtjevi za kontrolni uređaj ima upravljanu osovinu opremljenu uređajem koji se aktivira samo iz vozačevog sjedala ili automatskim uređajem koji izravno zaključava upravljanje, osovina mora ostati zaključana tijekom vožnje pri brzini koja prelazi 40 km/h.</w:t>
      </w:r>
    </w:p>
    <w:p w:rsidR="008A0B0A" w:rsidRPr="007E23E2" w:rsidRDefault="008A0B0A" w:rsidP="00CA20FF">
      <w:pPr>
        <w:pStyle w:val="LLKappalejako"/>
      </w:pPr>
      <w:r>
        <w:t>Ako su sve osovine vozila upravljačke osovine, položaj kretanja vozila mora biti paralelan s kolnikom u uobičajenom prometu.</w:t>
      </w:r>
    </w:p>
    <w:p w:rsidR="008A0B0A" w:rsidRPr="007E23E2" w:rsidRDefault="008A0B0A" w:rsidP="008A0B0A">
      <w:pPr>
        <w:pStyle w:val="LLNormaali"/>
      </w:pPr>
    </w:p>
    <w:p w:rsidR="008A0B0A" w:rsidRPr="007E23E2" w:rsidRDefault="008A0B0A" w:rsidP="00C245D5">
      <w:pPr>
        <w:pStyle w:val="LLPykala"/>
        <w:keepNext/>
      </w:pPr>
      <w:r>
        <w:t>Članak 17.</w:t>
      </w:r>
    </w:p>
    <w:p w:rsidR="008A0B0A" w:rsidRPr="007E23E2" w:rsidRDefault="008A0B0A" w:rsidP="00C245D5">
      <w:pPr>
        <w:pStyle w:val="LLPykalanOtsikko"/>
        <w:keepNext/>
      </w:pPr>
      <w:r>
        <w:t>Upotreba uređaja protiv klizanja guma vozila i vučenih vozila koja su spojena na njih</w:t>
      </w:r>
    </w:p>
    <w:p w:rsidR="008A0B0A" w:rsidRPr="007E23E2" w:rsidRDefault="008A0B0A" w:rsidP="00CA20FF">
      <w:pPr>
        <w:pStyle w:val="LLKappalejako"/>
      </w:pPr>
      <w:r>
        <w:t>Gume vozila i spojenog vučenog vozila mogu se opremiti čavlima, lancima za snijeg ili drugim napravama protiv klizanja koji bitno ne oštećuju površinu ceste. Gume s čavlima mogu se koristiti od 1. studenoga do 31. ožujka ili do prvog ponedjeljka nakon Uskrsnog ponedjeljka, koji god datum je kasniji. Izvan tog razdoblja gume s čavlima mogu se koristiti na vozilima za hitne slučajeve, terenskim vozilima i prikolicama kojima se koriste obrambene snage, vozilima i prikolicama za održavanje cesta te vozilima za cestovni prijevoz. Gume s čavlima također se smiju upotrebljavati izvan prethodno navedenog razdoblja tijekom privremenih prijevoza u vezi s trgovinom, popravkom i pregledom tehničke ispravnosti vozila ili vučenih vozila te na svim vozilima i vučenim vozilima ako je to potrebno zbog vremenskih uvjeta ili uvjeta na cesti.</w:t>
      </w:r>
    </w:p>
    <w:p w:rsidR="008A0B0A" w:rsidRPr="007E23E2" w:rsidRDefault="008A0B0A" w:rsidP="00CA20FF">
      <w:pPr>
        <w:pStyle w:val="LLKappalejako"/>
      </w:pPr>
      <w:r>
        <w:t>U slučaju prikolice čija ukupna masa prelazi 0,75 tona, ali ne 3,5 tona (kategorija O</w:t>
      </w:r>
      <w:r>
        <w:rPr>
          <w:vertAlign w:val="subscript"/>
        </w:rPr>
        <w:t>2</w:t>
      </w:r>
      <w:r>
        <w:t>), gume s čavlima upotrebljavaju se ako je vučeno vozilo opremljeno gumama s čavlima.</w:t>
      </w:r>
    </w:p>
    <w:p w:rsidR="008A0B0A" w:rsidRPr="007E23E2" w:rsidRDefault="008A0B0A" w:rsidP="00CA20FF">
      <w:pPr>
        <w:pStyle w:val="LLKappalejako"/>
      </w:pPr>
      <w:r>
        <w:t>Kada se gume s čavlima koriste na osobnom automobilu, lakom gospodarskom vozilu (kategorija M</w:t>
      </w:r>
      <w:r>
        <w:rPr>
          <w:vertAlign w:val="subscript"/>
        </w:rPr>
        <w:t>1</w:t>
      </w:r>
      <w:r>
        <w:t xml:space="preserve"> i N</w:t>
      </w:r>
      <w:r>
        <w:rPr>
          <w:vertAlign w:val="subscript"/>
        </w:rPr>
        <w:t>1</w:t>
      </w:r>
      <w:r>
        <w:t>) ili na prikolici čija ukupna masa ne prelazi 3,5 tona (kategorija O</w:t>
      </w:r>
      <w:r>
        <w:rPr>
          <w:vertAlign w:val="subscript"/>
        </w:rPr>
        <w:t>1</w:t>
      </w:r>
      <w:r>
        <w:t xml:space="preserve"> i O</w:t>
      </w:r>
      <w:r>
        <w:rPr>
          <w:vertAlign w:val="subscript"/>
        </w:rPr>
        <w:t>2</w:t>
      </w:r>
      <w:r>
        <w:t>), moraju se postaviti na svaki kotač, osim na oba udvojena kotača. Broj čavala na različitim gumama vozila ne smije se razlikovati za više od 25 % od broja čavala na gumi s najvećim brojem čavala.</w:t>
      </w:r>
    </w:p>
    <w:p w:rsidR="008A0B0A" w:rsidRPr="007E23E2" w:rsidRDefault="008A0B0A" w:rsidP="00CA20FF">
      <w:pPr>
        <w:pStyle w:val="LLKappalejako"/>
      </w:pPr>
      <w:r>
        <w:t>Kada se privremeno mora koristiti rezervna guma na vozilu ili vučenom vozilu priključenom na njega zbog nedostatka na gumi, odredbe iz ovog odjeljka ne primjenjuju se na nju. Vozilom se tada treba upravljati uz dodatni oprez.</w:t>
      </w:r>
    </w:p>
    <w:p w:rsidR="008A0B0A" w:rsidRPr="007E23E2" w:rsidRDefault="008A0B0A" w:rsidP="00CA20FF">
      <w:pPr>
        <w:pStyle w:val="LLKappalejako"/>
      </w:pPr>
      <w:r>
        <w:t>Ako se rabljena guma s čavlima koristi na osobnom vozilu ili lakom kamionu, čavli ne smiju stršiti više od 2 mm. Čavli na rabljenoj gumi za kamione ne smiju stršiti više od 2,5 mm.</w:t>
      </w:r>
    </w:p>
    <w:p w:rsidR="009F1C22" w:rsidRPr="007E23E2" w:rsidRDefault="008A0B0A" w:rsidP="00CA20FF">
      <w:pPr>
        <w:pStyle w:val="LLKappalejako"/>
      </w:pPr>
      <w:r>
        <w:t>Finska agencija za sigurnost prometa može odobriti izuzeće pojedinačnom vozilu od odredbe stavka 1. o dopuštenom razdoblju uporabe guma s čavlima.</w:t>
      </w:r>
    </w:p>
    <w:p w:rsidR="008A0B0A" w:rsidRPr="007E23E2" w:rsidRDefault="008A0B0A" w:rsidP="00CA20FF">
      <w:pPr>
        <w:pStyle w:val="LLKappalejako"/>
      </w:pPr>
      <w:r>
        <w:lastRenderedPageBreak/>
        <w:t>Ako je ukupna masa na pogonskoj osovini ili pogonskim osovinama manja od 18 % bruto zajedničke mase skupine vozila čija masa prelazi 44 tona ili čija je duljina veća od 18,75 m, vučno vozilo mora, tijekom razdoblja navedenog u članku 1. stavku 2., biti opremljeno uređajem koji može poboljšati početno kretanje vozila na klizavim površinama cesta. Struktura koja utječe na djelovanje diferencijala pojedinačne pogonske osovine ne smatra se takvim uređajima.</w:t>
      </w:r>
    </w:p>
    <w:p w:rsidR="008A0B0A" w:rsidRPr="007E23E2" w:rsidRDefault="008A0B0A" w:rsidP="00CA20FF">
      <w:pPr>
        <w:pStyle w:val="LLKappalejako"/>
      </w:pPr>
      <w:r>
        <w:t>Ako je ukupna masa na pogonskim osovinama skupine vozila čija duljina prelazi 28 metara manja od 25 % mase skupine vozila, tijekom razdoblja navedenog u članku 16. stavku 2. i u svrhu poboljšanja kapaciteta pokretanja skupine vozila na klizavoj površini ceste, vučno vozilo mora biti opremljeno raspršivačem pijeska ili automatskim lancima za snijeg kako bi se poboljšao vučni kapacitet barem jedne pogonske osovine ili osovine koja se koristi kao pogonska osovina pri maloj brzini.</w:t>
      </w:r>
    </w:p>
    <w:p w:rsidR="00486E06" w:rsidRPr="007E23E2" w:rsidRDefault="00486E06" w:rsidP="00486E06">
      <w:pPr>
        <w:pStyle w:val="LLNormaali"/>
      </w:pPr>
    </w:p>
    <w:p w:rsidR="008A0B0A" w:rsidRPr="007E23E2" w:rsidRDefault="008A0B0A" w:rsidP="00C245D5">
      <w:pPr>
        <w:pStyle w:val="LLPykala"/>
        <w:keepNext/>
      </w:pPr>
      <w:r>
        <w:t>Članak 19.a</w:t>
      </w:r>
    </w:p>
    <w:p w:rsidR="008A0B0A" w:rsidRPr="007E23E2" w:rsidRDefault="008A0B0A" w:rsidP="00C245D5">
      <w:pPr>
        <w:pStyle w:val="LLPykalanOtsikko"/>
        <w:keepNext/>
      </w:pPr>
      <w:r>
        <w:t>Najveće mase na osovinama ili okretnim postoljima vozila ili skupine vozila</w:t>
      </w:r>
    </w:p>
    <w:p w:rsidR="008A0B0A" w:rsidRPr="007E23E2" w:rsidRDefault="008A0B0A" w:rsidP="00CA20FF">
      <w:pPr>
        <w:pStyle w:val="LLKappalejako"/>
      </w:pPr>
      <w:r>
        <w:t>Kada se vozilo ili skupina vozila vozi na cesti, masa osovine ili okretnog postolja ili ukupna masa vozila ne smije premašivati vrijednost unesenu u registar vozila. Ukupna masa skupine vozila ne smije premašivati iznos masa vučnog vozila i vučenog vozila u registru, ili je ukupna masa dopuštena za skupinu manja od prethodno navedenog iznosa.</w:t>
      </w:r>
    </w:p>
    <w:p w:rsidR="008A0B0A" w:rsidRPr="007E23E2" w:rsidRDefault="008A0B0A" w:rsidP="00CA20FF">
      <w:pPr>
        <w:pStyle w:val="LLKappalejako"/>
      </w:pPr>
      <w:r>
        <w:t>Tijekom vožnje na klizavoj površini ceste masa na osovini ili okretnom postolju vozila prilikom uporabe naprave za podizanje osovine ili funkcije olakšavanja osovine može privremeno premašiti najveću dopuštenu masu osovine ili okretnog postolja na cesti ako je to potrebno kako bi se osigurala dovoljna vlačna sila i ako ne oštećuje cestu.</w:t>
      </w:r>
    </w:p>
    <w:p w:rsidR="008A0B0A" w:rsidRPr="007E23E2" w:rsidRDefault="008A0B0A" w:rsidP="00CA20FF">
      <w:pPr>
        <w:pStyle w:val="LLKappalejako"/>
      </w:pPr>
      <w:r>
        <w:t>Masa na osovini i okretnom postolju vozila prilikom uporabe naprave za podizanje osovine ili funkcije olakšavanja osovine može privremeno premašiti najveću dopuštenu masu na cesti ako je potrebno kako bi se postigla dovoljna mogućnost upravljanja. Brzina ne smije prelaziti 30 km/h. Masa osovine ne smije prelaziti 12 tona. Skupina vozila ne mora zadovoljiti zahtjev o stabilnosti iz članka 32.b tijekom podizanja osovine pri brzini manjoj od 30 kilometara na sat.</w:t>
      </w:r>
    </w:p>
    <w:p w:rsidR="00486E06" w:rsidRPr="007E23E2" w:rsidRDefault="00486E06" w:rsidP="00486E06">
      <w:pPr>
        <w:pStyle w:val="LLNormaali"/>
      </w:pPr>
    </w:p>
    <w:p w:rsidR="008A0B0A" w:rsidRPr="007E23E2" w:rsidRDefault="008A0B0A" w:rsidP="00C245D5">
      <w:pPr>
        <w:pStyle w:val="LLPykala"/>
        <w:keepNext/>
      </w:pPr>
      <w:r>
        <w:t>Članak 19.b</w:t>
      </w:r>
    </w:p>
    <w:p w:rsidR="008A0B0A" w:rsidRPr="007E23E2" w:rsidRDefault="008A0B0A" w:rsidP="00C245D5">
      <w:pPr>
        <w:pStyle w:val="LLPykalanOtsikko"/>
        <w:keepNext/>
      </w:pPr>
      <w:r>
        <w:t>Upotreba vozila u Finskoj koje je registrirano ili pušteno u promet u državi EGP-a</w:t>
      </w:r>
    </w:p>
    <w:p w:rsidR="008A0B0A" w:rsidRPr="007E23E2" w:rsidRDefault="008A0B0A" w:rsidP="00CA20FF">
      <w:pPr>
        <w:pStyle w:val="LLKappalejako"/>
      </w:pPr>
      <w:r>
        <w:t>Ako se vozilo koje je registrirano ili pušteno u promet u državi članici Europskog gospodarskog područja, dalje u tekstu "država EGP", upotrebljava u Finskoj, primjenjivat će se odredbe iz ovog poglavlja.</w:t>
      </w:r>
    </w:p>
    <w:p w:rsidR="008A0B0A" w:rsidRPr="007E23E2" w:rsidRDefault="008A0B0A" w:rsidP="00CA20FF">
      <w:pPr>
        <w:pStyle w:val="LLMomentinJohdantoKappale"/>
      </w:pPr>
      <w:r>
        <w:t>Ako općenito dopuštene mase vozila puštenog u promet 1993. ili poslije prelaze maksimalne vrijednosti navedene u direktivi o dimenzijama i masi:</w:t>
      </w:r>
    </w:p>
    <w:p w:rsidR="008A0B0A" w:rsidRPr="007E23E2" w:rsidRDefault="009F1C22" w:rsidP="00486E06">
      <w:pPr>
        <w:pStyle w:val="LLMomentinAlakohta"/>
      </w:pPr>
      <w:r>
        <w:t>1) najmanje jedna osovina okretnog postolja s tri ili više osovine mora biti upravljačka osovina; umjesto upravljačke osovine može se koristiti upravljana osovina blokirana u položaju koji izravno odgovara smjeru vožnje pri brzini od 30 kilometara na sat ili većoj;</w:t>
      </w:r>
    </w:p>
    <w:p w:rsidR="008A0B0A" w:rsidRPr="007E23E2" w:rsidRDefault="009F1C22" w:rsidP="00486E06">
      <w:pPr>
        <w:pStyle w:val="LLMomentinAlakohta"/>
      </w:pPr>
      <w:r>
        <w:t>2) u slučaju vučenog vozila najmanje jedna od osovina okretnog postolja mora biti upravljana ili upravljačka osovina, ako je razmak između krajnjih vanjskih osovina okretnog postolja veći od 2,4 metra u okretnom postolju s dvije osovine ili 2,8 metara u postolju s tri ili više osovina;</w:t>
      </w:r>
    </w:p>
    <w:p w:rsidR="008A0B0A" w:rsidRPr="007E23E2" w:rsidRDefault="009F1C22" w:rsidP="00486E06">
      <w:pPr>
        <w:pStyle w:val="LLMomentinAlakohta"/>
      </w:pPr>
      <w:r>
        <w:t>3) krajnje stražnja osovina u okretnom postolju prikolice s dvije osovine mora biti samo upravljana osovina ako je dokazano da vozilo ispunjava tehničke zahtjeve iz Pravilnika UNECE-a br. 79;</w:t>
      </w:r>
    </w:p>
    <w:p w:rsidR="008A0B0A" w:rsidRPr="007E23E2" w:rsidRDefault="009F1C22" w:rsidP="00486E06">
      <w:pPr>
        <w:pStyle w:val="LLMomentinAlakohta"/>
      </w:pPr>
      <w:r>
        <w:t>4) poluprikolica priključena s pomoću potpornih kolica mora imati najmanje dvije neupravljane osovine.</w:t>
      </w:r>
    </w:p>
    <w:p w:rsidR="008A0B0A" w:rsidRPr="007E23E2" w:rsidRDefault="008A0B0A" w:rsidP="00486E06">
      <w:pPr>
        <w:pStyle w:val="LLMomentinAlakohta"/>
      </w:pPr>
      <w:r>
        <w:t xml:space="preserve">Zbroj mase na neupravljanim osovinama okretnog postolja s tri ili više osovina u vozilu iz stavka 2. mora biti barem 1,6 puta veći od mase na upravljanim osovinama. Taj se zahtjev ne </w:t>
      </w:r>
      <w:r>
        <w:lastRenderedPageBreak/>
        <w:t>primjenjuje na vozila koja dokazano ispunjavaju tehničke zahtjeve iz Pravilnika UNECE-a br. 79.</w:t>
      </w:r>
    </w:p>
    <w:p w:rsidR="008A0B0A" w:rsidRDefault="008A0B0A" w:rsidP="00486E06">
      <w:pPr>
        <w:pStyle w:val="LLMomentinAlakohta"/>
      </w:pPr>
      <w:r>
        <w:t>Odredbe iz prethodnih stavaka 2. i 3. ne primjenjuju se na vozila s najvećom dopuštenom brzinom koja ne premašuje 40 km/h.</w:t>
      </w:r>
    </w:p>
    <w:p w:rsidR="00C245D5" w:rsidRPr="007E23E2" w:rsidRDefault="00C245D5" w:rsidP="00486E06">
      <w:pPr>
        <w:pStyle w:val="LLMomentinAlakohta"/>
      </w:pPr>
    </w:p>
    <w:p w:rsidR="008A0B0A" w:rsidRPr="007E23E2" w:rsidRDefault="008A0B0A" w:rsidP="00C245D5">
      <w:pPr>
        <w:pStyle w:val="LLPykala"/>
        <w:keepNext/>
      </w:pPr>
      <w:r>
        <w:t>Članak 20.</w:t>
      </w:r>
    </w:p>
    <w:p w:rsidR="008A0B0A" w:rsidRPr="007E23E2" w:rsidRDefault="008A0B0A" w:rsidP="00C245D5">
      <w:pPr>
        <w:pStyle w:val="LLPykalanOtsikko"/>
        <w:keepNext/>
      </w:pPr>
      <w:r>
        <w:t>Mase na osovinama i okretnim postoljima</w:t>
      </w:r>
    </w:p>
    <w:p w:rsidR="008A0B0A" w:rsidRPr="007E23E2" w:rsidRDefault="008A0B0A" w:rsidP="00C245D5">
      <w:pPr>
        <w:pStyle w:val="LLMomentinJohdantoKappale"/>
        <w:keepNext/>
      </w:pPr>
      <w:r>
        <w:t>Kada se motorno vozilo ili prikolica vozi cestom, masa na njegovoj osovini ne smije prijeći sljedeće vrijednosti:</w:t>
      </w:r>
    </w:p>
    <w:p w:rsidR="004A1943" w:rsidRPr="007E23E2" w:rsidRDefault="004A1943" w:rsidP="00C245D5">
      <w:pPr>
        <w:pStyle w:val="LLNormaali"/>
        <w:keepNext/>
      </w:pPr>
    </w:p>
    <w:tbl>
      <w:tblPr>
        <w:tblStyle w:val="TableGrid"/>
        <w:tblW w:w="0" w:type="auto"/>
        <w:tblLook w:val="04A0" w:firstRow="1" w:lastRow="0" w:firstColumn="1" w:lastColumn="0" w:noHBand="0" w:noVBand="1"/>
      </w:tblPr>
      <w:tblGrid>
        <w:gridCol w:w="4168"/>
        <w:gridCol w:w="4168"/>
      </w:tblGrid>
      <w:tr w:rsidR="00921B70" w:rsidRPr="007E23E2" w:rsidTr="00921B70">
        <w:tc>
          <w:tcPr>
            <w:tcW w:w="4168" w:type="dxa"/>
          </w:tcPr>
          <w:p w:rsidR="00921B70" w:rsidRPr="007E23E2" w:rsidRDefault="00EC043B" w:rsidP="00EC043B">
            <w:pPr>
              <w:pStyle w:val="LLMomentinKohta"/>
              <w:rPr>
                <w:sz w:val="20"/>
                <w:szCs w:val="20"/>
              </w:rPr>
            </w:pPr>
            <w:r>
              <w:rPr>
                <w:sz w:val="20"/>
              </w:rPr>
              <w:t xml:space="preserve">1) </w:t>
            </w:r>
            <w:proofErr w:type="spellStart"/>
            <w:r>
              <w:rPr>
                <w:sz w:val="20"/>
              </w:rPr>
              <w:t>nepogonska</w:t>
            </w:r>
            <w:proofErr w:type="spellEnd"/>
            <w:r>
              <w:rPr>
                <w:sz w:val="20"/>
              </w:rPr>
              <w:t xml:space="preserve"> osovina</w:t>
            </w:r>
          </w:p>
        </w:tc>
        <w:tc>
          <w:tcPr>
            <w:tcW w:w="4168" w:type="dxa"/>
          </w:tcPr>
          <w:p w:rsidR="00921B70" w:rsidRPr="007E23E2" w:rsidRDefault="00921B70" w:rsidP="00921B70">
            <w:pPr>
              <w:pStyle w:val="LLMomentinKohta"/>
              <w:rPr>
                <w:sz w:val="20"/>
                <w:szCs w:val="20"/>
              </w:rPr>
            </w:pPr>
            <w:r>
              <w:rPr>
                <w:sz w:val="20"/>
              </w:rPr>
              <w:t>10 t</w:t>
            </w:r>
          </w:p>
        </w:tc>
      </w:tr>
      <w:tr w:rsidR="00921B70" w:rsidRPr="007E23E2" w:rsidTr="00921B70">
        <w:tc>
          <w:tcPr>
            <w:tcW w:w="4168" w:type="dxa"/>
          </w:tcPr>
          <w:p w:rsidR="00921B70" w:rsidRPr="007E23E2" w:rsidRDefault="00921B70" w:rsidP="00921B70">
            <w:pPr>
              <w:pStyle w:val="LLMomentinKohta"/>
              <w:rPr>
                <w:sz w:val="20"/>
                <w:szCs w:val="20"/>
              </w:rPr>
            </w:pPr>
            <w:r>
              <w:rPr>
                <w:sz w:val="20"/>
              </w:rPr>
              <w:t>2) pogonska osovina</w:t>
            </w:r>
          </w:p>
        </w:tc>
        <w:tc>
          <w:tcPr>
            <w:tcW w:w="4168" w:type="dxa"/>
          </w:tcPr>
          <w:p w:rsidR="00921B70" w:rsidRPr="007E23E2" w:rsidRDefault="00921B70" w:rsidP="00921B70">
            <w:pPr>
              <w:pStyle w:val="LLMomentinKohta"/>
              <w:rPr>
                <w:sz w:val="20"/>
                <w:szCs w:val="20"/>
              </w:rPr>
            </w:pPr>
            <w:r>
              <w:rPr>
                <w:sz w:val="20"/>
              </w:rPr>
              <w:t>11,5 t</w:t>
            </w:r>
          </w:p>
        </w:tc>
      </w:tr>
    </w:tbl>
    <w:p w:rsidR="00921B70" w:rsidRPr="007E23E2" w:rsidRDefault="00921B70" w:rsidP="00427716">
      <w:pPr>
        <w:pStyle w:val="LLMomentinKohta"/>
      </w:pPr>
    </w:p>
    <w:p w:rsidR="008A0B0A" w:rsidRPr="007E23E2" w:rsidRDefault="008A0B0A" w:rsidP="00C245D5">
      <w:pPr>
        <w:pStyle w:val="LLMomentinJohdantoKappale"/>
        <w:keepNext/>
      </w:pPr>
      <w:r>
        <w:t>Kada se motorno vozilo vozi cestom, masa na njegovom okretnom postolju ne smije prijeći sljedeće vrijednosti:</w:t>
      </w:r>
    </w:p>
    <w:p w:rsidR="004A1943" w:rsidRPr="007E23E2" w:rsidRDefault="004A1943" w:rsidP="00C245D5">
      <w:pPr>
        <w:pStyle w:val="LLMomentinKohta"/>
        <w:keepNext/>
      </w:pPr>
    </w:p>
    <w:tbl>
      <w:tblPr>
        <w:tblStyle w:val="TableGrid"/>
        <w:tblW w:w="0" w:type="auto"/>
        <w:tblLook w:val="04A0" w:firstRow="1" w:lastRow="0" w:firstColumn="1" w:lastColumn="0" w:noHBand="0" w:noVBand="1"/>
      </w:tblPr>
      <w:tblGrid>
        <w:gridCol w:w="4957"/>
        <w:gridCol w:w="850"/>
      </w:tblGrid>
      <w:tr w:rsidR="00921B70" w:rsidRPr="007E23E2" w:rsidTr="007E23E2">
        <w:tc>
          <w:tcPr>
            <w:tcW w:w="4957" w:type="dxa"/>
          </w:tcPr>
          <w:p w:rsidR="00921B70" w:rsidRPr="007E23E2" w:rsidRDefault="00921B70" w:rsidP="00921B70">
            <w:pPr>
              <w:pStyle w:val="LLMomentinKohta"/>
              <w:rPr>
                <w:sz w:val="20"/>
                <w:szCs w:val="20"/>
              </w:rPr>
            </w:pPr>
            <w:r>
              <w:rPr>
                <w:sz w:val="20"/>
              </w:rPr>
              <w:t>1) okretno postolje s tandem osovinom kada je razmak između osovina manji od 1 metra</w:t>
            </w:r>
          </w:p>
        </w:tc>
        <w:tc>
          <w:tcPr>
            <w:tcW w:w="850" w:type="dxa"/>
          </w:tcPr>
          <w:p w:rsidR="00921B70" w:rsidRPr="007E23E2" w:rsidRDefault="00921B70" w:rsidP="00921B70">
            <w:pPr>
              <w:pStyle w:val="LLMomentinKohta"/>
              <w:rPr>
                <w:sz w:val="20"/>
                <w:szCs w:val="20"/>
              </w:rPr>
            </w:pPr>
            <w:r>
              <w:rPr>
                <w:sz w:val="20"/>
              </w:rPr>
              <w:t>11 t</w:t>
            </w:r>
          </w:p>
        </w:tc>
      </w:tr>
      <w:tr w:rsidR="00921B70" w:rsidRPr="007E23E2" w:rsidTr="007E23E2">
        <w:tc>
          <w:tcPr>
            <w:tcW w:w="4957" w:type="dxa"/>
          </w:tcPr>
          <w:p w:rsidR="00921B70" w:rsidRPr="007E23E2" w:rsidRDefault="00921B70" w:rsidP="00A80A40">
            <w:pPr>
              <w:pStyle w:val="LLMomentinKohta"/>
              <w:rPr>
                <w:sz w:val="20"/>
                <w:szCs w:val="20"/>
              </w:rPr>
            </w:pPr>
            <w:r>
              <w:rPr>
                <w:sz w:val="20"/>
              </w:rPr>
              <w:t>2) okretno postolje s tandem osovinom kada razmak između osovina nije manji od 1 metra, ali je manji od 1,3 metra</w:t>
            </w:r>
          </w:p>
        </w:tc>
        <w:tc>
          <w:tcPr>
            <w:tcW w:w="850" w:type="dxa"/>
          </w:tcPr>
          <w:p w:rsidR="00921B70" w:rsidRPr="007E23E2" w:rsidRDefault="00921B70" w:rsidP="007E23E2">
            <w:pPr>
              <w:pStyle w:val="LLMomentinKohta"/>
              <w:rPr>
                <w:sz w:val="20"/>
                <w:szCs w:val="20"/>
              </w:rPr>
            </w:pPr>
            <w:r>
              <w:rPr>
                <w:sz w:val="20"/>
              </w:rPr>
              <w:t>16 t</w:t>
            </w:r>
          </w:p>
        </w:tc>
      </w:tr>
      <w:tr w:rsidR="00921B70" w:rsidRPr="007E23E2" w:rsidTr="007E23E2">
        <w:tc>
          <w:tcPr>
            <w:tcW w:w="4957" w:type="dxa"/>
          </w:tcPr>
          <w:p w:rsidR="00921B70" w:rsidRPr="007E23E2" w:rsidRDefault="00921B70" w:rsidP="00921B70">
            <w:pPr>
              <w:pStyle w:val="LLMomentinKohta"/>
              <w:rPr>
                <w:sz w:val="20"/>
                <w:szCs w:val="20"/>
              </w:rPr>
            </w:pPr>
            <w:r>
              <w:rPr>
                <w:sz w:val="20"/>
              </w:rPr>
              <w:t>3) okretno postolje s tandem osovinom kada razmak između osovina nije manji od 1,3 metra, ali je manji od 1,8 metara</w:t>
            </w:r>
          </w:p>
        </w:tc>
        <w:tc>
          <w:tcPr>
            <w:tcW w:w="850" w:type="dxa"/>
          </w:tcPr>
          <w:p w:rsidR="00921B70" w:rsidRPr="007E23E2" w:rsidRDefault="00921B70" w:rsidP="007E23E2">
            <w:pPr>
              <w:pStyle w:val="LLMomentinKohta"/>
              <w:rPr>
                <w:sz w:val="20"/>
                <w:szCs w:val="20"/>
              </w:rPr>
            </w:pPr>
            <w:r>
              <w:rPr>
                <w:sz w:val="20"/>
              </w:rPr>
              <w:t>18 t</w:t>
            </w:r>
          </w:p>
        </w:tc>
      </w:tr>
      <w:tr w:rsidR="00921B70" w:rsidRPr="007E23E2" w:rsidTr="007E23E2">
        <w:tc>
          <w:tcPr>
            <w:tcW w:w="4957" w:type="dxa"/>
          </w:tcPr>
          <w:p w:rsidR="00921B70" w:rsidRPr="007E23E2" w:rsidRDefault="00921B70" w:rsidP="00EC043B">
            <w:pPr>
              <w:pStyle w:val="LLMomentinKohta"/>
              <w:rPr>
                <w:sz w:val="20"/>
                <w:szCs w:val="20"/>
              </w:rPr>
            </w:pPr>
            <w:r>
              <w:rPr>
                <w:sz w:val="20"/>
              </w:rPr>
              <w:t>4) okretno postolje s tandem osovinom kada razmak između osovina nije manji od 1,3 metra, ali je manji od 1,8 metara i svaka pogonska osovina opremljena je s udvojenim kotačima, a masa na svakoj osovini ne prelazi 9,5 tona</w:t>
            </w:r>
          </w:p>
        </w:tc>
        <w:tc>
          <w:tcPr>
            <w:tcW w:w="850" w:type="dxa"/>
          </w:tcPr>
          <w:p w:rsidR="00921B70" w:rsidRPr="007E23E2" w:rsidRDefault="00921B70" w:rsidP="00921B70">
            <w:pPr>
              <w:pStyle w:val="LLMomentinKohta"/>
              <w:rPr>
                <w:sz w:val="20"/>
                <w:szCs w:val="20"/>
              </w:rPr>
            </w:pPr>
            <w:r>
              <w:rPr>
                <w:sz w:val="20"/>
              </w:rPr>
              <w:t>19 t</w:t>
            </w:r>
          </w:p>
        </w:tc>
      </w:tr>
      <w:tr w:rsidR="00921B70" w:rsidRPr="007E23E2" w:rsidTr="007E23E2">
        <w:tc>
          <w:tcPr>
            <w:tcW w:w="4957" w:type="dxa"/>
          </w:tcPr>
          <w:p w:rsidR="00921B70" w:rsidRPr="007E23E2" w:rsidRDefault="00921B70" w:rsidP="00921B70">
            <w:pPr>
              <w:pStyle w:val="LLMomentinKohta"/>
              <w:rPr>
                <w:sz w:val="20"/>
                <w:szCs w:val="20"/>
              </w:rPr>
            </w:pPr>
            <w:r>
              <w:rPr>
                <w:sz w:val="20"/>
              </w:rPr>
              <w:t>5) okretno postolje s tandem osovinom kada razmak između osovina nije manji od 1,3 metra, ali je manji od 1,8 metara, a pogonska osovina je opremljena s udvojenim kotačima i zračnim ovjesom ili ovjesom koji je prepoznat kao istovjetan zračnom ovjesu</w:t>
            </w:r>
          </w:p>
        </w:tc>
        <w:tc>
          <w:tcPr>
            <w:tcW w:w="850" w:type="dxa"/>
          </w:tcPr>
          <w:p w:rsidR="00921B70" w:rsidRPr="007E23E2" w:rsidRDefault="00921B70" w:rsidP="00921B70">
            <w:pPr>
              <w:pStyle w:val="LLMomentinKohta"/>
              <w:rPr>
                <w:sz w:val="20"/>
                <w:szCs w:val="20"/>
              </w:rPr>
            </w:pPr>
            <w:r>
              <w:rPr>
                <w:sz w:val="20"/>
              </w:rPr>
              <w:t>20 t</w:t>
            </w:r>
          </w:p>
        </w:tc>
      </w:tr>
      <w:tr w:rsidR="00921B70" w:rsidRPr="007E23E2" w:rsidTr="007E23E2">
        <w:tc>
          <w:tcPr>
            <w:tcW w:w="4957" w:type="dxa"/>
          </w:tcPr>
          <w:p w:rsidR="00921B70" w:rsidRPr="007E23E2" w:rsidRDefault="00921B70" w:rsidP="00921B70">
            <w:pPr>
              <w:pStyle w:val="LLMomentinKohta"/>
              <w:rPr>
                <w:sz w:val="20"/>
                <w:szCs w:val="20"/>
              </w:rPr>
            </w:pPr>
            <w:r>
              <w:rPr>
                <w:sz w:val="20"/>
              </w:rPr>
              <w:t>6) okretno postolje s tandem osovinom kada razmak između osovina nije manji od 1,3 metara, ali je manji od 1,8 metara, a pogonska osovina je opremljena s udvojenim kotačima i zračnim ovjesom ili ovjesom koji je prepoznat kao istovjetan zračnom ovjesu ili kada su obje osovine okretnog postolja opremljene udvojenim kotačima, a masa na pojedinačnoj osovini ne prelazi 10,5 tona</w:t>
            </w:r>
          </w:p>
        </w:tc>
        <w:tc>
          <w:tcPr>
            <w:tcW w:w="850" w:type="dxa"/>
          </w:tcPr>
          <w:p w:rsidR="00921B70" w:rsidRPr="007E23E2" w:rsidRDefault="00921B70" w:rsidP="007E23E2">
            <w:pPr>
              <w:pStyle w:val="LLMomentinKohta"/>
              <w:rPr>
                <w:sz w:val="20"/>
                <w:szCs w:val="20"/>
              </w:rPr>
            </w:pPr>
            <w:r>
              <w:rPr>
                <w:sz w:val="20"/>
              </w:rPr>
              <w:t>24 t</w:t>
            </w:r>
          </w:p>
        </w:tc>
      </w:tr>
      <w:tr w:rsidR="00921B70" w:rsidRPr="007E23E2" w:rsidTr="007E23E2">
        <w:tc>
          <w:tcPr>
            <w:tcW w:w="4957" w:type="dxa"/>
          </w:tcPr>
          <w:p w:rsidR="00921B70" w:rsidRPr="007E23E2" w:rsidRDefault="00921B70" w:rsidP="002622E6">
            <w:pPr>
              <w:pStyle w:val="LLMomentinKohta"/>
              <w:rPr>
                <w:sz w:val="20"/>
                <w:szCs w:val="20"/>
              </w:rPr>
            </w:pPr>
            <w:r>
              <w:rPr>
                <w:sz w:val="20"/>
              </w:rPr>
              <w:t xml:space="preserve">7) okretno postolje s tri osovine kada je razmak između njih manji od 1,3 metara </w:t>
            </w:r>
          </w:p>
        </w:tc>
        <w:tc>
          <w:tcPr>
            <w:tcW w:w="850" w:type="dxa"/>
          </w:tcPr>
          <w:p w:rsidR="00921B70" w:rsidRPr="007E23E2" w:rsidRDefault="00921B70" w:rsidP="002622E6">
            <w:pPr>
              <w:pStyle w:val="LLMomentinKohta"/>
              <w:rPr>
                <w:sz w:val="20"/>
                <w:szCs w:val="20"/>
              </w:rPr>
            </w:pPr>
            <w:r>
              <w:rPr>
                <w:sz w:val="20"/>
              </w:rPr>
              <w:t>21 t</w:t>
            </w:r>
          </w:p>
        </w:tc>
      </w:tr>
      <w:tr w:rsidR="00921B70" w:rsidRPr="007E23E2" w:rsidTr="007E23E2">
        <w:tc>
          <w:tcPr>
            <w:tcW w:w="4957" w:type="dxa"/>
          </w:tcPr>
          <w:p w:rsidR="00921B70" w:rsidRPr="007E23E2" w:rsidRDefault="00921B70" w:rsidP="002622E6">
            <w:pPr>
              <w:pStyle w:val="LLMomentinKohta"/>
              <w:rPr>
                <w:sz w:val="20"/>
                <w:szCs w:val="20"/>
              </w:rPr>
            </w:pPr>
            <w:r>
              <w:rPr>
                <w:sz w:val="20"/>
              </w:rPr>
              <w:t>8) trostruka osovina kada razmak između osovina nije manji od 1,3 metara</w:t>
            </w:r>
          </w:p>
        </w:tc>
        <w:tc>
          <w:tcPr>
            <w:tcW w:w="850" w:type="dxa"/>
          </w:tcPr>
          <w:p w:rsidR="00921B70" w:rsidRPr="007E23E2" w:rsidRDefault="00921B70" w:rsidP="002622E6">
            <w:pPr>
              <w:pStyle w:val="LLMomentinKohta"/>
              <w:rPr>
                <w:sz w:val="20"/>
                <w:szCs w:val="20"/>
              </w:rPr>
            </w:pPr>
            <w:r>
              <w:rPr>
                <w:sz w:val="20"/>
              </w:rPr>
              <w:t>24 t</w:t>
            </w:r>
          </w:p>
        </w:tc>
      </w:tr>
      <w:tr w:rsidR="00921B70" w:rsidRPr="007E23E2" w:rsidTr="007E23E2">
        <w:tc>
          <w:tcPr>
            <w:tcW w:w="4957" w:type="dxa"/>
          </w:tcPr>
          <w:p w:rsidR="00921B70" w:rsidRPr="007E23E2" w:rsidRDefault="002622E6" w:rsidP="00EC043B">
            <w:pPr>
              <w:pStyle w:val="LLMomentinKohta"/>
              <w:rPr>
                <w:sz w:val="20"/>
                <w:szCs w:val="20"/>
              </w:rPr>
            </w:pPr>
            <w:r>
              <w:rPr>
                <w:sz w:val="20"/>
              </w:rPr>
              <w:t>9) trostruka osovina kada razmak između osovina nije manji od 1,3 metara, a barem dvije osovine okretnog postolja opremljene su s udvojenim kotačima</w:t>
            </w:r>
          </w:p>
        </w:tc>
        <w:tc>
          <w:tcPr>
            <w:tcW w:w="850" w:type="dxa"/>
          </w:tcPr>
          <w:p w:rsidR="00921B70" w:rsidRPr="007E23E2" w:rsidRDefault="002622E6" w:rsidP="002622E6">
            <w:pPr>
              <w:pStyle w:val="LLMomentinKohta"/>
              <w:rPr>
                <w:sz w:val="20"/>
                <w:szCs w:val="20"/>
              </w:rPr>
            </w:pPr>
            <w:r>
              <w:rPr>
                <w:sz w:val="20"/>
              </w:rPr>
              <w:t>27 t</w:t>
            </w:r>
          </w:p>
        </w:tc>
      </w:tr>
    </w:tbl>
    <w:p w:rsidR="00C33B4F" w:rsidRPr="007E23E2" w:rsidRDefault="00C33B4F" w:rsidP="002622E6">
      <w:pPr>
        <w:pStyle w:val="LLNormaali"/>
      </w:pPr>
    </w:p>
    <w:p w:rsidR="008A0B0A" w:rsidRPr="007E23E2" w:rsidRDefault="008A0B0A" w:rsidP="00C245D5">
      <w:pPr>
        <w:pStyle w:val="LLMomentinJohdantoKappale"/>
        <w:keepNext/>
      </w:pPr>
      <w:r>
        <w:lastRenderedPageBreak/>
        <w:t>Kada se prikolica prevozi na cesti, masa okretnog postolja ne smije premašivati sljedeće vrijednosti:</w:t>
      </w:r>
    </w:p>
    <w:p w:rsidR="00264177" w:rsidRPr="007E23E2" w:rsidRDefault="00264177" w:rsidP="00C245D5">
      <w:pPr>
        <w:pStyle w:val="LLMomentinJohdantoKappale"/>
        <w:keepNext/>
      </w:pPr>
    </w:p>
    <w:tbl>
      <w:tblPr>
        <w:tblStyle w:val="TableGrid"/>
        <w:tblW w:w="0" w:type="auto"/>
        <w:tblLook w:val="04A0" w:firstRow="1" w:lastRow="0" w:firstColumn="1" w:lastColumn="0" w:noHBand="0" w:noVBand="1"/>
      </w:tblPr>
      <w:tblGrid>
        <w:gridCol w:w="5098"/>
        <w:gridCol w:w="851"/>
      </w:tblGrid>
      <w:tr w:rsidR="002622E6" w:rsidRPr="007E23E2" w:rsidTr="00C33B4F">
        <w:tc>
          <w:tcPr>
            <w:tcW w:w="5098" w:type="dxa"/>
          </w:tcPr>
          <w:p w:rsidR="002622E6" w:rsidRPr="007E23E2" w:rsidRDefault="002622E6" w:rsidP="002622E6">
            <w:pPr>
              <w:pStyle w:val="LLMomentinKohta"/>
              <w:rPr>
                <w:sz w:val="20"/>
                <w:szCs w:val="20"/>
              </w:rPr>
            </w:pPr>
            <w:r>
              <w:rPr>
                <w:sz w:val="20"/>
              </w:rPr>
              <w:t>1) okretno postolje s tandem osovinom kada je razmak između osovina manji od 1 metra</w:t>
            </w:r>
          </w:p>
        </w:tc>
        <w:tc>
          <w:tcPr>
            <w:tcW w:w="851" w:type="dxa"/>
          </w:tcPr>
          <w:p w:rsidR="002622E6" w:rsidRPr="007E23E2" w:rsidRDefault="002622E6" w:rsidP="002622E6">
            <w:pPr>
              <w:pStyle w:val="LLMomentinKohta"/>
              <w:rPr>
                <w:sz w:val="20"/>
                <w:szCs w:val="20"/>
              </w:rPr>
            </w:pPr>
            <w:r>
              <w:rPr>
                <w:sz w:val="20"/>
              </w:rPr>
              <w:t>11 t</w:t>
            </w:r>
          </w:p>
        </w:tc>
      </w:tr>
      <w:tr w:rsidR="002622E6" w:rsidRPr="007E23E2" w:rsidTr="00C33B4F">
        <w:tc>
          <w:tcPr>
            <w:tcW w:w="5098" w:type="dxa"/>
          </w:tcPr>
          <w:p w:rsidR="002622E6" w:rsidRPr="007E23E2" w:rsidRDefault="002622E6" w:rsidP="002622E6">
            <w:pPr>
              <w:pStyle w:val="LLMomentinKohta"/>
              <w:rPr>
                <w:sz w:val="20"/>
                <w:szCs w:val="20"/>
              </w:rPr>
            </w:pPr>
            <w:r>
              <w:rPr>
                <w:sz w:val="20"/>
              </w:rPr>
              <w:t>2) okretno postolje s tandem osovinom kada razmak između osovina nije manji od 1 metra, ali je manji od 1,3 metra</w:t>
            </w:r>
          </w:p>
        </w:tc>
        <w:tc>
          <w:tcPr>
            <w:tcW w:w="851" w:type="dxa"/>
          </w:tcPr>
          <w:p w:rsidR="002622E6" w:rsidRPr="007E23E2" w:rsidRDefault="002622E6" w:rsidP="007E23E2">
            <w:pPr>
              <w:pStyle w:val="LLMomentinKohta"/>
              <w:rPr>
                <w:sz w:val="20"/>
                <w:szCs w:val="20"/>
              </w:rPr>
            </w:pPr>
            <w:r>
              <w:rPr>
                <w:sz w:val="20"/>
              </w:rPr>
              <w:t>16 t</w:t>
            </w:r>
          </w:p>
        </w:tc>
      </w:tr>
      <w:tr w:rsidR="002622E6" w:rsidRPr="007E23E2" w:rsidTr="00C33B4F">
        <w:tc>
          <w:tcPr>
            <w:tcW w:w="5098" w:type="dxa"/>
          </w:tcPr>
          <w:p w:rsidR="002622E6" w:rsidRPr="007E23E2" w:rsidRDefault="002622E6" w:rsidP="007E23E2">
            <w:pPr>
              <w:pStyle w:val="LLMomentinKohta"/>
              <w:rPr>
                <w:sz w:val="20"/>
                <w:szCs w:val="20"/>
              </w:rPr>
            </w:pPr>
            <w:r>
              <w:rPr>
                <w:sz w:val="20"/>
              </w:rPr>
              <w:t>3) okretno postolje s tandem osovinom kada razmak između osovina nije manji od 1,3 metra, ali je manji od 1,8 metara</w:t>
            </w:r>
          </w:p>
        </w:tc>
        <w:tc>
          <w:tcPr>
            <w:tcW w:w="851" w:type="dxa"/>
          </w:tcPr>
          <w:p w:rsidR="002622E6" w:rsidRPr="007E23E2" w:rsidRDefault="002622E6" w:rsidP="007E23E2">
            <w:pPr>
              <w:pStyle w:val="LLMomentinKohta"/>
              <w:rPr>
                <w:sz w:val="20"/>
                <w:szCs w:val="20"/>
              </w:rPr>
            </w:pPr>
            <w:r>
              <w:rPr>
                <w:sz w:val="20"/>
              </w:rPr>
              <w:t>18 t</w:t>
            </w:r>
          </w:p>
        </w:tc>
      </w:tr>
      <w:tr w:rsidR="002622E6" w:rsidRPr="007E23E2" w:rsidTr="00C33B4F">
        <w:tc>
          <w:tcPr>
            <w:tcW w:w="5098" w:type="dxa"/>
          </w:tcPr>
          <w:p w:rsidR="002622E6" w:rsidRPr="007E23E2" w:rsidRDefault="002622E6" w:rsidP="002622E6">
            <w:pPr>
              <w:pStyle w:val="LLMomentinKohta"/>
              <w:rPr>
                <w:sz w:val="20"/>
                <w:szCs w:val="20"/>
              </w:rPr>
            </w:pPr>
            <w:r>
              <w:rPr>
                <w:sz w:val="20"/>
              </w:rPr>
              <w:t>4) okretno postolje s tandem osovinom kada razmak između osovina nije manji od 1,8 metara</w:t>
            </w:r>
          </w:p>
        </w:tc>
        <w:tc>
          <w:tcPr>
            <w:tcW w:w="851" w:type="dxa"/>
          </w:tcPr>
          <w:p w:rsidR="002622E6" w:rsidRPr="007E23E2" w:rsidRDefault="002622E6" w:rsidP="002622E6">
            <w:pPr>
              <w:pStyle w:val="LLMomentinKohta"/>
              <w:rPr>
                <w:sz w:val="20"/>
                <w:szCs w:val="20"/>
              </w:rPr>
            </w:pPr>
            <w:r>
              <w:rPr>
                <w:sz w:val="20"/>
              </w:rPr>
              <w:t>20 t</w:t>
            </w:r>
          </w:p>
        </w:tc>
      </w:tr>
      <w:tr w:rsidR="002622E6" w:rsidRPr="007E23E2" w:rsidTr="00C33B4F">
        <w:tc>
          <w:tcPr>
            <w:tcW w:w="5098" w:type="dxa"/>
          </w:tcPr>
          <w:p w:rsidR="002622E6" w:rsidRPr="007E23E2" w:rsidRDefault="002622E6" w:rsidP="002622E6">
            <w:pPr>
              <w:pStyle w:val="LLMomentinKohta"/>
              <w:rPr>
                <w:sz w:val="20"/>
                <w:szCs w:val="20"/>
              </w:rPr>
            </w:pPr>
            <w:r>
              <w:rPr>
                <w:sz w:val="20"/>
              </w:rPr>
              <w:t>5) okretno postolje s trostrukom osovinom kada je razmak između svake osovine manji od 1,3 metra</w:t>
            </w:r>
          </w:p>
        </w:tc>
        <w:tc>
          <w:tcPr>
            <w:tcW w:w="851" w:type="dxa"/>
          </w:tcPr>
          <w:p w:rsidR="002622E6" w:rsidRPr="007E23E2" w:rsidRDefault="002622E6" w:rsidP="002622E6">
            <w:pPr>
              <w:pStyle w:val="LLMomentinKohta"/>
              <w:rPr>
                <w:sz w:val="20"/>
                <w:szCs w:val="20"/>
              </w:rPr>
            </w:pPr>
            <w:r>
              <w:rPr>
                <w:sz w:val="20"/>
              </w:rPr>
              <w:t>21 t</w:t>
            </w:r>
          </w:p>
        </w:tc>
      </w:tr>
      <w:tr w:rsidR="002622E6" w:rsidRPr="007E23E2" w:rsidTr="00C33B4F">
        <w:tc>
          <w:tcPr>
            <w:tcW w:w="5098" w:type="dxa"/>
          </w:tcPr>
          <w:p w:rsidR="002622E6" w:rsidRPr="007E23E2" w:rsidRDefault="002622E6" w:rsidP="002622E6">
            <w:pPr>
              <w:pStyle w:val="LLMomentinKohta"/>
              <w:rPr>
                <w:sz w:val="20"/>
                <w:szCs w:val="20"/>
              </w:rPr>
            </w:pPr>
            <w:r>
              <w:rPr>
                <w:sz w:val="20"/>
              </w:rPr>
              <w:t>6) okretno postolje s trostrukom osovinom kada razmak između svake osovine nije manji od 1,3 metra</w:t>
            </w:r>
          </w:p>
        </w:tc>
        <w:tc>
          <w:tcPr>
            <w:tcW w:w="851" w:type="dxa"/>
          </w:tcPr>
          <w:p w:rsidR="002622E6" w:rsidRPr="007E23E2" w:rsidRDefault="002622E6" w:rsidP="007E23E2">
            <w:pPr>
              <w:pStyle w:val="LLMomentinKohta"/>
              <w:rPr>
                <w:sz w:val="20"/>
                <w:szCs w:val="20"/>
              </w:rPr>
            </w:pPr>
            <w:r>
              <w:rPr>
                <w:sz w:val="20"/>
              </w:rPr>
              <w:t>24 t</w:t>
            </w:r>
          </w:p>
        </w:tc>
      </w:tr>
      <w:tr w:rsidR="002622E6" w:rsidRPr="007E23E2" w:rsidTr="00C33B4F">
        <w:tc>
          <w:tcPr>
            <w:tcW w:w="5098" w:type="dxa"/>
          </w:tcPr>
          <w:p w:rsidR="002622E6" w:rsidRPr="007E23E2" w:rsidRDefault="002622E6" w:rsidP="002622E6">
            <w:pPr>
              <w:pStyle w:val="LLMomentinKohta"/>
              <w:rPr>
                <w:sz w:val="20"/>
                <w:szCs w:val="20"/>
              </w:rPr>
            </w:pPr>
            <w:r>
              <w:rPr>
                <w:sz w:val="20"/>
              </w:rPr>
              <w:t>7) okretno postolje s najmanje četiri osovine kada razmak između krajnjih vanjskih osovina nije manji od 2,6 metara</w:t>
            </w:r>
          </w:p>
        </w:tc>
        <w:tc>
          <w:tcPr>
            <w:tcW w:w="851" w:type="dxa"/>
          </w:tcPr>
          <w:p w:rsidR="002622E6" w:rsidRPr="007E23E2" w:rsidRDefault="002622E6" w:rsidP="002622E6">
            <w:pPr>
              <w:pStyle w:val="LLMomentinKohta"/>
              <w:rPr>
                <w:sz w:val="20"/>
                <w:szCs w:val="20"/>
              </w:rPr>
            </w:pPr>
            <w:r>
              <w:rPr>
                <w:sz w:val="20"/>
              </w:rPr>
              <w:t>24 t</w:t>
            </w:r>
          </w:p>
        </w:tc>
      </w:tr>
      <w:tr w:rsidR="002622E6" w:rsidRPr="007E23E2" w:rsidTr="00C33B4F">
        <w:tc>
          <w:tcPr>
            <w:tcW w:w="5098" w:type="dxa"/>
          </w:tcPr>
          <w:p w:rsidR="002622E6" w:rsidRPr="007E23E2" w:rsidRDefault="002622E6" w:rsidP="002622E6">
            <w:pPr>
              <w:pStyle w:val="LLMomentinKohta"/>
              <w:rPr>
                <w:sz w:val="20"/>
                <w:szCs w:val="20"/>
              </w:rPr>
            </w:pPr>
            <w:r>
              <w:rPr>
                <w:sz w:val="20"/>
              </w:rPr>
              <w:t>8) okretno postolje s najmanje četiri osovine kada razmak između svake osovine nije manji od 1,3 metara</w:t>
            </w:r>
          </w:p>
        </w:tc>
        <w:tc>
          <w:tcPr>
            <w:tcW w:w="851" w:type="dxa"/>
          </w:tcPr>
          <w:p w:rsidR="002622E6" w:rsidRPr="007E23E2" w:rsidRDefault="002622E6" w:rsidP="002622E6">
            <w:pPr>
              <w:pStyle w:val="LLMomentinKohta"/>
              <w:rPr>
                <w:sz w:val="20"/>
                <w:szCs w:val="20"/>
              </w:rPr>
            </w:pPr>
            <w:r>
              <w:rPr>
                <w:sz w:val="20"/>
              </w:rPr>
              <w:t>27 t</w:t>
            </w:r>
          </w:p>
        </w:tc>
      </w:tr>
      <w:tr w:rsidR="002622E6" w:rsidRPr="007E23E2" w:rsidTr="00C33B4F">
        <w:tc>
          <w:tcPr>
            <w:tcW w:w="5098" w:type="dxa"/>
          </w:tcPr>
          <w:p w:rsidR="002622E6" w:rsidRPr="007E23E2" w:rsidRDefault="002622E6" w:rsidP="002622E6">
            <w:pPr>
              <w:pStyle w:val="LLMomentinKohta"/>
              <w:rPr>
                <w:sz w:val="20"/>
                <w:szCs w:val="20"/>
              </w:rPr>
            </w:pPr>
            <w:r>
              <w:rPr>
                <w:sz w:val="20"/>
              </w:rPr>
              <w:t>9) okretno postolje s najmanje četiri osovine kada razmak između svake osovine nije manji od 1,3 metra, a razmak između krajnjih vanjskih osovina nije manji od 4,7 metara</w:t>
            </w:r>
          </w:p>
        </w:tc>
        <w:tc>
          <w:tcPr>
            <w:tcW w:w="851" w:type="dxa"/>
          </w:tcPr>
          <w:p w:rsidR="002622E6" w:rsidRPr="007E23E2" w:rsidRDefault="002622E6" w:rsidP="002622E6">
            <w:pPr>
              <w:pStyle w:val="LLMomentinKohta"/>
              <w:rPr>
                <w:sz w:val="20"/>
                <w:szCs w:val="20"/>
              </w:rPr>
            </w:pPr>
            <w:r>
              <w:rPr>
                <w:sz w:val="20"/>
              </w:rPr>
              <w:t>30 t</w:t>
            </w:r>
          </w:p>
        </w:tc>
      </w:tr>
      <w:tr w:rsidR="002622E6" w:rsidRPr="007E23E2" w:rsidTr="00C33B4F">
        <w:tc>
          <w:tcPr>
            <w:tcW w:w="5098" w:type="dxa"/>
          </w:tcPr>
          <w:p w:rsidR="002622E6" w:rsidRPr="007E23E2" w:rsidRDefault="002622E6" w:rsidP="002622E6">
            <w:pPr>
              <w:pStyle w:val="LLMomentinKohta"/>
              <w:rPr>
                <w:sz w:val="20"/>
                <w:szCs w:val="20"/>
              </w:rPr>
            </w:pPr>
            <w:r>
              <w:rPr>
                <w:sz w:val="20"/>
              </w:rPr>
              <w:t>10) okretno postolje s najmanje pet osovina kada razmak između svake osovine nije manji od 1,3 metra, a razmak između krajnjih vanjskih osovina nije manji od 6,7 metara</w:t>
            </w:r>
          </w:p>
        </w:tc>
        <w:tc>
          <w:tcPr>
            <w:tcW w:w="851" w:type="dxa"/>
          </w:tcPr>
          <w:p w:rsidR="002622E6" w:rsidRPr="007E23E2" w:rsidRDefault="002622E6" w:rsidP="002622E6">
            <w:pPr>
              <w:pStyle w:val="LLMomentinKohta"/>
              <w:rPr>
                <w:sz w:val="20"/>
                <w:szCs w:val="20"/>
              </w:rPr>
            </w:pPr>
            <w:r>
              <w:rPr>
                <w:sz w:val="20"/>
              </w:rPr>
              <w:t>36 t</w:t>
            </w:r>
          </w:p>
        </w:tc>
      </w:tr>
    </w:tbl>
    <w:p w:rsidR="00F401DB" w:rsidRPr="007E23E2" w:rsidRDefault="00F401DB" w:rsidP="00C33B4F">
      <w:pPr>
        <w:pStyle w:val="LLNormaali"/>
      </w:pPr>
    </w:p>
    <w:p w:rsidR="008A0B0A" w:rsidRPr="007E23E2" w:rsidRDefault="008A0B0A" w:rsidP="00FD11EE">
      <w:pPr>
        <w:pStyle w:val="LLKappalejako"/>
      </w:pPr>
      <w:r>
        <w:t>Masa na svakoj osovini okretnog postolja s tri osovine ili više njih ne smije prijeći najveću dopuštenu masu za odgovarajući broj osovina naveden u stavku 2. ili 3. Masa osovina okretnog postolja ne smije prelaziti najveću dopuštenu masu utvrđenu u stavku 1.</w:t>
      </w:r>
    </w:p>
    <w:p w:rsidR="008A0B0A" w:rsidRPr="007E23E2" w:rsidRDefault="008A0B0A" w:rsidP="00C245D5">
      <w:pPr>
        <w:pStyle w:val="LLPykala"/>
        <w:keepNext/>
      </w:pPr>
      <w:r>
        <w:t>Članak 22.</w:t>
      </w:r>
    </w:p>
    <w:p w:rsidR="008A0B0A" w:rsidRPr="007E23E2" w:rsidRDefault="008A0B0A" w:rsidP="00C245D5">
      <w:pPr>
        <w:pStyle w:val="LLPykalanOtsikko"/>
        <w:keepNext/>
      </w:pPr>
      <w:r>
        <w:t>Masa prikolice</w:t>
      </w:r>
    </w:p>
    <w:p w:rsidR="008A0B0A" w:rsidRPr="007E23E2" w:rsidRDefault="008A0B0A" w:rsidP="00FD11EE">
      <w:pPr>
        <w:pStyle w:val="LLKappalejako"/>
      </w:pPr>
      <w:r>
        <w:t>Masa pune prikolice ne smije premašivati vrijednost dobivenu dodavanjem 350 kg na 20 tona za svakih 0,10 metara za razmak između vanjskih osovina prikolice koji prelazi 1,80 metara.</w:t>
      </w:r>
    </w:p>
    <w:p w:rsidR="00FD11EE" w:rsidRPr="007E23E2" w:rsidRDefault="00FD11EE" w:rsidP="00FD11EE">
      <w:pPr>
        <w:pStyle w:val="LLNormaali"/>
      </w:pPr>
    </w:p>
    <w:p w:rsidR="008A0B0A" w:rsidRPr="007E23E2" w:rsidRDefault="008A0B0A" w:rsidP="00C245D5">
      <w:pPr>
        <w:pStyle w:val="LLPykala"/>
        <w:keepNext/>
      </w:pPr>
      <w:r>
        <w:t>Članak 23.</w:t>
      </w:r>
    </w:p>
    <w:p w:rsidR="008A0B0A" w:rsidRPr="007E23E2" w:rsidRDefault="008A0B0A" w:rsidP="00C245D5">
      <w:pPr>
        <w:pStyle w:val="LLPykalanOtsikko"/>
        <w:keepNext/>
      </w:pPr>
      <w:r>
        <w:t>Masa skupine vozila i prikolice</w:t>
      </w:r>
    </w:p>
    <w:p w:rsidR="008A0B0A" w:rsidRPr="007E23E2" w:rsidRDefault="008A0B0A" w:rsidP="00C245D5">
      <w:pPr>
        <w:pStyle w:val="LLMomentinJohdantoKappale"/>
        <w:keepNext/>
      </w:pPr>
      <w:r>
        <w:t>Masa skupine vozila koja se vozi na cesti ne smije premašivati sljedeće vrijednosti:</w:t>
      </w:r>
    </w:p>
    <w:p w:rsidR="002D1DA4" w:rsidRPr="007E23E2" w:rsidRDefault="002D1DA4" w:rsidP="00FD11EE">
      <w:pPr>
        <w:pStyle w:val="LLMomentinJohdantoKappale"/>
      </w:pPr>
    </w:p>
    <w:p w:rsidR="002D1DA4" w:rsidRPr="007E23E2" w:rsidRDefault="002D1DA4" w:rsidP="00EC043B">
      <w:pPr>
        <w:pStyle w:val="LLMomentinAlakohta"/>
        <w:numPr>
          <w:ilvl w:val="0"/>
          <w:numId w:val="45"/>
        </w:numPr>
        <w:tabs>
          <w:tab w:val="left" w:pos="450"/>
          <w:tab w:val="left" w:pos="6480"/>
        </w:tabs>
        <w:ind w:left="450" w:hanging="280"/>
      </w:pPr>
      <w:r>
        <w:t>skupina koja se sastoji od motornog vozila i prikolice sa središnjom osovinom</w:t>
      </w:r>
      <w:r>
        <w:tab/>
        <w:t>50 t</w:t>
      </w:r>
    </w:p>
    <w:p w:rsidR="002D1DA4" w:rsidRPr="007E23E2" w:rsidRDefault="002D1DA4" w:rsidP="002D1DA4">
      <w:pPr>
        <w:pStyle w:val="LLMomentinAlakohta"/>
        <w:ind w:left="170" w:firstLine="0"/>
      </w:pPr>
    </w:p>
    <w:p w:rsidR="002D1DA4" w:rsidRPr="007E23E2" w:rsidRDefault="002D1DA4" w:rsidP="00EC043B">
      <w:pPr>
        <w:pStyle w:val="LLMomentinAlakohta"/>
        <w:tabs>
          <w:tab w:val="left" w:pos="450"/>
        </w:tabs>
      </w:pPr>
      <w:r>
        <w:t>2)</w:t>
      </w:r>
      <w:r>
        <w:tab/>
        <w:t>skupina koja se sastoji od motornog vozila i poluprikolice, skupina koja se sastoji od motornog vozila i prikolice ili skupina koja se sastoji od motornog vozila i nekoliko prikolica:</w:t>
      </w:r>
    </w:p>
    <w:p w:rsidR="002D1DA4" w:rsidRPr="007E23E2" w:rsidRDefault="002D1DA4" w:rsidP="002D1DA4">
      <w:pPr>
        <w:pStyle w:val="LLMomentinAlakohta"/>
        <w:ind w:left="170" w:firstLine="0"/>
      </w:pPr>
    </w:p>
    <w:p w:rsidR="002D1DA4" w:rsidRPr="007E23E2" w:rsidRDefault="002D1DA4" w:rsidP="00EC043B">
      <w:pPr>
        <w:pStyle w:val="LLMomentinAlakohta"/>
        <w:tabs>
          <w:tab w:val="left" w:pos="6480"/>
        </w:tabs>
        <w:ind w:left="170" w:firstLine="0"/>
      </w:pPr>
      <w:r>
        <w:t>s četiri osovine</w:t>
      </w:r>
      <w:r>
        <w:tab/>
        <w:t>36 t</w:t>
      </w:r>
    </w:p>
    <w:p w:rsidR="002D1DA4" w:rsidRPr="007E23E2" w:rsidRDefault="002D1DA4" w:rsidP="002D1DA4">
      <w:pPr>
        <w:pStyle w:val="LLMomentinAlakohta"/>
        <w:ind w:left="170" w:firstLine="0"/>
      </w:pPr>
    </w:p>
    <w:p w:rsidR="002D1DA4" w:rsidRPr="007E23E2" w:rsidRDefault="00427716" w:rsidP="00EC043B">
      <w:pPr>
        <w:pStyle w:val="LLMomentinAlakohta"/>
        <w:tabs>
          <w:tab w:val="left" w:pos="6480"/>
        </w:tabs>
        <w:ind w:left="170" w:firstLine="0"/>
      </w:pPr>
      <w:r>
        <w:t>s pet osovina</w:t>
      </w:r>
      <w:r>
        <w:tab/>
        <w:t>44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sa šest osovina</w:t>
      </w:r>
      <w:r>
        <w:tab/>
        <w:t>53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sa sedam osovina</w:t>
      </w:r>
      <w:r>
        <w:tab/>
        <w:t>60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s osam osovina</w:t>
      </w:r>
      <w:r>
        <w:tab/>
        <w:t>64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s osam osovina, kada je najmanje 65 % mase prikolice ili ukupne mase prikolica na osovinama opremljenima s udvojenim kotačima</w:t>
      </w:r>
      <w:r>
        <w:tab/>
      </w:r>
      <w:r>
        <w:rPr>
          <w:i/>
        </w:rPr>
        <w:t>68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s devet osovina</w:t>
      </w:r>
      <w:r>
        <w:tab/>
        <w:t>69 t</w:t>
      </w:r>
    </w:p>
    <w:p w:rsidR="00427716" w:rsidRPr="007E23E2" w:rsidRDefault="00427716" w:rsidP="00FD11EE">
      <w:pPr>
        <w:pStyle w:val="LLMomentinJohdantoKappale"/>
      </w:pPr>
    </w:p>
    <w:p w:rsidR="00427716" w:rsidRPr="007E23E2" w:rsidRDefault="00427716" w:rsidP="00D84D1D">
      <w:pPr>
        <w:pStyle w:val="LLMomentinAlakohta"/>
        <w:tabs>
          <w:tab w:val="left" w:pos="6480"/>
        </w:tabs>
        <w:ind w:left="170" w:firstLine="0"/>
      </w:pPr>
      <w:r>
        <w:t>s najmanje devet osovina, kada je najmanje 65 % mase prikolice ili ukupne mase prikolica na osovinama opremljenima s udvojenim kotačima</w:t>
      </w:r>
      <w:r>
        <w:tab/>
        <w:t>76 t</w:t>
      </w:r>
    </w:p>
    <w:p w:rsidR="00427716" w:rsidRPr="007E23E2" w:rsidRDefault="00427716" w:rsidP="00427716">
      <w:pPr>
        <w:pStyle w:val="LLMomentinJohdantoKappale"/>
      </w:pPr>
    </w:p>
    <w:p w:rsidR="00427716" w:rsidRPr="007E23E2" w:rsidRDefault="00427716" w:rsidP="00EC043B">
      <w:pPr>
        <w:pStyle w:val="LLMomentinAlakohta"/>
        <w:tabs>
          <w:tab w:val="left" w:pos="6480"/>
        </w:tabs>
        <w:ind w:left="170" w:firstLine="0"/>
      </w:pPr>
      <w:r>
        <w:t>s 10 osovina</w:t>
      </w:r>
      <w:r>
        <w:tab/>
        <w:t>74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s najmanje 11 osovina</w:t>
      </w:r>
      <w:r>
        <w:tab/>
        <w:t>76 t</w:t>
      </w:r>
    </w:p>
    <w:p w:rsidR="00582328" w:rsidRPr="007E23E2" w:rsidRDefault="00582328" w:rsidP="00FD11EE">
      <w:pPr>
        <w:pStyle w:val="LLMomentinJohdantoKappale"/>
      </w:pPr>
    </w:p>
    <w:p w:rsidR="008A0B0A" w:rsidRPr="007E23E2" w:rsidRDefault="008A0B0A" w:rsidP="00FC06EC">
      <w:pPr>
        <w:pStyle w:val="LLKappalejako"/>
      </w:pPr>
      <w:r>
        <w:t>Kada se izračunava broj osovina navedenih u stavku 1., osovina na koju djeluje masa manja od pet tona ne smije se uzeti u obzir u skupinama sa šest osovina ili višestrukim osovinama.</w:t>
      </w:r>
    </w:p>
    <w:p w:rsidR="008A0B0A" w:rsidRPr="007E23E2" w:rsidRDefault="008A0B0A" w:rsidP="00FC06EC">
      <w:pPr>
        <w:pStyle w:val="LLKappalejako"/>
      </w:pPr>
      <w:r>
        <w:t>Zbroj masa na krajnjem stražnjem okretnom postolju vučnog vozila i prednjem okretnom postolju prikolice ne smije prelaziti količinu dobivenu dodavanjem 350 kg 20 tona za svakih 0,10 metara za koje razmak između krajnjih vanjskih osovina okretnog postolja prelazi 1,80 metara.</w:t>
      </w:r>
    </w:p>
    <w:p w:rsidR="008A0B0A" w:rsidRPr="007E23E2" w:rsidRDefault="008A0B0A" w:rsidP="00FC06EC">
      <w:pPr>
        <w:pStyle w:val="LLKappalejako"/>
      </w:pPr>
      <w:r>
        <w:t>Masa skupine vozila mase koja prelazi 44 tona ne smije premašiti vrijednost dobivenu dodavanjem 320 kg 20 tona za svakih 0,10 metara za koje razmak između krajnjih vanjskih osovina vozila ili skupine prelazi 1,80 m. To što je navedeno u prethodnoj rečenici također se primjenjuje na skupinu vozila koja se sastoji od vozila i poluprikolice koji su dio skupine navedene u stavku 1. točki b), ako njezina masa prelazi 44 tone.</w:t>
      </w:r>
    </w:p>
    <w:p w:rsidR="008A0B0A" w:rsidRPr="007E23E2" w:rsidRDefault="008A0B0A" w:rsidP="00FC06EC">
      <w:pPr>
        <w:pStyle w:val="LLKappalejako"/>
      </w:pPr>
      <w:r>
        <w:t>U skupini vozila mase veće od 40 tona udaljenost između krajnje stražnje osovine vozila i prednje osovine prikolice mase veće od 10 tona mora biti najmanje 3,00 m.</w:t>
      </w:r>
    </w:p>
    <w:p w:rsidR="008A0B0A" w:rsidRPr="007E23E2" w:rsidRDefault="008A0B0A" w:rsidP="00FC06EC">
      <w:pPr>
        <w:pStyle w:val="LLKappalejako"/>
      </w:pPr>
      <w:r>
        <w:t>Najmanje 15 % mase skupine vozila moraju nositi pogonske osovine skupine koja se sastoji od vozila i jedne ili više prikolica, a najmanje 9 % mase skupine vozila mora nositi upravljačka osovina vučnog vozila. Ako masa skupine vozila premašuje 68 tona, najmanje 20 % mase skupine vozila moraju nositi pogonske osovine.</w:t>
      </w:r>
    </w:p>
    <w:p w:rsidR="008A0B0A" w:rsidRPr="007E23E2" w:rsidRDefault="008A0B0A" w:rsidP="00FC06EC">
      <w:pPr>
        <w:pStyle w:val="LLKappalejako"/>
      </w:pPr>
      <w:r>
        <w:t>Snaga motora skupine vozila čija je masa veća od 44 tone mora biti najmanje 5 kilovata po toni mase skupine.</w:t>
      </w:r>
    </w:p>
    <w:p w:rsidR="008A0B0A" w:rsidRPr="007E23E2" w:rsidRDefault="008A0B0A" w:rsidP="00FC06EC">
      <w:pPr>
        <w:pStyle w:val="LLKappalejako"/>
      </w:pPr>
      <w:r>
        <w:t>Masa skupine može premašiti najveću dopuštenu količinu navedenu u stavku 1. ako su uvjeti iz prethodno navedenog članka 21. stavka 6. ispunjeni, pod uvjetom da je motorno vozilo koje upotrebljava alternativna goriva navedeno u spomenutom stavku dio skupine.</w:t>
      </w:r>
    </w:p>
    <w:p w:rsidR="00FD11EE" w:rsidRPr="007E23E2" w:rsidRDefault="00FD11EE" w:rsidP="00F8307A">
      <w:pPr>
        <w:pStyle w:val="LLNormaali"/>
      </w:pPr>
    </w:p>
    <w:p w:rsidR="008A0B0A" w:rsidRPr="007E23E2" w:rsidRDefault="008A0B0A" w:rsidP="00C245D5">
      <w:pPr>
        <w:pStyle w:val="LLPykala"/>
        <w:keepNext/>
      </w:pPr>
      <w:r>
        <w:t>Članak 23.a</w:t>
      </w:r>
    </w:p>
    <w:p w:rsidR="008A0B0A" w:rsidRPr="007E23E2" w:rsidRDefault="008A0B0A" w:rsidP="00C245D5">
      <w:pPr>
        <w:pStyle w:val="LLPykalanOtsikko"/>
        <w:keepNext/>
      </w:pPr>
      <w:r>
        <w:t>Odstupanja za masu skupine vozila koja je uključena u prijevoz opasne robe</w:t>
      </w:r>
    </w:p>
    <w:p w:rsidR="008A0B0A" w:rsidRPr="007E23E2" w:rsidRDefault="008A0B0A" w:rsidP="00FD11EE">
      <w:pPr>
        <w:pStyle w:val="LLMomentinJohdantoKappale"/>
      </w:pPr>
      <w:r>
        <w:t>Odstupajući od članka 23. stavka 1. točke b), ako je prijevoz podložan Zakonu o prijevozu opasne robe (719/1994), najveća dopuštena masa skupine vozila mora biti</w:t>
      </w:r>
    </w:p>
    <w:p w:rsidR="008A0B0A" w:rsidRPr="007E23E2" w:rsidRDefault="008A0B0A" w:rsidP="00FD11EE">
      <w:pPr>
        <w:pStyle w:val="LLMomentinKohta"/>
      </w:pPr>
      <w:r>
        <w:t>1) s najmanje sedam osovina, 60 tona;</w:t>
      </w:r>
    </w:p>
    <w:p w:rsidR="008A0B0A" w:rsidRPr="007E23E2" w:rsidRDefault="008A0B0A" w:rsidP="00FD11EE">
      <w:pPr>
        <w:pStyle w:val="LLMomentinKohta"/>
      </w:pPr>
      <w:r>
        <w:t>2) 64 tone u slučaju skupine vučnog vozila s najmanje tri osovine i poluprikolice s najmanje pet osovina;</w:t>
      </w:r>
    </w:p>
    <w:p w:rsidR="008A0B0A" w:rsidRPr="007E23E2" w:rsidRDefault="008A0B0A" w:rsidP="00FD11EE">
      <w:pPr>
        <w:pStyle w:val="LLMomentinKohta"/>
      </w:pPr>
      <w:r>
        <w:t>3) 68 tona,</w:t>
      </w:r>
    </w:p>
    <w:p w:rsidR="008A0B0A" w:rsidRPr="007E23E2" w:rsidRDefault="008A0B0A" w:rsidP="00582328">
      <w:pPr>
        <w:pStyle w:val="LLMomentinAlakohta"/>
      </w:pPr>
      <w:r>
        <w:lastRenderedPageBreak/>
        <w:t>a) ako skupina vozila ima najmanje osam osovina i vučno vozilo skupine ima najmanje četiri osovine; ili</w:t>
      </w:r>
    </w:p>
    <w:p w:rsidR="008A0B0A" w:rsidRPr="007E23E2" w:rsidRDefault="008A0B0A" w:rsidP="00FD11EE">
      <w:pPr>
        <w:pStyle w:val="LLMomentinAlakohta"/>
      </w:pPr>
      <w:r>
        <w:t>b) ako vučno vozilo skupine vozila ima najmanje tri osovine, a skupina se sastoji od motornog vozila s najmanje osam osovina i dvije poluprikolice.</w:t>
      </w:r>
    </w:p>
    <w:p w:rsidR="008A0B0A" w:rsidRPr="007E23E2" w:rsidRDefault="008A0B0A" w:rsidP="00FD11EE">
      <w:pPr>
        <w:pStyle w:val="LLMomentinAlakohta"/>
      </w:pPr>
      <w:r>
        <w:t>U skupinama vozila s ne više od osam osovine i mase veće od 64 tone, najmanje 65 % mase prikolice ili ukupne mase prikolica moraju nositi osovine s udvojenim kotačima. No, taj se zahtjev ne primjenjuje na prijevoz opasnih tvari u cisternama ako količina opasnih tvari prelazi 5 tona.</w:t>
      </w:r>
    </w:p>
    <w:p w:rsidR="008A0B0A" w:rsidRPr="007E23E2" w:rsidRDefault="008A0B0A" w:rsidP="00FD11EE">
      <w:pPr>
        <w:pStyle w:val="LLMomentinAlakohta"/>
      </w:pPr>
      <w:r>
        <w:t>Odredbe prethodno navedenih stavaka 1. i 2. ne primjenjuju se na prijevoz pakirane robe, ako količina opasnih tvari koje se prevoze ne prelazi ograničenja utvrđena ili propisana zakonom navedenim u stavku 1. koji se odnosi na izuzeća povezana s količinom koja se prevozi u prijevoznoj jedinici.</w:t>
      </w:r>
    </w:p>
    <w:p w:rsidR="00FD11EE" w:rsidRPr="007E23E2" w:rsidRDefault="00FD11EE" w:rsidP="00FD11EE">
      <w:pPr>
        <w:pStyle w:val="LLNormaali"/>
      </w:pPr>
    </w:p>
    <w:p w:rsidR="008A0B0A" w:rsidRPr="007E23E2" w:rsidRDefault="008A0B0A" w:rsidP="00C245D5">
      <w:pPr>
        <w:pStyle w:val="LLPykala"/>
        <w:keepNext/>
      </w:pPr>
      <w:r>
        <w:t>Članak 24.</w:t>
      </w:r>
    </w:p>
    <w:p w:rsidR="008A0B0A" w:rsidRPr="007E23E2" w:rsidRDefault="008A0B0A" w:rsidP="00C245D5">
      <w:pPr>
        <w:pStyle w:val="LLPykalanOtsikko"/>
        <w:keepNext/>
      </w:pPr>
      <w:r>
        <w:t>Duljina vozila, prikolice ili skupine istih</w:t>
      </w:r>
    </w:p>
    <w:p w:rsidR="008A0B0A" w:rsidRPr="007E23E2" w:rsidRDefault="008A0B0A" w:rsidP="00C245D5">
      <w:pPr>
        <w:pStyle w:val="LLMomentinJohdantoKappale"/>
        <w:keepNext/>
      </w:pPr>
      <w:r>
        <w:t>Duljina vozila ne smije premašivati sljedeće vrijednosti:</w:t>
      </w:r>
    </w:p>
    <w:p w:rsidR="00921B70" w:rsidRPr="007E23E2" w:rsidRDefault="00921B70" w:rsidP="00C245D5">
      <w:pPr>
        <w:pStyle w:val="LLNormaali"/>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6968"/>
        <w:gridCol w:w="1378"/>
      </w:tblGrid>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1) običan ili putnički autobus (kategorije M</w:t>
            </w:r>
            <w:r>
              <w:rPr>
                <w:vertAlign w:val="subscript"/>
              </w:rPr>
              <w:t>2</w:t>
            </w:r>
            <w:r>
              <w:t xml:space="preserve"> i M</w:t>
            </w:r>
            <w:r>
              <w:rPr>
                <w:vertAlign w:val="subscript"/>
              </w:rPr>
              <w:t>3</w:t>
            </w:r>
            <w:r>
              <w:t>)</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13,50 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ali, s najmanje tri osovine</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15,00 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ali, ako je zglobno vozilo</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18,75 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ali, ako zglobno vozilo ima više od jednog zglobnog dijela</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25,25 m</w:t>
            </w:r>
          </w:p>
        </w:tc>
      </w:tr>
      <w:tr w:rsidR="00410079" w:rsidRPr="007E23E2" w:rsidTr="002336DB">
        <w:trPr>
          <w:tblCellSpacing w:w="15" w:type="dxa"/>
        </w:trPr>
        <w:tc>
          <w:tcPr>
            <w:tcW w:w="0" w:type="auto"/>
            <w:tcBorders>
              <w:right w:val="single" w:sz="6" w:space="0" w:color="000000"/>
            </w:tcBorders>
            <w:hideMark/>
          </w:tcPr>
          <w:p w:rsidR="00410079" w:rsidRPr="007E23E2" w:rsidRDefault="00410079" w:rsidP="00410079">
            <w:pPr>
              <w:pStyle w:val="LLMomentinKohta"/>
              <w:rPr>
                <w:sz w:val="24"/>
              </w:rPr>
            </w:pPr>
            <w:r>
              <w:t>2) drugo motorno vozilo</w:t>
            </w:r>
          </w:p>
        </w:tc>
        <w:tc>
          <w:tcPr>
            <w:tcW w:w="0" w:type="auto"/>
            <w:tcBorders>
              <w:left w:val="single" w:sz="6" w:space="0" w:color="000000"/>
            </w:tcBorders>
            <w:hideMark/>
          </w:tcPr>
          <w:p w:rsidR="00410079" w:rsidRPr="007E23E2" w:rsidRDefault="00410079" w:rsidP="007E23E2">
            <w:pPr>
              <w:pStyle w:val="LLMomentinKohta"/>
              <w:rPr>
                <w:sz w:val="24"/>
              </w:rPr>
            </w:pPr>
            <w:r>
              <w:t>13,00 m</w:t>
            </w:r>
          </w:p>
        </w:tc>
      </w:tr>
    </w:tbl>
    <w:p w:rsidR="008A0B0A" w:rsidRPr="007E23E2" w:rsidRDefault="008A0B0A" w:rsidP="00FD11EE">
      <w:pPr>
        <w:pStyle w:val="LLMomentinJohdantoKappale"/>
      </w:pPr>
      <w:r>
        <w:t>Duljina prikolice ne smije premašivati sljedeće vrijednosti:</w:t>
      </w: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200"/>
        <w:gridCol w:w="1146"/>
      </w:tblGrid>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7E23E2">
            <w:pPr>
              <w:pStyle w:val="LLMomentinKohta"/>
              <w:rPr>
                <w:strike/>
                <w:sz w:val="24"/>
              </w:rPr>
            </w:pPr>
            <w:r>
              <w:t xml:space="preserve">1) udaljenost od vertikalne osi vučnog </w:t>
            </w:r>
            <w:proofErr w:type="spellStart"/>
            <w:r>
              <w:t>svornjaka</w:t>
            </w:r>
            <w:proofErr w:type="spellEnd"/>
            <w:r>
              <w:t xml:space="preserve"> poluprikolice do krajnje stražnje točke prikolice</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18,00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pPr>
            <w:r>
              <w:t>2) Ako se u skupini vozila duljoj od 22,00 metra koristi samostalna prikolica, udaljenost od okretišta prednjih osovina do krajnje stražnje točke prikolice</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16,00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rPr>
                <w:sz w:val="24"/>
              </w:rPr>
            </w:pPr>
            <w:r>
              <w:t xml:space="preserve">od vertikalne osi vučnog </w:t>
            </w:r>
            <w:proofErr w:type="spellStart"/>
            <w:r>
              <w:t>svornjaka</w:t>
            </w:r>
            <w:proofErr w:type="spellEnd"/>
            <w:r>
              <w:t xml:space="preserve"> ili okretišta prednjih osovina navedenih u stavku 1. i 2. do bilo koje točke na prednjem dijelu relevantne točke, osim vučne rude</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2,04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rPr>
                <w:sz w:val="24"/>
              </w:rPr>
            </w:pPr>
            <w:r>
              <w:t>3) bilo koja prikolica osim onih navedenih u stavku 1. ili 2., osim vučne rude</w:t>
            </w:r>
          </w:p>
        </w:tc>
        <w:tc>
          <w:tcPr>
            <w:tcW w:w="660" w:type="pct"/>
            <w:tcBorders>
              <w:left w:val="single" w:sz="6" w:space="0" w:color="000000"/>
              <w:bottom w:val="single" w:sz="6" w:space="0" w:color="000000"/>
            </w:tcBorders>
            <w:hideMark/>
          </w:tcPr>
          <w:p w:rsidR="00410079" w:rsidRPr="007E23E2" w:rsidRDefault="00410079" w:rsidP="007E23E2">
            <w:pPr>
              <w:pStyle w:val="LLMomentinKohta"/>
              <w:jc w:val="right"/>
              <w:rPr>
                <w:sz w:val="24"/>
              </w:rPr>
            </w:pPr>
            <w:r>
              <w:t>12,50 m</w:t>
            </w:r>
          </w:p>
        </w:tc>
      </w:tr>
    </w:tbl>
    <w:p w:rsidR="008A0B0A" w:rsidRPr="007E23E2" w:rsidRDefault="008A0B0A" w:rsidP="00C245D5">
      <w:pPr>
        <w:pStyle w:val="LLMomentinKohta"/>
        <w:keepNext/>
      </w:pPr>
      <w:r>
        <w:t>Duljina skupine vozila ne smije premašivati sljedeće vrijednosti:</w:t>
      </w:r>
    </w:p>
    <w:p w:rsidR="000E10A2" w:rsidRPr="007E23E2" w:rsidRDefault="000E10A2" w:rsidP="00C245D5">
      <w:pPr>
        <w:pStyle w:val="LLMomentinKohta"/>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200"/>
        <w:gridCol w:w="1146"/>
      </w:tblGrid>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1) skupina sastavljena od osobnog automobila ili autobusa (kategorije M) i prikolice koja nije poluprikolica, kao i skupina sastavljena od kombija (kategorije N</w:t>
            </w:r>
            <w:r>
              <w:rPr>
                <w:vertAlign w:val="subscript"/>
              </w:rPr>
              <w:t>1</w:t>
            </w:r>
            <w:r>
              <w:t xml:space="preserve">) i prikolice koja nije poluprikolica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18,75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2) skupina sastavljena od osobnog automobila (kategorije M</w:t>
            </w:r>
            <w:r>
              <w:rPr>
                <w:vertAlign w:val="subscript"/>
              </w:rPr>
              <w:t>1</w:t>
            </w:r>
            <w:r>
              <w:t>) ili kombija (kategorije N</w:t>
            </w:r>
            <w:r>
              <w:rPr>
                <w:vertAlign w:val="subscript"/>
              </w:rPr>
              <w:t>1</w:t>
            </w:r>
            <w:r>
              <w:t>) ili kamiona kategorije N</w:t>
            </w:r>
            <w:r>
              <w:rPr>
                <w:vertAlign w:val="subscript"/>
              </w:rPr>
              <w:t>2</w:t>
            </w:r>
            <w:r>
              <w:t xml:space="preserve"> i poluprikolice, kao i bilo kakva skupina osim onih navedenih u stavcima 1., 3., 4. ili 5.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16,50 m</w:t>
            </w:r>
          </w:p>
        </w:tc>
      </w:tr>
      <w:tr w:rsidR="000E10A2" w:rsidRPr="007E23E2" w:rsidTr="007E23E2">
        <w:trPr>
          <w:tblCellSpacing w:w="15" w:type="dxa"/>
        </w:trPr>
        <w:tc>
          <w:tcPr>
            <w:tcW w:w="4286" w:type="pct"/>
            <w:tcBorders>
              <w:bottom w:val="single" w:sz="6" w:space="0" w:color="000000"/>
              <w:right w:val="single" w:sz="6" w:space="0" w:color="000000"/>
            </w:tcBorders>
          </w:tcPr>
          <w:p w:rsidR="000E10A2" w:rsidRPr="007E23E2" w:rsidRDefault="000E10A2" w:rsidP="000E10A2">
            <w:pPr>
              <w:pStyle w:val="LLMomentinKohta"/>
            </w:pPr>
            <w:r>
              <w:lastRenderedPageBreak/>
              <w:t>3) skupina sastavljena od kamiona kategorije N</w:t>
            </w:r>
            <w:r>
              <w:rPr>
                <w:vertAlign w:val="subscript"/>
              </w:rPr>
              <w:t>3</w:t>
            </w:r>
            <w:r>
              <w:t xml:space="preserve"> i poluprikolice</w:t>
            </w:r>
          </w:p>
        </w:tc>
        <w:tc>
          <w:tcPr>
            <w:tcW w:w="660" w:type="pct"/>
            <w:tcBorders>
              <w:left w:val="single" w:sz="6" w:space="0" w:color="000000"/>
              <w:bottom w:val="single" w:sz="6" w:space="0" w:color="000000"/>
            </w:tcBorders>
          </w:tcPr>
          <w:p w:rsidR="000E10A2" w:rsidRPr="007E23E2" w:rsidRDefault="000E10A2" w:rsidP="007E23E2">
            <w:pPr>
              <w:pStyle w:val="LLMomentinKohta"/>
              <w:ind w:firstLine="0"/>
              <w:jc w:val="right"/>
            </w:pPr>
            <w:r>
              <w:t>23,00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 xml:space="preserve">4) skupina sastavljena od motornog vozila osim onog navedenog u stavku a) i prikolice sa središnjom osovinom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20,75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5) skupina sastavljena od kamiona (kategorije N</w:t>
            </w:r>
            <w:r>
              <w:rPr>
                <w:vertAlign w:val="subscript"/>
              </w:rPr>
              <w:t>2</w:t>
            </w:r>
            <w:r>
              <w:t xml:space="preserve"> i N</w:t>
            </w:r>
            <w:r>
              <w:rPr>
                <w:vertAlign w:val="subscript"/>
              </w:rPr>
              <w:t>3</w:t>
            </w:r>
            <w:r>
              <w:t xml:space="preserve">) osim onih iz stavaka 2., 3. ili 4. i jedne ili više prikolica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34,50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 xml:space="preserve">od koje zbroj unutarnje duljine prostora za utovar iza kabine u vučnom vozilu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 xml:space="preserve">29,24 m </w:t>
            </w:r>
          </w:p>
        </w:tc>
      </w:tr>
    </w:tbl>
    <w:p w:rsidR="00FC06EC" w:rsidRPr="007E23E2" w:rsidRDefault="00FC06EC" w:rsidP="00EB55F3">
      <w:pPr>
        <w:pStyle w:val="LLKappalejako"/>
      </w:pPr>
    </w:p>
    <w:p w:rsidR="008A0B0A" w:rsidRPr="007E23E2" w:rsidRDefault="008A0B0A" w:rsidP="00EB55F3">
      <w:pPr>
        <w:pStyle w:val="LLKappalejako"/>
      </w:pPr>
      <w:r>
        <w:t>Ako običan ili putnički autobus sadrži opremu koja se može odvojiti, poput kutije za skije, duljina autobusa i pričvršćene opreme ne smije premašiti dimenzije utvrđene u ovom odjeljku.</w:t>
      </w:r>
    </w:p>
    <w:p w:rsidR="008A0B0A" w:rsidRPr="007E23E2" w:rsidRDefault="008A0B0A" w:rsidP="00EB55F3">
      <w:pPr>
        <w:pStyle w:val="LLKappalejako"/>
      </w:pPr>
      <w:r>
        <w:t>Vozila ili skupine vozila opremljene aerodinamičnom opremom iz članka 8.b direktive o dimenzijama i masi mogu premašiti dimenzije utvrđene u ovom odjeljku, isključujući unutrašnje duljine prostora za utovar, pod uvjetom da su ispunjeni zahtjevi utvrđeni u direktivi. Premašivanje dimenzija dopušteno je samo ako je potrebno za spajanje takve opreme na stražnji dio vozila ili skupine vozila, a to ne smije uzrokovati povećanje veličine prostora za utovar.</w:t>
      </w:r>
    </w:p>
    <w:p w:rsidR="008A0B0A" w:rsidRPr="007E23E2" w:rsidRDefault="008A0B0A" w:rsidP="00EB55F3">
      <w:pPr>
        <w:pStyle w:val="LLKappalejako"/>
      </w:pPr>
      <w:r>
        <w:t>Vozila ili skupine vozila opremljene kabinama navedenima u članku 9.a direktive o dimenzijama i masi mogu premašiti dimenzije utvrđene u ovom odjeljku, isključujući unutrašnje duljine prostora za utovar, pod uvjetom da su ispunjeni zahtjevi utvrđeni u direktivi. Premašivanje dimenzija ne smije uzrokovati povećanje prostora za utovar.</w:t>
      </w:r>
    </w:p>
    <w:p w:rsidR="008A0B0A" w:rsidRPr="007E23E2" w:rsidRDefault="008A0B0A" w:rsidP="00EB55F3">
      <w:pPr>
        <w:pStyle w:val="LLKappalejako"/>
      </w:pPr>
      <w:r>
        <w:t xml:space="preserve">Dimenzije utvrđene u ovom odjeljku smiju se premašiti za 15 cm prikolicom ili skupinom vozila koja se koristi za prijevoz spremnika dugog 45 stopa (13,7 m) ili izmjenjivog sanduka dugog 45 stopa (13,7 m) kao dio </w:t>
      </w:r>
      <w:proofErr w:type="spellStart"/>
      <w:r>
        <w:t>intermodalnog</w:t>
      </w:r>
      <w:proofErr w:type="spellEnd"/>
      <w:r>
        <w:t xml:space="preserve"> prijevoza iz članka 2. direktive o dimenzijama i masi.</w:t>
      </w:r>
    </w:p>
    <w:p w:rsidR="008A0B0A" w:rsidRPr="007E23E2" w:rsidRDefault="008A0B0A" w:rsidP="00EB55F3">
      <w:pPr>
        <w:pStyle w:val="LLMomentinJohdantoKappale"/>
      </w:pPr>
      <w:r>
        <w:t>Vozila ili priključci korišteni za utovar mogu biti priključeni iza prostora za utovar vozila koja se koriste za prijevoz robe iako takvo vozilo ili skupina prelazi najveću dopuštenu duljinu u sljedećim slučajevima:</w:t>
      </w:r>
    </w:p>
    <w:p w:rsidR="008A0B0A" w:rsidRPr="007E23E2" w:rsidRDefault="008A0B0A" w:rsidP="00921B70">
      <w:pPr>
        <w:pStyle w:val="LLMomentinKohta"/>
      </w:pPr>
      <w:r>
        <w:t>1) ako se prostor za prijevoz robe ne poveća</w:t>
      </w:r>
    </w:p>
    <w:p w:rsidR="008A0B0A" w:rsidRPr="007E23E2" w:rsidRDefault="008A0B0A" w:rsidP="00921B70">
      <w:pPr>
        <w:pStyle w:val="LLMomentinKohta"/>
      </w:pPr>
      <w:r>
        <w:t>2) ako se ne premaši nijedna druga općenito dopuštena dimenzija osim duljine</w:t>
      </w:r>
    </w:p>
    <w:p w:rsidR="008A0B0A" w:rsidRPr="007E23E2" w:rsidRDefault="008A0B0A" w:rsidP="00921B70">
      <w:pPr>
        <w:pStyle w:val="LLMomentinKohta"/>
      </w:pPr>
      <w:r>
        <w:t>3) ako se ne premaši širina vozila za prijevoz robe</w:t>
      </w:r>
    </w:p>
    <w:p w:rsidR="008A0B0A" w:rsidRPr="007E23E2" w:rsidRDefault="008A0B0A" w:rsidP="00921B70">
      <w:pPr>
        <w:pStyle w:val="LLMomentinKohta"/>
      </w:pPr>
      <w:r>
        <w:t>4) ako vozilo na koje je ovdje navedeno vozilo ili priključak priključen ispunjava utvrđene ili propisane zahtjeve za zaštitu od stražnjeg podlijetanja</w:t>
      </w:r>
    </w:p>
    <w:p w:rsidR="008A0B0A" w:rsidRPr="007E23E2" w:rsidRDefault="008A0B0A" w:rsidP="00921B70">
      <w:pPr>
        <w:pStyle w:val="LLMomentinKohta"/>
      </w:pPr>
      <w:r>
        <w:t>5) ako vlastita svjetla i registarska pločica vozila ili dodatna svjetla i registarska pločica postavljena za tu svrhu ispunjavaju zahtjevi o vidljivosti i kutovima vidljivosti svjetala i stražnje registarske pločice; i</w:t>
      </w:r>
    </w:p>
    <w:p w:rsidR="008A0B0A" w:rsidRPr="007E23E2" w:rsidRDefault="008A0B0A" w:rsidP="00921B70">
      <w:pPr>
        <w:pStyle w:val="LLMomentinKohta"/>
      </w:pPr>
      <w:r>
        <w:t xml:space="preserve">6) ako vozilo ili priključak priključeni iza vozila ne predstavljaju nikakvu opasnost. </w:t>
      </w:r>
    </w:p>
    <w:p w:rsidR="000E10A2" w:rsidRPr="007E23E2" w:rsidRDefault="000E10A2" w:rsidP="00EB55F3">
      <w:pPr>
        <w:pStyle w:val="LLNormaali"/>
      </w:pPr>
    </w:p>
    <w:p w:rsidR="008A0B0A" w:rsidRPr="007E23E2" w:rsidRDefault="008A0B0A" w:rsidP="00C245D5">
      <w:pPr>
        <w:pStyle w:val="LLPykala"/>
        <w:keepNext/>
      </w:pPr>
      <w:r>
        <w:t>Članak 26.</w:t>
      </w:r>
    </w:p>
    <w:p w:rsidR="008A0B0A" w:rsidRPr="007E23E2" w:rsidRDefault="008A0B0A" w:rsidP="00C245D5">
      <w:pPr>
        <w:pStyle w:val="LLPykalanOtsikko"/>
        <w:keepNext/>
      </w:pPr>
      <w:r>
        <w:t>Manevarske sposobnosti skupine vozila</w:t>
      </w:r>
    </w:p>
    <w:p w:rsidR="00343150" w:rsidRPr="007E23E2" w:rsidRDefault="008A0B0A" w:rsidP="00D85F19">
      <w:pPr>
        <w:pStyle w:val="LLKappalejako"/>
      </w:pPr>
      <w:r>
        <w:t xml:space="preserve">Skupinom sastavljenom od vozila i poluprikolice koja ne prelazi 16,50 metara duljine, skupinom sastavljenom od prikolice ili prikolice sa središnjom osovinom koja ne prelazi 18,75 metara duljine i vozilo ili skupinom iz članka 24., stavaka 5. – 7., mora se moći upravljati kako bi s obje strane izvele punu kružnu putanju od 360° unutar područja definiranog dvjema koncentričnim kružnicama; vanjska kružnica mora imati polumjer od 12,50 metara, a unutrašnja polumjer od 5,30 metara. Skupina poluprikolice smatra se sukladnom sa zahtjevima ako razmak između vučnog </w:t>
      </w:r>
      <w:proofErr w:type="spellStart"/>
      <w:r>
        <w:t>svornjaka</w:t>
      </w:r>
      <w:proofErr w:type="spellEnd"/>
      <w:r>
        <w:t xml:space="preserve"> sedla i središnje linije neupravljane osovine okretnog postolja nije veći od</w:t>
      </w:r>
    </w:p>
    <w:p w:rsidR="000E10A2" w:rsidRPr="007E23E2" w:rsidRDefault="000E10A2" w:rsidP="00D85F19">
      <w:pPr>
        <w:pStyle w:val="LLKappalejako"/>
      </w:pPr>
    </w:p>
    <w:p w:rsidR="00A84BD8" w:rsidRPr="007E23E2" w:rsidRDefault="00A84BD8" w:rsidP="007E23E2">
      <w:pPr>
        <w:pStyle w:val="LLKappalejako"/>
        <w:spacing w:line="240" w:lineRule="auto"/>
        <w:ind w:firstLine="173"/>
      </w:pPr>
    </w:p>
    <w:p w:rsidR="000E10A2" w:rsidRPr="007E23E2" w:rsidRDefault="000E10A2" w:rsidP="00A84BD8">
      <w:pPr>
        <w:pStyle w:val="LLKappalejako"/>
        <w:ind w:firstLine="0"/>
      </w:pPr>
    </w:p>
    <w:p w:rsidR="008A0B0A" w:rsidRPr="007E23E2" w:rsidRDefault="008A0B0A" w:rsidP="00D85F19">
      <w:pPr>
        <w:pStyle w:val="LLKappalejako"/>
      </w:pPr>
      <w:r>
        <w:t>kada je L širi od prikolice.</w:t>
      </w:r>
    </w:p>
    <w:p w:rsidR="008A0B0A" w:rsidRPr="007E23E2" w:rsidRDefault="008A0B0A" w:rsidP="00D85F19">
      <w:pPr>
        <w:pStyle w:val="LLKappalejako"/>
      </w:pPr>
      <w:r>
        <w:t xml:space="preserve">Skupina sastavljena od vozila i jedne ili dvije prikolice koja premašuje 18,75 metara duljine mora se moći okrenuti unutar kružnog vijenca s vanjskim polumjerom od 12,50 metara i unutrašnjim polumjerom od 2,00 metra. U poluprikolici ili punoj prikolici koja se koristi u takvoj skupini, razmak između vučnog </w:t>
      </w:r>
      <w:proofErr w:type="spellStart"/>
      <w:r>
        <w:t>svornjaka</w:t>
      </w:r>
      <w:proofErr w:type="spellEnd"/>
      <w:r>
        <w:t xml:space="preserve"> sedla ili okretišne točke prednje skupine osovina do stražnje osovine jednoosovinske prikolice ili do središnje linije neupravljane stražnje skupine osovina </w:t>
      </w:r>
      <w:proofErr w:type="spellStart"/>
      <w:r>
        <w:t>višeosovinske</w:t>
      </w:r>
      <w:proofErr w:type="spellEnd"/>
      <w:r>
        <w:t xml:space="preserve"> prikolice ne smije premašivati 8,15 metara. Ako su stražnje osovine prikolice upravljačke osovine ili ako su neke od osovina upravljane osovine, ili ako stražnje osovine vučnog </w:t>
      </w:r>
      <w:proofErr w:type="spellStart"/>
      <w:r>
        <w:t>svornjaka</w:t>
      </w:r>
      <w:proofErr w:type="spellEnd"/>
      <w:r>
        <w:t xml:space="preserve"> sedla postavljenog na vrhu mogu biti pomaknute unatrag u svrhu spajanja na drugu poluprikolicu, prethodno navedene dimenzije mogu premašivati dimenzije unutar opsega odredbe o manevarskim sposobnostima koje su utvrđene u ovom stavku.</w:t>
      </w:r>
    </w:p>
    <w:p w:rsidR="008A0B0A" w:rsidRPr="007E23E2" w:rsidRDefault="008A0B0A" w:rsidP="00D85F19">
      <w:pPr>
        <w:pStyle w:val="LLKappalejako"/>
      </w:pPr>
      <w:r>
        <w:t>Umjesto odredbe prethodno navedenog odjeljka 2., skupina sastavljena od motornog vozila i jedne ili dvije prikolice čija duljina prelazi 18,75 metara ili skupina sastavljena od motornog vozila i poluprikolice čija duljina prelazi 16,50 metara može se okrenuti tako da kada njegov vanjski rub napravi zaokret od 120° duž kruga s vanjskim polumjerom od 12,50 metara unutrašnji rub skupine napravi luk polumjera od najmanje 4,00 metra. Bilo koji stražnji kut prikolice ne smije se pomaknuti više od 0,80 metara prema vanjskom luku kada se zaokret započne. Ako je bočno pomicanje prethodno navedene prikolice manje od 0,80 metara, unutrašnji rub skupine može napraviti luk čiji je polumjer manji od 4,00 metra razlikom za koju je bočni pomak stražnjeg ruba manji od 0,80 metara. Međutim, unutrašnji rub skupine mora napraviti luk s polumjerom od najmanje 3,7 metara. Tehničke informacije o vozilu i skupini potrebne za dokazivanje sukladnosti sa zahtjevima manevarskih sposobnosti moraju biti dostupne tijekom prijevoza.</w:t>
      </w:r>
    </w:p>
    <w:p w:rsidR="008A0B0A" w:rsidRPr="007E23E2" w:rsidRDefault="008A0B0A" w:rsidP="00D85F19">
      <w:pPr>
        <w:pStyle w:val="LLKappalejako"/>
      </w:pPr>
      <w:r>
        <w:t>Dimenzije od 16,50 metara i 18,75 metara skupine iz prethodno navedenih stavaka 1. – 3. ne uzimaju u obzir prelaženje dimenzija navedenih u članku 24., stavku 5. i 6.</w:t>
      </w:r>
    </w:p>
    <w:p w:rsidR="00591DDD" w:rsidRPr="007E23E2" w:rsidRDefault="008A0B0A" w:rsidP="00D85F19">
      <w:pPr>
        <w:pStyle w:val="LLKappalejako"/>
      </w:pPr>
      <w:r>
        <w:t xml:space="preserve">Ako su jedna ili više </w:t>
      </w:r>
      <w:proofErr w:type="spellStart"/>
      <w:r>
        <w:t>neupravljačkih</w:t>
      </w:r>
      <w:proofErr w:type="spellEnd"/>
      <w:r>
        <w:t xml:space="preserve"> ili neupravljanih osovina okretnog postolja opremljene uređajem za podizanje osovine, položaj tih uređaja koji poboljšavaju polumjer okreta pri maloj brzini uzimaju se u obzir prilikom primjene zahtjeva navedenih u stavcima 1. – 3.</w:t>
      </w:r>
    </w:p>
    <w:p w:rsidR="00591DDD" w:rsidRPr="007E23E2" w:rsidRDefault="00591DDD" w:rsidP="00D85F19">
      <w:pPr>
        <w:pStyle w:val="LLKappalejako"/>
      </w:pPr>
    </w:p>
    <w:p w:rsidR="00591DDD" w:rsidRPr="007E23E2" w:rsidRDefault="00591DDD" w:rsidP="00C245D5">
      <w:pPr>
        <w:pStyle w:val="LLPykala"/>
        <w:keepNext/>
      </w:pPr>
      <w:r>
        <w:t>Članak 27.</w:t>
      </w:r>
    </w:p>
    <w:p w:rsidR="00591DDD" w:rsidRPr="007E23E2" w:rsidRDefault="00591DDD" w:rsidP="00C245D5">
      <w:pPr>
        <w:pStyle w:val="LLPykalanOtsikko"/>
        <w:keepNext/>
      </w:pPr>
      <w:r>
        <w:t>Primjenjivost odredbi o masama i dimenzijama na druga vozila</w:t>
      </w:r>
    </w:p>
    <w:p w:rsidR="00591DDD" w:rsidRPr="007E23E2" w:rsidRDefault="00591DDD" w:rsidP="00E53F36">
      <w:pPr>
        <w:pStyle w:val="LLKappalejako"/>
      </w:pPr>
      <w:r>
        <w:t xml:space="preserve">Mase i glavne dimenzije vozila i skupina vozila osim onih iz članaka 20. – 23., 23.a, 24. i 25., osim odstupanja utvrđenih u člancima 27.a i 28. – 30., podložne su odredbama članaka 19.a, 20. – 23., 23.a, 24., 25. i 27.a koje se odnose na vozila sa strukturom s minimalnim odstupanjem. Međutim, članak 27.a utvrđuje glavne dimenzije motocikla, mopeda, tricikla, </w:t>
      </w:r>
      <w:proofErr w:type="spellStart"/>
      <w:r>
        <w:t>četverocikla</w:t>
      </w:r>
      <w:proofErr w:type="spellEnd"/>
      <w:r>
        <w:t xml:space="preserve"> i lakih </w:t>
      </w:r>
      <w:proofErr w:type="spellStart"/>
      <w:r>
        <w:t>četverocikla</w:t>
      </w:r>
      <w:proofErr w:type="spellEnd"/>
      <w:r>
        <w:t>. Međutim, članak 24. stavak 3. točke 1. i 3. – 5. ne primjenjuju se na skupinu traktora i prikolice.</w:t>
      </w:r>
    </w:p>
    <w:p w:rsidR="00591DDD" w:rsidRPr="007E23E2" w:rsidRDefault="00591DDD" w:rsidP="00E53F36">
      <w:pPr>
        <w:pStyle w:val="LLKappalejako"/>
      </w:pPr>
      <w:r>
        <w:t>Najveća dopuštena masa vozila opremljenog metalnim gusjenicama jest 20 tona.</w:t>
      </w:r>
    </w:p>
    <w:p w:rsidR="00D85F19" w:rsidRPr="007E23E2" w:rsidRDefault="00D85F19" w:rsidP="00D85F19">
      <w:pPr>
        <w:pStyle w:val="LLNormaali"/>
      </w:pPr>
    </w:p>
    <w:p w:rsidR="008A0B0A" w:rsidRPr="007E23E2" w:rsidRDefault="008A0B0A" w:rsidP="00C245D5">
      <w:pPr>
        <w:pStyle w:val="LLPykala"/>
        <w:keepNext/>
      </w:pPr>
      <w:r>
        <w:t>Članak 32.</w:t>
      </w:r>
    </w:p>
    <w:p w:rsidR="008A0B0A" w:rsidRPr="007E23E2" w:rsidRDefault="008A0B0A" w:rsidP="00C245D5">
      <w:pPr>
        <w:pStyle w:val="LLPykalanOtsikko"/>
        <w:keepNext/>
      </w:pPr>
      <w:r>
        <w:t>Vučena vozila koja će biti spojena na vozilo</w:t>
      </w:r>
    </w:p>
    <w:p w:rsidR="008A0B0A" w:rsidRPr="007E23E2" w:rsidRDefault="008A0B0A" w:rsidP="00D85F19">
      <w:pPr>
        <w:pStyle w:val="LLKappalejako"/>
      </w:pPr>
      <w:r>
        <w:t>Prikolica sa središnjom osovinom iz kategorije O</w:t>
      </w:r>
      <w:r>
        <w:rPr>
          <w:vertAlign w:val="subscript"/>
        </w:rPr>
        <w:t>1</w:t>
      </w:r>
      <w:r>
        <w:t xml:space="preserve"> ili O</w:t>
      </w:r>
      <w:r>
        <w:rPr>
          <w:vertAlign w:val="subscript"/>
        </w:rPr>
        <w:t>2</w:t>
      </w:r>
      <w:r>
        <w:t>, poluprikolica kategorije O</w:t>
      </w:r>
      <w:r>
        <w:rPr>
          <w:vertAlign w:val="subscript"/>
        </w:rPr>
        <w:t>2</w:t>
      </w:r>
      <w:r>
        <w:t xml:space="preserve"> ili prikolica kategorije O</w:t>
      </w:r>
      <w:r>
        <w:rPr>
          <w:vertAlign w:val="subscript"/>
        </w:rPr>
        <w:t>2</w:t>
      </w:r>
      <w:r>
        <w:t xml:space="preserve"> može se spojiti na osobni automobil i kombi (kategorije M</w:t>
      </w:r>
      <w:r>
        <w:rPr>
          <w:vertAlign w:val="subscript"/>
        </w:rPr>
        <w:t>1</w:t>
      </w:r>
      <w:r>
        <w:t xml:space="preserve"> i N</w:t>
      </w:r>
      <w:r>
        <w:rPr>
          <w:vertAlign w:val="subscript"/>
        </w:rPr>
        <w:t>1</w:t>
      </w:r>
      <w:r>
        <w:t xml:space="preserve">), kao i na vozilo za posebnu namjenu. Kočni sustav poluprikolice ili prikolice spojene na osobni automobil ili kombi mora biti prikladan za takav spoj i mora zadovoljiti tehničke zahtjeve na </w:t>
      </w:r>
      <w:r>
        <w:lastRenderedPageBreak/>
        <w:t>snazi u vrijeme kada je prikolica prvi put puštena u uporabu ili na kasniji datum. Poluprikolica ili prikolica spojena na osobni automobil ili kombi i puštena u uporabu prije 1. siječnja 2011. mora zadovoljiti tehničke zahtjeve za kočni sustav na snazi 1. siječnja 2011. ili na kasniji datum.</w:t>
      </w:r>
    </w:p>
    <w:p w:rsidR="008A0B0A" w:rsidRPr="007E23E2" w:rsidRDefault="008A0B0A" w:rsidP="00D85F19">
      <w:pPr>
        <w:pStyle w:val="LLKappalejako"/>
      </w:pPr>
      <w:r>
        <w:t>Prikolica sa središnjom osovinom ili prikolica s tandem osovinom može se spojiti na obični ili turistički autobus (kategorije M2 i M3).</w:t>
      </w:r>
    </w:p>
    <w:p w:rsidR="008A0B0A" w:rsidRPr="007E23E2" w:rsidRDefault="008A0B0A" w:rsidP="00D85F19">
      <w:pPr>
        <w:pStyle w:val="LLMomentinJohdantoKappale"/>
      </w:pPr>
      <w:r>
        <w:t>Sljedeća vozila mogu se spojiti na kamion (kategorije N2 i N3):</w:t>
      </w:r>
    </w:p>
    <w:p w:rsidR="008A0B0A" w:rsidRPr="007E23E2" w:rsidRDefault="00591DDD" w:rsidP="00D85F19">
      <w:pPr>
        <w:pStyle w:val="LLMomentinAlakohta"/>
      </w:pPr>
      <w:r>
        <w:t>1) poluprikolica</w:t>
      </w:r>
    </w:p>
    <w:p w:rsidR="008A0B0A" w:rsidRPr="007E23E2" w:rsidRDefault="00591DDD" w:rsidP="00D85F19">
      <w:pPr>
        <w:pStyle w:val="LLMomentinAlakohta"/>
      </w:pPr>
      <w:r>
        <w:t>2) prikolica sa središnjom osovinom</w:t>
      </w:r>
    </w:p>
    <w:p w:rsidR="008A0B0A" w:rsidRPr="007E23E2" w:rsidRDefault="00591DDD" w:rsidP="00D85F19">
      <w:pPr>
        <w:pStyle w:val="LLMomentinAlakohta"/>
      </w:pPr>
      <w:r>
        <w:t>3) samostalna prikolica</w:t>
      </w:r>
    </w:p>
    <w:p w:rsidR="008A0B0A" w:rsidRPr="007E23E2" w:rsidRDefault="00591DDD" w:rsidP="00D85F19">
      <w:pPr>
        <w:pStyle w:val="LLMomentinAlakohta"/>
      </w:pPr>
      <w:r>
        <w:t>4) potporna kolica sa spojenom poluprikolicom</w:t>
      </w:r>
    </w:p>
    <w:p w:rsidR="008A0B0A" w:rsidRPr="007E23E2" w:rsidRDefault="00591DDD" w:rsidP="00D85F19">
      <w:pPr>
        <w:pStyle w:val="LLMomentinAlakohta"/>
      </w:pPr>
      <w:r>
        <w:t>5) poluprikolica sa spojenom poluprikolicom</w:t>
      </w:r>
    </w:p>
    <w:p w:rsidR="008A0B0A" w:rsidRPr="007E23E2" w:rsidRDefault="00591DDD" w:rsidP="00D85F19">
      <w:pPr>
        <w:pStyle w:val="LLMomentinAlakohta"/>
      </w:pPr>
      <w:r>
        <w:t>6) poluprikolica sa spojenom prikolicom sa središnjom osovinom</w:t>
      </w:r>
    </w:p>
    <w:p w:rsidR="008A0B0A" w:rsidRPr="007E23E2" w:rsidRDefault="00591DDD" w:rsidP="00D85F19">
      <w:pPr>
        <w:pStyle w:val="LLMomentinAlakohta"/>
      </w:pPr>
      <w:r>
        <w:t>7) poluprikolica sa spojenom samostalnom prikolicom</w:t>
      </w:r>
    </w:p>
    <w:p w:rsidR="008A0B0A" w:rsidRPr="007E23E2" w:rsidRDefault="00591DDD" w:rsidP="00D85F19">
      <w:pPr>
        <w:pStyle w:val="LLMomentinAlakohta"/>
      </w:pPr>
      <w:r>
        <w:t>8) poluprikolica sa spojenim potpornim kolicima koja je spojena na poluprikolicu</w:t>
      </w:r>
    </w:p>
    <w:p w:rsidR="008A0B0A" w:rsidRPr="007E23E2" w:rsidRDefault="00591DDD" w:rsidP="00D85F19">
      <w:pPr>
        <w:pStyle w:val="LLMomentinAlakohta"/>
      </w:pPr>
      <w:r>
        <w:t>9) potporna kolica sa spojenom poluprikolicom na koju je spojena poluprikolica</w:t>
      </w:r>
    </w:p>
    <w:p w:rsidR="008A0B0A" w:rsidRPr="007E23E2" w:rsidRDefault="00591DDD" w:rsidP="00D85F19">
      <w:pPr>
        <w:pStyle w:val="LLMomentinAlakohta"/>
      </w:pPr>
      <w:r>
        <w:t>10) poluprikolica sa spojenom poluprikolicom na koju je spojena poluprikolica</w:t>
      </w:r>
    </w:p>
    <w:p w:rsidR="008A0B0A" w:rsidRPr="007E23E2" w:rsidRDefault="00591DDD" w:rsidP="00D85F19">
      <w:pPr>
        <w:pStyle w:val="LLMomentinAlakohta"/>
      </w:pPr>
      <w:r>
        <w:t>11) poluprikolica sa spojenom poluprikolicom na koju je spojena prikolica sa središnjom osovinom.</w:t>
      </w:r>
    </w:p>
    <w:p w:rsidR="008A0B0A" w:rsidRPr="007E23E2" w:rsidRDefault="008A0B0A" w:rsidP="00D85F19">
      <w:pPr>
        <w:pStyle w:val="LLMomentinKohta"/>
      </w:pPr>
      <w:r>
        <w:t>Ako duljina neopterećene skupine vozila iz prethodno navedenog stavka 3. prelazi 22,00 metara, sva vozila u skupini moraju imati sustav protiv blokade kočnica.</w:t>
      </w:r>
    </w:p>
    <w:p w:rsidR="00D85F19" w:rsidRPr="007E23E2" w:rsidRDefault="00D85F19" w:rsidP="00D85F19">
      <w:pPr>
        <w:pStyle w:val="LLNormaali"/>
      </w:pPr>
    </w:p>
    <w:p w:rsidR="008A0B0A" w:rsidRPr="007E23E2" w:rsidRDefault="008A0B0A" w:rsidP="00C245D5">
      <w:pPr>
        <w:pStyle w:val="LLPykala"/>
        <w:keepNext/>
      </w:pPr>
      <w:r>
        <w:t>Članak 32.a</w:t>
      </w:r>
    </w:p>
    <w:p w:rsidR="008A0B0A" w:rsidRPr="007E23E2" w:rsidRDefault="008A0B0A" w:rsidP="00C245D5">
      <w:pPr>
        <w:pStyle w:val="LLPykalanOtsikko"/>
        <w:keepNext/>
      </w:pPr>
      <w:r>
        <w:t>Masa spojnice vučenih vozila</w:t>
      </w:r>
    </w:p>
    <w:p w:rsidR="00D85F19" w:rsidRPr="007E23E2" w:rsidRDefault="00D85F19" w:rsidP="00D85F19">
      <w:pPr>
        <w:pStyle w:val="LLNormaali"/>
      </w:pPr>
      <w:r>
        <w:t>— — — — — — — — — — — — — — — —</w:t>
      </w:r>
      <w:r w:rsidR="00D84D1D">
        <w:t xml:space="preserve"> — — — — — — — — — — — — — —</w:t>
      </w:r>
    </w:p>
    <w:p w:rsidR="008A0B0A" w:rsidRPr="007E23E2" w:rsidRDefault="008A0B0A" w:rsidP="00D85F19">
      <w:pPr>
        <w:pStyle w:val="LLKappalejako"/>
      </w:pPr>
      <w:r>
        <w:t>Masa na okretnom postolju poluprikolice ne smije biti više od 1,7 puta veća od općenito dopuštene mase vučnog vozila.</w:t>
      </w:r>
    </w:p>
    <w:p w:rsidR="008A0B0A" w:rsidRPr="007E23E2" w:rsidRDefault="008A0B0A" w:rsidP="008A0B0A">
      <w:pPr>
        <w:pStyle w:val="LLNormaali"/>
      </w:pPr>
    </w:p>
    <w:p w:rsidR="008A0B0A" w:rsidRPr="007E23E2" w:rsidRDefault="008A0B0A" w:rsidP="00C245D5">
      <w:pPr>
        <w:pStyle w:val="LLPykala"/>
        <w:keepNext/>
      </w:pPr>
      <w:r>
        <w:t>Članak 32.b</w:t>
      </w:r>
    </w:p>
    <w:p w:rsidR="008A0B0A" w:rsidRPr="007E23E2" w:rsidRDefault="008A0B0A" w:rsidP="00C245D5">
      <w:pPr>
        <w:pStyle w:val="LLPykalanOtsikko"/>
        <w:keepNext/>
      </w:pPr>
      <w:r>
        <w:t>Zahtjevi u pogledu stabilnosti za skupine vozila</w:t>
      </w:r>
    </w:p>
    <w:p w:rsidR="008A0B0A" w:rsidRPr="007E23E2" w:rsidRDefault="00D45A9B" w:rsidP="00D85F19">
      <w:pPr>
        <w:pStyle w:val="LLKappalejako"/>
      </w:pPr>
      <w:r>
        <w:t>Skupina vozila opterećena najvišom općenito dopuštenom masom iz prethodno navedenog članka 32. stavka 3. točaka 7. – 11. mora, u smislu dimenzija, biti istovjetna skupini u kojoj vrijednost provjere kutne brzine ne premašuje 1,9 i vrijednost provjere bočnog ubrzanja ne premašuje 3,95 mjereno na središtu mase tereta smještenog 1,5 metara iznad poda prostora za utovar pri brzini vožnje od 80 kilometara na sat u ispitivanjima sukladnima s normom ISO 14791 ili u istovjetnim simulacijama.</w:t>
      </w:r>
    </w:p>
    <w:p w:rsidR="008A0B0A" w:rsidRPr="007E23E2" w:rsidRDefault="008A0B0A" w:rsidP="00D85F19">
      <w:pPr>
        <w:pStyle w:val="LLKappalejako"/>
      </w:pPr>
      <w:r>
        <w:t>Potrebne tehničke specifikacije vozila moraju biti dostupne tijekom prijevoza kako bi se dokazala sukladnost sa zahtjevom stabilnosti utvrđenom u stavku 1.</w:t>
      </w:r>
    </w:p>
    <w:p w:rsidR="008A0B0A" w:rsidRPr="007E23E2" w:rsidRDefault="008A0B0A" w:rsidP="00D85F19">
      <w:pPr>
        <w:pStyle w:val="LLNormaali"/>
      </w:pPr>
    </w:p>
    <w:p w:rsidR="008A0B0A" w:rsidRPr="007E23E2" w:rsidRDefault="008A0B0A" w:rsidP="00C245D5">
      <w:pPr>
        <w:pStyle w:val="LLPykala"/>
        <w:keepNext/>
      </w:pPr>
      <w:r>
        <w:t>Članak 33.</w:t>
      </w:r>
    </w:p>
    <w:p w:rsidR="008A0B0A" w:rsidRPr="007E23E2" w:rsidRDefault="008A0B0A" w:rsidP="00C245D5">
      <w:pPr>
        <w:pStyle w:val="LLPykalanOtsikko"/>
        <w:keepNext/>
      </w:pPr>
      <w:r>
        <w:t>Spajanje vozila i prikolica</w:t>
      </w:r>
    </w:p>
    <w:p w:rsidR="008A0B0A" w:rsidRPr="007E23E2" w:rsidRDefault="008A0B0A" w:rsidP="00D85F19">
      <w:pPr>
        <w:pStyle w:val="LLMomentinJohdantoKappale"/>
      </w:pPr>
      <w:r>
        <w:t>Kada se prikolica spaja na vučno vozilo, mora biti osigurano da:</w:t>
      </w:r>
    </w:p>
    <w:p w:rsidR="008A0B0A" w:rsidRPr="007E23E2" w:rsidRDefault="00357D0C" w:rsidP="00D85F19">
      <w:pPr>
        <w:pStyle w:val="LLMomentinAlakohta"/>
      </w:pPr>
      <w:r>
        <w:t>1) strukture vučnog vozila i vučenog vozila nisu u međusobnom dodiru tijekom uobičajene vožnje</w:t>
      </w:r>
    </w:p>
    <w:p w:rsidR="008A0B0A" w:rsidRPr="007E23E2" w:rsidRDefault="00357D0C" w:rsidP="00D85F19">
      <w:pPr>
        <w:pStyle w:val="LLMomentinAlakohta"/>
      </w:pPr>
      <w:r>
        <w:t>2) vozač ima jasno vidno polje s bočnih strana motornog vozila i prikolice/a i ima pregled nad prometom iza vozila</w:t>
      </w:r>
    </w:p>
    <w:p w:rsidR="008A0B0A" w:rsidRPr="007E23E2" w:rsidRDefault="00357D0C" w:rsidP="00D85F19">
      <w:pPr>
        <w:pStyle w:val="LLMomentinAlakohta"/>
      </w:pPr>
      <w:r>
        <w:t>3) kočnice i svjetla prikolice/a rade u skladu s propisima</w:t>
      </w:r>
    </w:p>
    <w:p w:rsidR="008A0B0A" w:rsidRPr="007E23E2" w:rsidRDefault="00357D0C" w:rsidP="00D85F19">
      <w:pPr>
        <w:pStyle w:val="LLMomentinAlakohta"/>
      </w:pPr>
      <w:r>
        <w:lastRenderedPageBreak/>
        <w:t>4) pneumatske kočnice motornog vozila i prikolice/a postavljene su da budu međusobno kompatibilne u skladu s propisima.</w:t>
      </w:r>
    </w:p>
    <w:p w:rsidR="008A0B0A" w:rsidRPr="007E23E2" w:rsidRDefault="008A0B0A" w:rsidP="00D85F19">
      <w:pPr>
        <w:pStyle w:val="LLMomentinAlakohta"/>
      </w:pPr>
      <w:r>
        <w:t>Osim odredbe utvrđene u prethodno navedenom stavku 1., skupina sastavljena od vozila i poluprikolice koja prelazi 20,00 metara duljine i druge skupine vozila koje prelaze 28,00 metara duljine moraju sadržavati:</w:t>
      </w:r>
    </w:p>
    <w:p w:rsidR="008A0B0A" w:rsidRPr="007E23E2" w:rsidRDefault="00357D0C" w:rsidP="00D85F19">
      <w:pPr>
        <w:pStyle w:val="LLMomentinAlakohta"/>
      </w:pPr>
      <w:r>
        <w:t>1) uređaje za neizravno gledanje koji omogućuju vozaču pregled nad čitavom unutrašnjom krivuljom skupine i susjednim područjem tijekom zaokreta iz članka 26. stavka 2. ili 3. prilikom skretanja u bilo koju stranu</w:t>
      </w:r>
    </w:p>
    <w:p w:rsidR="008A0B0A" w:rsidRPr="007E23E2" w:rsidRDefault="00357D0C" w:rsidP="00D85F19">
      <w:pPr>
        <w:pStyle w:val="LLMomentinAlakohta"/>
      </w:pPr>
      <w:r>
        <w:t>2) sofisticirani sustav za kočenje u slučaju nužde i sustav za upozorenje o napuštanju prometne trake u vučnom vozilu</w:t>
      </w:r>
    </w:p>
    <w:p w:rsidR="008A0B0A" w:rsidRPr="007E23E2" w:rsidRDefault="00357D0C" w:rsidP="00D85F19">
      <w:pPr>
        <w:pStyle w:val="LLMomentinAlakohta"/>
      </w:pPr>
      <w:r>
        <w:t>3) elektronički nadzor stabilnosti i električno upravljane kočnice u svakom vozilu skupine</w:t>
      </w:r>
    </w:p>
    <w:p w:rsidR="008A0B0A" w:rsidRPr="007E23E2" w:rsidRDefault="00357D0C" w:rsidP="00D85F19">
      <w:pPr>
        <w:pStyle w:val="LLMomentinAlakohta"/>
      </w:pPr>
      <w:r>
        <w:t>4) informacije o masi na svakoj pojedinačnoj osovini i okretnom postolju s vozačem; informacije su potrebne samo za prednju osovinu vučnog vozila ako je opremljena zračnim ovjesom</w:t>
      </w:r>
    </w:p>
    <w:p w:rsidR="008A0B0A" w:rsidRPr="007E23E2" w:rsidRDefault="00357D0C" w:rsidP="00D85F19">
      <w:pPr>
        <w:pStyle w:val="LLMomentinAlakohta"/>
      </w:pPr>
      <w:r>
        <w:t>Motorna vozila s četiri ili više osovina i vozila iz kategorije N3G, međutim, ne trebaju biti opremljena naprednim sustavom za kočenje u slučaju nužde i sustavom za upozorenje o napuštanju prometne trake iz prethodno navedenog stavka 2. točke 2. ni sustavom elektroničkog nadzora stabilnosti iz točke 3. Sustav elektroničkog nadzora stabilnosti također nije potreban za skupinu koja se sastoji od kamiona i dvije poluprikolice.</w:t>
      </w:r>
    </w:p>
    <w:p w:rsidR="008A0B0A" w:rsidRPr="007E23E2" w:rsidRDefault="008A0B0A" w:rsidP="00D85F19">
      <w:pPr>
        <w:pStyle w:val="LLKappalejako"/>
      </w:pPr>
      <w:r>
        <w:t>Potrebne tehničke specifikacije vozila moraju biti dostupne tijekom prijevoza radi dokaza o sukladnosti sa zahtjevima utvrđenim u stavku 2.</w:t>
      </w:r>
    </w:p>
    <w:p w:rsidR="007E23E2" w:rsidRDefault="007E23E2" w:rsidP="00D85F19">
      <w:pPr>
        <w:pStyle w:val="LLPykala"/>
      </w:pPr>
    </w:p>
    <w:p w:rsidR="008A0B0A" w:rsidRPr="007E23E2" w:rsidRDefault="008A0B0A" w:rsidP="00C245D5">
      <w:pPr>
        <w:pStyle w:val="LLPykala"/>
        <w:keepNext/>
      </w:pPr>
      <w:r>
        <w:t>Članak 36.</w:t>
      </w:r>
    </w:p>
    <w:p w:rsidR="008A0B0A" w:rsidRPr="007E23E2" w:rsidRDefault="008A0B0A" w:rsidP="00C245D5">
      <w:pPr>
        <w:pStyle w:val="LLPykalanOtsikko"/>
        <w:keepNext/>
      </w:pPr>
      <w:r>
        <w:t>Spajanje vučenih vozila na radne strojeve na motorni pogon i terenska vozila</w:t>
      </w:r>
    </w:p>
    <w:p w:rsidR="008A0B0A" w:rsidRPr="007E23E2" w:rsidRDefault="008A0B0A" w:rsidP="005542BD">
      <w:pPr>
        <w:pStyle w:val="LLKappalejako"/>
      </w:pPr>
      <w:r>
        <w:t>Vučeno vozilo, karavan ili istovjetan vučeni uređaj mogu se spojiti na radni stroj na motorni pogon kada se vučeno vozilo koristi za prijevoz goriva i maziva za radni stroj i opremu i pribor povezanu s radom. Spojena masa vučenog vozila ne smije premašiti neopterećenu masu radnog stroja na motorni pogon.</w:t>
      </w:r>
    </w:p>
    <w:p w:rsidR="008A0B0A" w:rsidRPr="007E23E2" w:rsidRDefault="008A0B0A" w:rsidP="005542BD">
      <w:pPr>
        <w:pStyle w:val="LLKappalejako"/>
      </w:pPr>
      <w:r>
        <w:t>Radni strojevi na motorni pogon koji se koriste kao traktori za vuču mogu biti spojeni na vučena vozila radi prijevoza neopterećenih ili opterećenih prikolica ili spremnika kada se koriste u lučkom i terminalnom području.</w:t>
      </w:r>
    </w:p>
    <w:p w:rsidR="008A0B0A" w:rsidRPr="007E23E2" w:rsidRDefault="008A0B0A" w:rsidP="005542BD">
      <w:pPr>
        <w:pStyle w:val="LLKappalejako"/>
      </w:pPr>
      <w:r>
        <w:t>Prikolica se može spojiti na terensko vozilo ako spojena masa nije 1,5 puta veća od neopterećene mase terenskog vozila.</w:t>
      </w:r>
    </w:p>
    <w:p w:rsidR="006E245A" w:rsidRPr="007E23E2" w:rsidRDefault="006E245A" w:rsidP="005542BD">
      <w:pPr>
        <w:pStyle w:val="LLKappalejako"/>
      </w:pPr>
    </w:p>
    <w:p w:rsidR="008A0B0A" w:rsidRPr="007E23E2" w:rsidRDefault="008A0B0A" w:rsidP="00C245D5">
      <w:pPr>
        <w:pStyle w:val="LLPykala"/>
        <w:keepNext/>
      </w:pPr>
      <w:r>
        <w:t>Članak 45.</w:t>
      </w:r>
    </w:p>
    <w:p w:rsidR="008A0B0A" w:rsidRPr="007E23E2" w:rsidRDefault="008A0B0A" w:rsidP="00C245D5">
      <w:pPr>
        <w:pStyle w:val="LLPykalanOtsikko"/>
        <w:keepNext/>
      </w:pPr>
      <w:r>
        <w:t>Prijevoz robe</w:t>
      </w:r>
    </w:p>
    <w:p w:rsidR="008A0B0A" w:rsidRPr="007E23E2" w:rsidRDefault="008A0B0A" w:rsidP="006E245A">
      <w:pPr>
        <w:pStyle w:val="LLKappalejako"/>
      </w:pPr>
      <w:r>
        <w:t>Vozilo se ne smije opteretiti tako da se teret proteže bočno izvan nadogradnje ili prostora za utovar vozila. Ako vozilo nema nadogradnje, teret u prostoru za utovar smije premašiti širinu vozila mjereno na prednjoj osovini najviše za 0,35 metara. Međutim, ograničenje se ne primjenjuje na prijevoz čamca.</w:t>
      </w:r>
    </w:p>
    <w:p w:rsidR="008A0B0A" w:rsidRPr="007E23E2" w:rsidRDefault="008A0B0A" w:rsidP="006E245A">
      <w:pPr>
        <w:pStyle w:val="LLKappalejako"/>
      </w:pPr>
      <w:r>
        <w:t xml:space="preserve">Prema ograničenjima za najveću dopuštenu duljinu za vozila i skupine vozila, teret se može protezati prema naprijed od prednje strane za najviše jedan metar te prema stražnjoj strani za najviše dva metra iza krajnje stražnje točke vozila. Ako skupina vozila ne ispunjava zahtjeve u pogledu manevarskih sposobnosti utvrđenih u članku 26. stavcima 1. ili 2., teret se može protezati prema stražnjoj strani najviše jedan metar iza krajnje stražnje točke vozila. No, teret na vozilu smije premašivati najveću dopuštenu duljinu na stražnjoj strani kada je prikolica spojena na vozilo. K tomu, teret može premašivati najveću dopuštenu duljinu za vučno vozilo tijekom kratkih transfera povezanih s utovarom i istovarom. Zahtjev za premašivanje najveće </w:t>
      </w:r>
      <w:r>
        <w:lastRenderedPageBreak/>
        <w:t>dopuštene duljine je da postupak opterećivanja ne predstavlja rizik za teret koji se nalazi u vučnom vozilu koji udara prikolicu ili teret koji se nalazi u prikolici. U pogledu drugih stvari, postupak opterećivanja ne smije predstavljati rizik za sigurnost prometa.</w:t>
      </w:r>
    </w:p>
    <w:p w:rsidR="008A0B0A" w:rsidRPr="007E23E2" w:rsidRDefault="008A0B0A" w:rsidP="006E245A">
      <w:pPr>
        <w:pStyle w:val="LLKappalejako"/>
      </w:pPr>
      <w:r>
        <w:t>Masa robe koja se prevozi na krovu osobnog automobila (kategorije M</w:t>
      </w:r>
      <w:r>
        <w:rPr>
          <w:vertAlign w:val="subscript"/>
        </w:rPr>
        <w:t>1</w:t>
      </w:r>
      <w:r>
        <w:t>) ne smije, unutar ograničenja dopuštenih masa vozila, biti veća od 10 % neopterećene mase vozila.</w:t>
      </w:r>
    </w:p>
    <w:p w:rsidR="008A0B0A" w:rsidRPr="007E23E2" w:rsidRDefault="008A0B0A" w:rsidP="006E245A">
      <w:pPr>
        <w:pStyle w:val="LLKappalejako"/>
      </w:pPr>
      <w:r>
        <w:t>Vozilo na dva kotača može se upotrijebiti za prijevoz najviše 50 kg robe, a vozilo s najmanje tri kotača može se upotrijebiti za prijevoz 100 kg robe. Međutim, za vozilo namijenjeno za prijevoz robe, zajednička masa osoba i robe, u skladu s ukupnom dopuštenom masom prema proizvođaču, ne smije prelaziti 250 kilograma, ako se mogućnost upravljanja vozilom namijenjenim za prijevoz robe i prikolice osigurava dodatnim kotačima ili kočnim uređajima ili drugim rješenjima proizvođača.</w:t>
      </w:r>
    </w:p>
    <w:p w:rsidR="008A0B0A" w:rsidRPr="007E23E2" w:rsidRDefault="008A0B0A" w:rsidP="006E245A">
      <w:pPr>
        <w:pStyle w:val="LLKappalejako"/>
      </w:pPr>
      <w:r>
        <w:t>S iznimkom prijevoza prikolicom iz članka 36. stavka 1., radni stroj na motorni pogon ne smije se koristiti za bilo kakav prijevoz osim prijevoza koji se obavlja na lokaciji rada i koji je povezan sa stvarnom namijenjenom primjenom radnog stroja.</w:t>
      </w:r>
    </w:p>
    <w:p w:rsidR="008A0B0A" w:rsidRPr="007E23E2" w:rsidRDefault="008A0B0A" w:rsidP="006E245A">
      <w:pPr>
        <w:pStyle w:val="LLKappalejako"/>
      </w:pPr>
      <w:r>
        <w:t>U slučaju lakog električnog vozila ukupna masa osoba i robe može biti u skladu s najvećom ovlaštenom masom koji je prijavio proizvođač, ne više od 250 kilograma.</w:t>
      </w:r>
    </w:p>
    <w:p w:rsidR="008A0B0A" w:rsidRPr="007E23E2" w:rsidRDefault="008A0B0A" w:rsidP="006E245A">
      <w:pPr>
        <w:pStyle w:val="LLMomentinJohdantoKappale"/>
      </w:pPr>
      <w:r>
        <w:t>Zajednička masa osoba i robe ne smije prijeći najveću dopuštenu masu koji je prijavio proizvođač. Međutim, zajednička masa osoba i robe u vozilu namijenjenom za prijevoz robe ne smije prijeći:</w:t>
      </w:r>
    </w:p>
    <w:p w:rsidR="008A0B0A" w:rsidRPr="007E23E2" w:rsidRDefault="00357D0C" w:rsidP="006E245A">
      <w:pPr>
        <w:pStyle w:val="LLMomentinAlakohta"/>
      </w:pPr>
      <w:r>
        <w:t xml:space="preserve">1) 375 kilograma u slučaju mopeda s tri kotača osmišljenog za gospodarske svrhe ili lakog poluzatvorenog </w:t>
      </w:r>
      <w:proofErr w:type="spellStart"/>
      <w:r>
        <w:t>četverocikla</w:t>
      </w:r>
      <w:proofErr w:type="spellEnd"/>
      <w:r>
        <w:t xml:space="preserve"> za gospodarske svrhe</w:t>
      </w:r>
    </w:p>
    <w:p w:rsidR="008A0B0A" w:rsidRPr="007E23E2" w:rsidRDefault="00357D0C" w:rsidP="006E245A">
      <w:pPr>
        <w:pStyle w:val="LLMomentinAlakohta"/>
      </w:pPr>
      <w:r>
        <w:t xml:space="preserve">2) 675 kilograma u slučaju lakog cestovnog </w:t>
      </w:r>
      <w:proofErr w:type="spellStart"/>
      <w:r>
        <w:t>četverocikla</w:t>
      </w:r>
      <w:proofErr w:type="spellEnd"/>
      <w:r>
        <w:t xml:space="preserve"> ili teškog terenskog </w:t>
      </w:r>
      <w:proofErr w:type="spellStart"/>
      <w:r>
        <w:t>četverocikla</w:t>
      </w:r>
      <w:proofErr w:type="spellEnd"/>
    </w:p>
    <w:p w:rsidR="008A0B0A" w:rsidRPr="007E23E2" w:rsidRDefault="00357D0C" w:rsidP="006E245A">
      <w:pPr>
        <w:pStyle w:val="LLMomentinAlakohta"/>
      </w:pPr>
      <w:r>
        <w:t xml:space="preserve">3) 1 075 kilograma u slučaju komercijalnog tricikla ili teškog poluzatvorenog </w:t>
      </w:r>
      <w:proofErr w:type="spellStart"/>
      <w:r>
        <w:t>četverocikla</w:t>
      </w:r>
      <w:proofErr w:type="spellEnd"/>
      <w:r>
        <w:t xml:space="preserve"> za gospodarske svrhe.</w:t>
      </w:r>
    </w:p>
    <w:p w:rsidR="006E245A" w:rsidRPr="007E23E2" w:rsidRDefault="006E245A" w:rsidP="006E245A">
      <w:pPr>
        <w:pStyle w:val="LLNormaali"/>
      </w:pPr>
    </w:p>
    <w:p w:rsidR="008A0B0A" w:rsidRPr="007E23E2" w:rsidRDefault="008A0B0A" w:rsidP="00C245D5">
      <w:pPr>
        <w:pStyle w:val="LLPykala"/>
        <w:keepNext/>
      </w:pPr>
      <w:r>
        <w:t>Članak 46.</w:t>
      </w:r>
    </w:p>
    <w:p w:rsidR="008A0B0A" w:rsidRPr="007E23E2" w:rsidRDefault="008A0B0A" w:rsidP="00C245D5">
      <w:pPr>
        <w:pStyle w:val="LLPykalanOtsikko"/>
        <w:keepNext/>
      </w:pPr>
      <w:r>
        <w:t>Položaj tereta</w:t>
      </w:r>
    </w:p>
    <w:p w:rsidR="008A0B0A" w:rsidRPr="007E23E2" w:rsidRDefault="008A0B0A" w:rsidP="006E245A">
      <w:pPr>
        <w:pStyle w:val="LLKappalejako"/>
      </w:pPr>
      <w:r>
        <w:t>Teret mora biti dosljedna cjelina i mora biti smješten što je niže moguće. Središte tereta mora se nalaziti što je niže moguće i biti blizu uzdužne središnje linije vozila. U skupini vozila i nekoliko prikolica, teret mora biti položen što je bliže moguće prednjem dijelu, uzimajući u obzir cijelu skupinu. Vozilo ne smije biti opterećeno na način u kojem je težište vozila više od onog koje je tehnički dozvoljeno za vozilo.</w:t>
      </w:r>
    </w:p>
    <w:p w:rsidR="008A0B0A" w:rsidRPr="007E23E2" w:rsidRDefault="008A0B0A" w:rsidP="006E245A">
      <w:pPr>
        <w:pStyle w:val="LLKappalejako"/>
      </w:pPr>
      <w:r>
        <w:t>U mjeri u kojoj je to moguće, teret mora biti podržan za pristup prostoru za utovar sprijeda. Svi oštri dijelovi teretnih artikala moraju biti okrenuti unatrag.</w:t>
      </w:r>
    </w:p>
    <w:p w:rsidR="008A0B0A" w:rsidRPr="007E23E2" w:rsidRDefault="008A0B0A" w:rsidP="006E245A">
      <w:pPr>
        <w:pStyle w:val="LLKappalejako"/>
      </w:pPr>
      <w:r>
        <w:t>Prikolica sa središnjom osovinom mora biti opterećena tako da djeluje silom u smjeru prema dolje na spojnicu vučnog vozila. Sila usmjerena prema dolje može iznositi najviše 10 % dopuštene mase na osovinama prikolice ili sila istovjetna masi od 1000 kilograma, koja god sila je manja. Sila usmjerena prema dolje ne smije premašiti dopuštene sile za spojena vozila ili spojnice.</w:t>
      </w:r>
    </w:p>
    <w:p w:rsidR="006E245A" w:rsidRPr="007E23E2" w:rsidRDefault="006E245A" w:rsidP="006E245A">
      <w:pPr>
        <w:pStyle w:val="LLNormaali"/>
      </w:pPr>
    </w:p>
    <w:p w:rsidR="008A0B0A" w:rsidRPr="007E23E2" w:rsidRDefault="008A0B0A" w:rsidP="00C245D5">
      <w:pPr>
        <w:pStyle w:val="LLPykala"/>
        <w:keepNext/>
      </w:pPr>
      <w:r>
        <w:t>Članak 51.b</w:t>
      </w:r>
    </w:p>
    <w:p w:rsidR="008A0B0A" w:rsidRPr="007E23E2" w:rsidRDefault="008A0B0A" w:rsidP="00C245D5">
      <w:pPr>
        <w:pStyle w:val="LLPykalanOtsikko"/>
        <w:keepNext/>
      </w:pPr>
      <w:r>
        <w:t>Oznake za dugačke skupine vozila</w:t>
      </w:r>
    </w:p>
    <w:p w:rsidR="008A0B0A" w:rsidRPr="007E23E2" w:rsidRDefault="008A0B0A" w:rsidP="006E245A">
      <w:pPr>
        <w:pStyle w:val="LLKappalejako"/>
      </w:pPr>
      <w:r>
        <w:t xml:space="preserve">Skupina vozila koja prelazi 15,5 metara duljine i koja se sastoji od kamiona i prikolice/a mora imati pločicu za označivanje usporedivu s izvornom verzijom Pravilnika UNECE-a br. 70, kako je izmijenjena posljednjim nizom izmjena. Kao druga mogućnost, pločica za označivanje mora biti pričvršćena na skupinu vozila. Dimenzije spomenute u pločicama za označivanje moraju biti najmanje 0,30 m x 0,80 m i moraju imati sliku s crnom skupinom vozila na žutoj </w:t>
      </w:r>
      <w:proofErr w:type="spellStart"/>
      <w:r>
        <w:lastRenderedPageBreak/>
        <w:t>retroreflektirajućoj</w:t>
      </w:r>
      <w:proofErr w:type="spellEnd"/>
      <w:r>
        <w:t xml:space="preserve"> podlozi i 25 mm široki crveni fluorescentni ili </w:t>
      </w:r>
      <w:proofErr w:type="spellStart"/>
      <w:r>
        <w:t>retroreflektirajući</w:t>
      </w:r>
      <w:proofErr w:type="spellEnd"/>
      <w:r>
        <w:t xml:space="preserve"> rub na kojem mora biti navedena duljina skupine.</w:t>
      </w:r>
    </w:p>
    <w:p w:rsidR="008A0B0A" w:rsidRPr="007E23E2" w:rsidRDefault="008A0B0A" w:rsidP="006E245A">
      <w:pPr>
        <w:pStyle w:val="LLKappalejako"/>
      </w:pPr>
      <w:r>
        <w:t xml:space="preserve">Osim prethodno spomenutih odredbi utvrđenih u prethodno navedenom stavku 1., skupina sastavljena od kamiona i poluprikolice koja prelazi 18,75 metara duljine i druge skupine vozila koje prelaze 25,25 metara duljine moraju imati </w:t>
      </w:r>
      <w:proofErr w:type="spellStart"/>
      <w:r>
        <w:t>retroreflektirajuće</w:t>
      </w:r>
      <w:proofErr w:type="spellEnd"/>
      <w:r>
        <w:t xml:space="preserve"> oznake obrisa na bočnim stranama vozila i neobavezna gabaritna svjetla navedena u stavku 6.13 Pravilnika UNECE-a br. 48 koja se postavljaju na posljednju prikolicu.</w:t>
      </w:r>
    </w:p>
    <w:p w:rsidR="008A0B0A" w:rsidRPr="007E23E2" w:rsidRDefault="008A0B0A" w:rsidP="006E245A">
      <w:pPr>
        <w:pStyle w:val="LLKappalejako"/>
      </w:pPr>
      <w:r>
        <w:t>Skupina vozila koja prelazi 25,25 metara duljine mora imati pločicu za označivanje veličine najmanje 0,5 m</w:t>
      </w:r>
      <w:r>
        <w:rPr>
          <w:vertAlign w:val="superscript"/>
        </w:rPr>
        <w:t>2</w:t>
      </w:r>
      <w:r>
        <w:t xml:space="preserve">. Boja i </w:t>
      </w:r>
      <w:proofErr w:type="spellStart"/>
      <w:r>
        <w:t>retroreflektirajuće</w:t>
      </w:r>
      <w:proofErr w:type="spellEnd"/>
      <w:r>
        <w:t xml:space="preserve"> značajke pločice moraju biti u skladu sa zahtjevima Pravilnika UNECE-a br. 70 i pločica mora sadržavati riječ „PITKÄ“ ili odgovarajuću riječ na švedskome ili engleskome, napisanu velikim slovima visokima najmanje 200 mm. Pločica za označivanje također može sadržavati informacije povezane s duljinom prijevoza.</w:t>
      </w:r>
    </w:p>
    <w:p w:rsidR="006E245A" w:rsidRPr="007E23E2" w:rsidRDefault="006E245A" w:rsidP="006E245A">
      <w:pPr>
        <w:pStyle w:val="LLNormaali"/>
      </w:pPr>
    </w:p>
    <w:p w:rsidR="008A0B0A" w:rsidRPr="007E23E2" w:rsidRDefault="008A0B0A" w:rsidP="00C245D5">
      <w:pPr>
        <w:pStyle w:val="LLPykala"/>
        <w:keepNext/>
      </w:pPr>
      <w:r>
        <w:t>Članak 52.</w:t>
      </w:r>
    </w:p>
    <w:p w:rsidR="008A0B0A" w:rsidRPr="007E23E2" w:rsidRDefault="008A0B0A" w:rsidP="00C245D5">
      <w:pPr>
        <w:pStyle w:val="LLPykalanOtsikko"/>
        <w:keepNext/>
      </w:pPr>
      <w:r>
        <w:t>Homologacija vozila i skupina vozila koja će biti puštena u promet odstupajući od odredbi o dimenzijama i masama</w:t>
      </w:r>
    </w:p>
    <w:p w:rsidR="008A0B0A" w:rsidRPr="007E23E2" w:rsidRDefault="008A0B0A" w:rsidP="006E245A">
      <w:pPr>
        <w:pStyle w:val="LLKappalejako"/>
      </w:pPr>
      <w:r>
        <w:t>Finska agencija za sigurnost prometa može odobriti izuzetak od odredbi iz članaka 20., 21., 23., 23.a, 24. – 26., 31., 32., 32.a i 32.b za pojedinačno motorno vozilo ili skupinu vozila ako je to potrebno u svrhu ispitivanja nove tehnologije, razvoja proizvoda ili drugog posebnog razloga. Nadalje, izuzeće ne smije ugroziti cestovnu sigurnost i ne smije narušavati tržišno natjecanje. Izuzeće može biti odobreno za fiksno razdoblje i može podlijegati uvjetima.</w:t>
      </w:r>
    </w:p>
    <w:p w:rsidR="008A0B0A" w:rsidRPr="007E23E2" w:rsidRDefault="006E245A" w:rsidP="008A0B0A">
      <w:pPr>
        <w:pStyle w:val="LLNormaali"/>
      </w:pPr>
      <w:r>
        <w:t>— — — — — — — — — — — — — — — —</w:t>
      </w:r>
      <w:r w:rsidR="00D84D1D">
        <w:t xml:space="preserve"> — — — — — — — — — — — — — —</w:t>
      </w:r>
      <w:bookmarkStart w:id="0" w:name="_GoBack"/>
      <w:bookmarkEnd w:id="0"/>
    </w:p>
    <w:p w:rsidR="00357D0C" w:rsidRPr="007E23E2" w:rsidRDefault="008A0B0A" w:rsidP="00557B92">
      <w:pPr>
        <w:pStyle w:val="LLKappalejako"/>
      </w:pPr>
      <w:r>
        <w:t>Ova uredba stupit će na snagu [x] siječnja 2019.</w:t>
      </w:r>
    </w:p>
    <w:p w:rsidR="008A0B0A" w:rsidRPr="007E23E2" w:rsidRDefault="008A0B0A" w:rsidP="00557B92">
      <w:pPr>
        <w:pStyle w:val="LLKappalejako"/>
      </w:pPr>
      <w:r>
        <w:t>Ako je prikolica puštena u uporabu prije [x] siječnja 2019., članak 22. uredbe primjenjivat će se od [x] siječnja 2024.</w:t>
      </w:r>
    </w:p>
    <w:p w:rsidR="008A0B0A" w:rsidRPr="007E23E2" w:rsidRDefault="008A0B0A" w:rsidP="00557B92">
      <w:pPr>
        <w:pStyle w:val="LLKappalejako"/>
      </w:pPr>
      <w:r>
        <w:t>Neovisno o odredbama članka 23. stavka 1. uredbe o masi skupine sastavljene od motornog vozila i poluprikolice, odredbe koje se odnose na masu motornog vozila i poluprikolice na snazi u vrijeme stupanja te uredbe na snagu mogu se primjenjivati na takvu skupinu do 31. prosinca 2023., ako je prikolica puštena u uporabu prije [x] siječnja 2019.</w:t>
      </w:r>
    </w:p>
    <w:p w:rsidR="008A0B0A" w:rsidRPr="007E23E2" w:rsidRDefault="008A0B0A" w:rsidP="00557B92">
      <w:pPr>
        <w:pStyle w:val="LLKappalejako"/>
      </w:pPr>
      <w:r>
        <w:t>Ako je prikolica puštena u uporabu prije [x] siječnja 2019., skupina vozila sastavljena od motornog vozila i prikolice ili nekoliko prikolica mora zadovoljiti zahtjeve utvrđene u članku 23. stavku 3. uredbe o zbroju masa na krajnjem stražnjem okretnom postolju vučnog vozila i prednjem okretnom postolju prikolice od [x] siječnja 2024.</w:t>
      </w:r>
    </w:p>
    <w:p w:rsidR="008A0B0A" w:rsidRPr="007E23E2" w:rsidRDefault="008A0B0A" w:rsidP="00557B92">
      <w:pPr>
        <w:pStyle w:val="LLKappalejako"/>
      </w:pPr>
      <w:r>
        <w:t>Ako je vozilo odobreno za promet prije [x] siječnja 2019. kao vozilo za prijevoz izvanrednog tereta na temelju dopuštenih dimenzija ili masa na snazi u vrijeme stupanja uredbe na snagu, takvo vozilo može se koristiti za prijevoz izvanrednog tereta u okviru odredbi na snazi u vrijeme stupanja uredbe na snagu.</w:t>
      </w:r>
    </w:p>
    <w:p w:rsidR="00557B92" w:rsidRPr="007E23E2" w:rsidRDefault="00557B92" w:rsidP="00557B92">
      <w:pPr>
        <w:pStyle w:val="LLNormaali"/>
        <w:jc w:val="center"/>
      </w:pPr>
      <w:r>
        <w:t>—————</w:t>
      </w:r>
    </w:p>
    <w:p w:rsidR="00620F51" w:rsidRPr="007E23E2" w:rsidRDefault="00620F51" w:rsidP="00620F51">
      <w:pPr>
        <w:pStyle w:val="LLNormaali"/>
      </w:pPr>
    </w:p>
    <w:p w:rsidR="004C03B8" w:rsidRPr="007E23E2" w:rsidRDefault="004C03B8" w:rsidP="004C03B8">
      <w:pPr>
        <w:pStyle w:val="LLPaivays"/>
      </w:pPr>
      <w:r>
        <w:t>Helsinki, [datum] [mjesec] 20XX</w:t>
      </w:r>
    </w:p>
    <w:sectPr w:rsidR="004C03B8" w:rsidRPr="007E23E2" w:rsidSect="00C85EB5">
      <w:headerReference w:type="default" r:id="rId7"/>
      <w:footerReference w:type="even" r:id="rId8"/>
      <w:footerReference w:type="default" r:id="rId9"/>
      <w:headerReference w:type="first" r:id="rId10"/>
      <w:footerReference w:type="first" r:id="rId11"/>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AAF" w:rsidRDefault="00B20AAF">
      <w:r>
        <w:separator/>
      </w:r>
    </w:p>
  </w:endnote>
  <w:endnote w:type="continuationSeparator" w:id="0">
    <w:p w:rsidR="00B20AAF" w:rsidRDefault="00B20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等线 Light">
    <w:altName w:val="DengXian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altName w:val="DengXia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0" w:rsidRDefault="00690920"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0920" w:rsidRDefault="00690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690920" w:rsidTr="000C5020">
      <w:trPr>
        <w:trHeight w:hRule="exact" w:val="356"/>
      </w:trPr>
      <w:tc>
        <w:tcPr>
          <w:tcW w:w="2828" w:type="dxa"/>
          <w:shd w:val="clear" w:color="auto" w:fill="auto"/>
          <w:vAlign w:val="bottom"/>
        </w:tcPr>
        <w:p w:rsidR="00690920" w:rsidRPr="000C5020" w:rsidRDefault="00690920" w:rsidP="001310B9">
          <w:pPr>
            <w:pStyle w:val="Footer"/>
            <w:rPr>
              <w:sz w:val="18"/>
              <w:szCs w:val="18"/>
            </w:rPr>
          </w:pPr>
        </w:p>
      </w:tc>
      <w:tc>
        <w:tcPr>
          <w:tcW w:w="2829" w:type="dxa"/>
          <w:shd w:val="clear" w:color="auto" w:fill="auto"/>
          <w:vAlign w:val="bottom"/>
        </w:tcPr>
        <w:p w:rsidR="00690920" w:rsidRPr="000C5020" w:rsidRDefault="00690920" w:rsidP="000C5020">
          <w:pPr>
            <w:pStyle w:val="Footer"/>
            <w:jc w:val="center"/>
            <w:rPr>
              <w:sz w:val="22"/>
              <w:szCs w:val="22"/>
            </w:rPr>
          </w:pPr>
          <w:r w:rsidRPr="000C5020">
            <w:rPr>
              <w:rStyle w:val="PageNumber"/>
              <w:sz w:val="22"/>
            </w:rPr>
            <w:fldChar w:fldCharType="begin"/>
          </w:r>
          <w:r w:rsidRPr="000C5020">
            <w:rPr>
              <w:rStyle w:val="PageNumber"/>
              <w:sz w:val="22"/>
            </w:rPr>
            <w:instrText xml:space="preserve"> PAGE </w:instrText>
          </w:r>
          <w:r w:rsidRPr="000C5020">
            <w:rPr>
              <w:rStyle w:val="PageNumber"/>
              <w:sz w:val="22"/>
            </w:rPr>
            <w:fldChar w:fldCharType="separate"/>
          </w:r>
          <w:r w:rsidR="00D84D1D">
            <w:rPr>
              <w:rStyle w:val="PageNumber"/>
              <w:noProof/>
              <w:sz w:val="22"/>
            </w:rPr>
            <w:t>13</w:t>
          </w:r>
          <w:r w:rsidRPr="000C5020">
            <w:rPr>
              <w:rStyle w:val="PageNumber"/>
              <w:sz w:val="22"/>
            </w:rPr>
            <w:fldChar w:fldCharType="end"/>
          </w:r>
        </w:p>
      </w:tc>
      <w:tc>
        <w:tcPr>
          <w:tcW w:w="2829" w:type="dxa"/>
          <w:shd w:val="clear" w:color="auto" w:fill="auto"/>
          <w:vAlign w:val="bottom"/>
        </w:tcPr>
        <w:p w:rsidR="00690920" w:rsidRPr="000C5020" w:rsidRDefault="00690920" w:rsidP="001310B9">
          <w:pPr>
            <w:pStyle w:val="Footer"/>
            <w:rPr>
              <w:sz w:val="18"/>
              <w:szCs w:val="18"/>
            </w:rPr>
          </w:pPr>
        </w:p>
      </w:tc>
    </w:tr>
  </w:tbl>
  <w:p w:rsidR="00690920" w:rsidRDefault="00690920" w:rsidP="001310B9">
    <w:pPr>
      <w:pStyle w:val="Footer"/>
    </w:pPr>
  </w:p>
  <w:p w:rsidR="00690920" w:rsidRDefault="00690920" w:rsidP="001310B9">
    <w:pPr>
      <w:pStyle w:val="Footer"/>
      <w:framePr w:wrap="around" w:vAnchor="text" w:hAnchor="page" w:x="5921" w:y="729"/>
      <w:rPr>
        <w:rStyle w:val="PageNumber"/>
      </w:rPr>
    </w:pPr>
  </w:p>
  <w:p w:rsidR="00690920" w:rsidRDefault="00690920" w:rsidP="001310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690920" w:rsidTr="000C5020">
      <w:trPr>
        <w:trHeight w:val="841"/>
      </w:trPr>
      <w:tc>
        <w:tcPr>
          <w:tcW w:w="2829" w:type="dxa"/>
          <w:shd w:val="clear" w:color="auto" w:fill="auto"/>
        </w:tcPr>
        <w:p w:rsidR="00690920" w:rsidRPr="000C5020" w:rsidRDefault="00690920" w:rsidP="005224A0">
          <w:pPr>
            <w:pStyle w:val="Footer"/>
            <w:rPr>
              <w:sz w:val="17"/>
              <w:szCs w:val="18"/>
            </w:rPr>
          </w:pPr>
        </w:p>
      </w:tc>
      <w:tc>
        <w:tcPr>
          <w:tcW w:w="2829" w:type="dxa"/>
          <w:shd w:val="clear" w:color="auto" w:fill="auto"/>
          <w:vAlign w:val="bottom"/>
        </w:tcPr>
        <w:p w:rsidR="00690920" w:rsidRPr="000C5020" w:rsidRDefault="00690920" w:rsidP="000C5020">
          <w:pPr>
            <w:pStyle w:val="Footer"/>
            <w:jc w:val="center"/>
            <w:rPr>
              <w:sz w:val="22"/>
              <w:szCs w:val="22"/>
            </w:rPr>
          </w:pPr>
        </w:p>
      </w:tc>
      <w:tc>
        <w:tcPr>
          <w:tcW w:w="2829" w:type="dxa"/>
          <w:shd w:val="clear" w:color="auto" w:fill="auto"/>
        </w:tcPr>
        <w:p w:rsidR="00690920" w:rsidRPr="000C5020" w:rsidRDefault="00690920" w:rsidP="005224A0">
          <w:pPr>
            <w:pStyle w:val="Footer"/>
            <w:rPr>
              <w:sz w:val="17"/>
              <w:szCs w:val="18"/>
            </w:rPr>
          </w:pPr>
        </w:p>
      </w:tc>
    </w:tr>
  </w:tbl>
  <w:p w:rsidR="00690920" w:rsidRPr="001310B9" w:rsidRDefault="00690920">
    <w:pPr>
      <w:pStyle w:val="Footer"/>
      <w:rPr>
        <w:sz w:val="22"/>
        <w:szCs w:val="22"/>
      </w:rPr>
    </w:pPr>
  </w:p>
  <w:p w:rsidR="00690920" w:rsidRDefault="00690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AAF" w:rsidRDefault="00B20AAF">
      <w:r>
        <w:separator/>
      </w:r>
    </w:p>
  </w:footnote>
  <w:footnote w:type="continuationSeparator" w:id="0">
    <w:p w:rsidR="00B20AAF" w:rsidRDefault="00B20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C95716">
      <w:tc>
        <w:tcPr>
          <w:tcW w:w="2140" w:type="dxa"/>
        </w:tcPr>
        <w:p w:rsidR="00690920" w:rsidRDefault="00690920" w:rsidP="00C95716">
          <w:pPr>
            <w:pStyle w:val="LLNormaali"/>
          </w:pPr>
        </w:p>
      </w:tc>
      <w:tc>
        <w:tcPr>
          <w:tcW w:w="4281" w:type="dxa"/>
          <w:gridSpan w:val="2"/>
        </w:tcPr>
        <w:p w:rsidR="00690920" w:rsidRDefault="00690920" w:rsidP="00C95716">
          <w:pPr>
            <w:pStyle w:val="LLNormaali"/>
            <w:jc w:val="center"/>
          </w:pPr>
        </w:p>
      </w:tc>
      <w:tc>
        <w:tcPr>
          <w:tcW w:w="2141" w:type="dxa"/>
        </w:tcPr>
        <w:p w:rsidR="00690920" w:rsidRDefault="00690920" w:rsidP="00C95716">
          <w:pPr>
            <w:pStyle w:val="LLNormaali"/>
          </w:pPr>
        </w:p>
      </w:tc>
    </w:tr>
    <w:tr w:rsidR="00690920" w:rsidTr="00C95716">
      <w:tc>
        <w:tcPr>
          <w:tcW w:w="4281" w:type="dxa"/>
          <w:gridSpan w:val="2"/>
        </w:tcPr>
        <w:p w:rsidR="00690920" w:rsidRPr="00AC3BA6" w:rsidRDefault="00690920" w:rsidP="00C95716">
          <w:pPr>
            <w:pStyle w:val="LLNormaali"/>
            <w:rPr>
              <w:i/>
            </w:rPr>
          </w:pPr>
        </w:p>
      </w:tc>
      <w:tc>
        <w:tcPr>
          <w:tcW w:w="4281" w:type="dxa"/>
          <w:gridSpan w:val="2"/>
        </w:tcPr>
        <w:p w:rsidR="00690920" w:rsidRPr="00AC3BA6" w:rsidRDefault="00690920" w:rsidP="00C95716">
          <w:pPr>
            <w:pStyle w:val="LLNormaali"/>
            <w:rPr>
              <w:i/>
            </w:rPr>
          </w:pPr>
        </w:p>
      </w:tc>
    </w:tr>
  </w:tbl>
  <w:p w:rsidR="00690920" w:rsidRDefault="00690920" w:rsidP="00007EA2">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F674CC">
      <w:tc>
        <w:tcPr>
          <w:tcW w:w="2140" w:type="dxa"/>
        </w:tcPr>
        <w:p w:rsidR="00690920" w:rsidRDefault="00690920" w:rsidP="00F674CC">
          <w:pPr>
            <w:pStyle w:val="LLNormaali"/>
          </w:pPr>
        </w:p>
      </w:tc>
      <w:tc>
        <w:tcPr>
          <w:tcW w:w="4281" w:type="dxa"/>
          <w:gridSpan w:val="2"/>
        </w:tcPr>
        <w:p w:rsidR="00690920" w:rsidRDefault="00690920" w:rsidP="00F674CC">
          <w:pPr>
            <w:pStyle w:val="LLNormaali"/>
            <w:jc w:val="center"/>
          </w:pPr>
        </w:p>
      </w:tc>
      <w:tc>
        <w:tcPr>
          <w:tcW w:w="2141" w:type="dxa"/>
        </w:tcPr>
        <w:p w:rsidR="00690920" w:rsidRDefault="00690920" w:rsidP="00F674CC">
          <w:pPr>
            <w:pStyle w:val="LLNormaali"/>
          </w:pPr>
        </w:p>
      </w:tc>
    </w:tr>
    <w:tr w:rsidR="00690920" w:rsidTr="00F674CC">
      <w:tc>
        <w:tcPr>
          <w:tcW w:w="4281" w:type="dxa"/>
          <w:gridSpan w:val="2"/>
        </w:tcPr>
        <w:p w:rsidR="00690920" w:rsidRPr="00AC3BA6" w:rsidRDefault="00690920" w:rsidP="00F674CC">
          <w:pPr>
            <w:pStyle w:val="LLNormaali"/>
            <w:rPr>
              <w:i/>
            </w:rPr>
          </w:pPr>
        </w:p>
      </w:tc>
      <w:tc>
        <w:tcPr>
          <w:tcW w:w="4281" w:type="dxa"/>
          <w:gridSpan w:val="2"/>
        </w:tcPr>
        <w:p w:rsidR="00690920" w:rsidRPr="00AC3BA6" w:rsidRDefault="00690920" w:rsidP="00F674CC">
          <w:pPr>
            <w:pStyle w:val="LLNormaali"/>
            <w:rPr>
              <w:i/>
            </w:rPr>
          </w:pPr>
        </w:p>
      </w:tc>
    </w:tr>
  </w:tbl>
  <w:p w:rsidR="00690920" w:rsidRDefault="00690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CE876AD"/>
    <w:multiLevelType w:val="hybridMultilevel"/>
    <w:tmpl w:val="284C5E3C"/>
    <w:lvl w:ilvl="0" w:tplc="1C763D46">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16"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0"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3"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9"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5"/>
  </w:num>
  <w:num w:numId="4">
    <w:abstractNumId w:val="4"/>
  </w:num>
  <w:num w:numId="5">
    <w:abstractNumId w:val="28"/>
  </w:num>
  <w:num w:numId="6">
    <w:abstractNumId w:val="21"/>
  </w:num>
  <w:num w:numId="7">
    <w:abstractNumId w:val="24"/>
  </w:num>
  <w:num w:numId="8">
    <w:abstractNumId w:val="41"/>
  </w:num>
  <w:num w:numId="9">
    <w:abstractNumId w:val="36"/>
  </w:num>
  <w:num w:numId="10">
    <w:abstractNumId w:val="26"/>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6"/>
  </w:num>
  <w:num w:numId="18">
    <w:abstractNumId w:val="5"/>
  </w:num>
  <w:num w:numId="19">
    <w:abstractNumId w:val="29"/>
  </w:num>
  <w:num w:numId="20">
    <w:abstractNumId w:val="17"/>
  </w:num>
  <w:num w:numId="21">
    <w:abstractNumId w:val="35"/>
  </w:num>
  <w:num w:numId="22">
    <w:abstractNumId w:val="0"/>
  </w:num>
  <w:num w:numId="23">
    <w:abstractNumId w:val="3"/>
  </w:num>
  <w:num w:numId="24">
    <w:abstractNumId w:val="7"/>
  </w:num>
  <w:num w:numId="25">
    <w:abstractNumId w:val="10"/>
  </w:num>
  <w:num w:numId="26">
    <w:abstractNumId w:val="23"/>
  </w:num>
  <w:num w:numId="27">
    <w:abstractNumId w:val="19"/>
  </w:num>
  <w:num w:numId="28">
    <w:abstractNumId w:val="43"/>
  </w:num>
  <w:num w:numId="29">
    <w:abstractNumId w:val="34"/>
  </w:num>
  <w:num w:numId="30">
    <w:abstractNumId w:val="27"/>
  </w:num>
  <w:num w:numId="31">
    <w:abstractNumId w:val="18"/>
  </w:num>
  <w:num w:numId="32">
    <w:abstractNumId w:val="20"/>
  </w:num>
  <w:num w:numId="33">
    <w:abstractNumId w:val="6"/>
  </w:num>
  <w:num w:numId="34">
    <w:abstractNumId w:val="37"/>
  </w:num>
  <w:num w:numId="35">
    <w:abstractNumId w:val="14"/>
  </w:num>
  <w:num w:numId="36">
    <w:abstractNumId w:val="22"/>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GB" w:vendorID="64" w:dllVersion="131078" w:nlCheck="1" w:checkStyle="1"/>
  <w:activeWritingStyle w:appName="MSWord" w:lang="fi-FI" w:vendorID="22" w:dllVersion="513" w:checkStyle="1"/>
  <w:activeWritingStyle w:appName="MSWord" w:lang="sv-SE" w:vendorID="22" w:dllVersion="513"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B0A"/>
    <w:rsid w:val="00000B13"/>
    <w:rsid w:val="00000D79"/>
    <w:rsid w:val="00001C65"/>
    <w:rsid w:val="000026A6"/>
    <w:rsid w:val="00005736"/>
    <w:rsid w:val="00007C03"/>
    <w:rsid w:val="00007EA2"/>
    <w:rsid w:val="00012F4B"/>
    <w:rsid w:val="000131D0"/>
    <w:rsid w:val="0001433B"/>
    <w:rsid w:val="0001582F"/>
    <w:rsid w:val="00015D45"/>
    <w:rsid w:val="000166D0"/>
    <w:rsid w:val="00017270"/>
    <w:rsid w:val="000202BC"/>
    <w:rsid w:val="000208A6"/>
    <w:rsid w:val="0002194F"/>
    <w:rsid w:val="00023201"/>
    <w:rsid w:val="00024B6D"/>
    <w:rsid w:val="00030044"/>
    <w:rsid w:val="0003265F"/>
    <w:rsid w:val="0003393F"/>
    <w:rsid w:val="00034B95"/>
    <w:rsid w:val="0003652F"/>
    <w:rsid w:val="000370C8"/>
    <w:rsid w:val="00040D23"/>
    <w:rsid w:val="00043723"/>
    <w:rsid w:val="00045508"/>
    <w:rsid w:val="00047B66"/>
    <w:rsid w:val="000502E9"/>
    <w:rsid w:val="00050C95"/>
    <w:rsid w:val="00052549"/>
    <w:rsid w:val="00052E56"/>
    <w:rsid w:val="000543D1"/>
    <w:rsid w:val="000608D6"/>
    <w:rsid w:val="00061325"/>
    <w:rsid w:val="000614BC"/>
    <w:rsid w:val="00061565"/>
    <w:rsid w:val="00061FE7"/>
    <w:rsid w:val="000627CD"/>
    <w:rsid w:val="00062A38"/>
    <w:rsid w:val="00063DCC"/>
    <w:rsid w:val="00066DC3"/>
    <w:rsid w:val="000677E9"/>
    <w:rsid w:val="00070B45"/>
    <w:rsid w:val="000722C4"/>
    <w:rsid w:val="00075ADB"/>
    <w:rsid w:val="000769BB"/>
    <w:rsid w:val="00077867"/>
    <w:rsid w:val="000811EC"/>
    <w:rsid w:val="00083E71"/>
    <w:rsid w:val="00084034"/>
    <w:rsid w:val="00086D51"/>
    <w:rsid w:val="00086E44"/>
    <w:rsid w:val="0009275E"/>
    <w:rsid w:val="00094938"/>
    <w:rsid w:val="00095E38"/>
    <w:rsid w:val="000968AF"/>
    <w:rsid w:val="00096F94"/>
    <w:rsid w:val="00097836"/>
    <w:rsid w:val="000A11C9"/>
    <w:rsid w:val="000A23C8"/>
    <w:rsid w:val="000A2C2D"/>
    <w:rsid w:val="000A3181"/>
    <w:rsid w:val="000A48BD"/>
    <w:rsid w:val="000A4CC1"/>
    <w:rsid w:val="000A55E5"/>
    <w:rsid w:val="000A6C3E"/>
    <w:rsid w:val="000A6EE3"/>
    <w:rsid w:val="000A7212"/>
    <w:rsid w:val="000A75CB"/>
    <w:rsid w:val="000B0F5F"/>
    <w:rsid w:val="000B2410"/>
    <w:rsid w:val="000B43F5"/>
    <w:rsid w:val="000C13BA"/>
    <w:rsid w:val="000C15D4"/>
    <w:rsid w:val="000C1725"/>
    <w:rsid w:val="000C3A8E"/>
    <w:rsid w:val="000C4809"/>
    <w:rsid w:val="000C5020"/>
    <w:rsid w:val="000D0AA3"/>
    <w:rsid w:val="000D1D74"/>
    <w:rsid w:val="000D3443"/>
    <w:rsid w:val="000D425F"/>
    <w:rsid w:val="000D4882"/>
    <w:rsid w:val="000D5454"/>
    <w:rsid w:val="000D550A"/>
    <w:rsid w:val="000E0B7D"/>
    <w:rsid w:val="000E10A2"/>
    <w:rsid w:val="000E1BB8"/>
    <w:rsid w:val="000E2BF4"/>
    <w:rsid w:val="000E446C"/>
    <w:rsid w:val="000F02E2"/>
    <w:rsid w:val="000F06B2"/>
    <w:rsid w:val="000F1313"/>
    <w:rsid w:val="000F1A50"/>
    <w:rsid w:val="000F1AE5"/>
    <w:rsid w:val="000F1F95"/>
    <w:rsid w:val="000F2F51"/>
    <w:rsid w:val="000F3FDB"/>
    <w:rsid w:val="000F5A45"/>
    <w:rsid w:val="000F66A0"/>
    <w:rsid w:val="000F6DC9"/>
    <w:rsid w:val="000F70C7"/>
    <w:rsid w:val="000F71FD"/>
    <w:rsid w:val="00100EB7"/>
    <w:rsid w:val="00103ACA"/>
    <w:rsid w:val="00103C5F"/>
    <w:rsid w:val="001044A0"/>
    <w:rsid w:val="001063A9"/>
    <w:rsid w:val="00106FD6"/>
    <w:rsid w:val="00107C32"/>
    <w:rsid w:val="001122D6"/>
    <w:rsid w:val="00113CCD"/>
    <w:rsid w:val="00113D42"/>
    <w:rsid w:val="00113FEF"/>
    <w:rsid w:val="00114D89"/>
    <w:rsid w:val="00115E19"/>
    <w:rsid w:val="0011693E"/>
    <w:rsid w:val="00117C3F"/>
    <w:rsid w:val="00120A6F"/>
    <w:rsid w:val="00121E3B"/>
    <w:rsid w:val="0012475C"/>
    <w:rsid w:val="00127D8D"/>
    <w:rsid w:val="001305A0"/>
    <w:rsid w:val="001310B9"/>
    <w:rsid w:val="00136DBF"/>
    <w:rsid w:val="001421FF"/>
    <w:rsid w:val="001534DC"/>
    <w:rsid w:val="001619B4"/>
    <w:rsid w:val="00161A08"/>
    <w:rsid w:val="001628A5"/>
    <w:rsid w:val="00167060"/>
    <w:rsid w:val="00170B5F"/>
    <w:rsid w:val="00171AEB"/>
    <w:rsid w:val="00172F9D"/>
    <w:rsid w:val="001737ED"/>
    <w:rsid w:val="00173F89"/>
    <w:rsid w:val="00174FCA"/>
    <w:rsid w:val="00175AD6"/>
    <w:rsid w:val="00177976"/>
    <w:rsid w:val="001809D8"/>
    <w:rsid w:val="00185F2E"/>
    <w:rsid w:val="0019152A"/>
    <w:rsid w:val="0019244A"/>
    <w:rsid w:val="001942C3"/>
    <w:rsid w:val="00197B82"/>
    <w:rsid w:val="00197F54"/>
    <w:rsid w:val="001A0813"/>
    <w:rsid w:val="001A119D"/>
    <w:rsid w:val="001A15F0"/>
    <w:rsid w:val="001A20EA"/>
    <w:rsid w:val="001A2377"/>
    <w:rsid w:val="001A2585"/>
    <w:rsid w:val="001A2C87"/>
    <w:rsid w:val="001A5FE9"/>
    <w:rsid w:val="001A6BB6"/>
    <w:rsid w:val="001A78D7"/>
    <w:rsid w:val="001B0461"/>
    <w:rsid w:val="001B0E89"/>
    <w:rsid w:val="001B17ED"/>
    <w:rsid w:val="001B1D4B"/>
    <w:rsid w:val="001B3072"/>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7D9"/>
    <w:rsid w:val="001E0895"/>
    <w:rsid w:val="001E2815"/>
    <w:rsid w:val="001E3303"/>
    <w:rsid w:val="001E6CCB"/>
    <w:rsid w:val="001F0934"/>
    <w:rsid w:val="001F5EEB"/>
    <w:rsid w:val="001F6E1A"/>
    <w:rsid w:val="001F7A9D"/>
    <w:rsid w:val="002013EA"/>
    <w:rsid w:val="00203617"/>
    <w:rsid w:val="002042DB"/>
    <w:rsid w:val="002049A0"/>
    <w:rsid w:val="00205F1C"/>
    <w:rsid w:val="002070FC"/>
    <w:rsid w:val="00213078"/>
    <w:rsid w:val="002133C2"/>
    <w:rsid w:val="00214F6B"/>
    <w:rsid w:val="00216F59"/>
    <w:rsid w:val="0021781C"/>
    <w:rsid w:val="00220C7D"/>
    <w:rsid w:val="002233F1"/>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C8C"/>
    <w:rsid w:val="002568F3"/>
    <w:rsid w:val="002600EF"/>
    <w:rsid w:val="00260ED8"/>
    <w:rsid w:val="00261B3D"/>
    <w:rsid w:val="002622E6"/>
    <w:rsid w:val="00263506"/>
    <w:rsid w:val="002637F9"/>
    <w:rsid w:val="002640C3"/>
    <w:rsid w:val="00264177"/>
    <w:rsid w:val="00264939"/>
    <w:rsid w:val="00266690"/>
    <w:rsid w:val="00273F65"/>
    <w:rsid w:val="0027666C"/>
    <w:rsid w:val="002767A8"/>
    <w:rsid w:val="0027698E"/>
    <w:rsid w:val="00276C0A"/>
    <w:rsid w:val="0028520A"/>
    <w:rsid w:val="002866EB"/>
    <w:rsid w:val="00292DB8"/>
    <w:rsid w:val="00293DCE"/>
    <w:rsid w:val="00295268"/>
    <w:rsid w:val="002953B9"/>
    <w:rsid w:val="002A0577"/>
    <w:rsid w:val="002A2066"/>
    <w:rsid w:val="002A4575"/>
    <w:rsid w:val="002A5827"/>
    <w:rsid w:val="002A630E"/>
    <w:rsid w:val="002B0120"/>
    <w:rsid w:val="002B3891"/>
    <w:rsid w:val="002B4A7F"/>
    <w:rsid w:val="002B712B"/>
    <w:rsid w:val="002C19FF"/>
    <w:rsid w:val="002C25AD"/>
    <w:rsid w:val="002C694B"/>
    <w:rsid w:val="002C6F56"/>
    <w:rsid w:val="002D0561"/>
    <w:rsid w:val="002D158A"/>
    <w:rsid w:val="002D1DA4"/>
    <w:rsid w:val="002D2DFF"/>
    <w:rsid w:val="002D4C0B"/>
    <w:rsid w:val="002E0619"/>
    <w:rsid w:val="002E0770"/>
    <w:rsid w:val="002E0859"/>
    <w:rsid w:val="002E136D"/>
    <w:rsid w:val="002E1C57"/>
    <w:rsid w:val="002E58B2"/>
    <w:rsid w:val="002E73F2"/>
    <w:rsid w:val="002F036A"/>
    <w:rsid w:val="002F0DA6"/>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7836"/>
    <w:rsid w:val="003206A2"/>
    <w:rsid w:val="0032557F"/>
    <w:rsid w:val="00326029"/>
    <w:rsid w:val="00327C20"/>
    <w:rsid w:val="0033013E"/>
    <w:rsid w:val="00331079"/>
    <w:rsid w:val="00332AFA"/>
    <w:rsid w:val="0033438A"/>
    <w:rsid w:val="00334D23"/>
    <w:rsid w:val="00336539"/>
    <w:rsid w:val="00337046"/>
    <w:rsid w:val="00337B35"/>
    <w:rsid w:val="00342547"/>
    <w:rsid w:val="00343150"/>
    <w:rsid w:val="003433C2"/>
    <w:rsid w:val="0035308D"/>
    <w:rsid w:val="00353702"/>
    <w:rsid w:val="003569FE"/>
    <w:rsid w:val="00357D0C"/>
    <w:rsid w:val="00360341"/>
    <w:rsid w:val="00360E69"/>
    <w:rsid w:val="003612B1"/>
    <w:rsid w:val="00362079"/>
    <w:rsid w:val="0036367F"/>
    <w:rsid w:val="00371B2E"/>
    <w:rsid w:val="00373F61"/>
    <w:rsid w:val="00374108"/>
    <w:rsid w:val="003741DD"/>
    <w:rsid w:val="0037489B"/>
    <w:rsid w:val="0037538C"/>
    <w:rsid w:val="0037558E"/>
    <w:rsid w:val="00377BFD"/>
    <w:rsid w:val="003801DE"/>
    <w:rsid w:val="0038158D"/>
    <w:rsid w:val="00384BEB"/>
    <w:rsid w:val="00386F49"/>
    <w:rsid w:val="0039043F"/>
    <w:rsid w:val="00390BBF"/>
    <w:rsid w:val="00392B9C"/>
    <w:rsid w:val="00392BB4"/>
    <w:rsid w:val="00394176"/>
    <w:rsid w:val="003A58B2"/>
    <w:rsid w:val="003A7AF7"/>
    <w:rsid w:val="003B0771"/>
    <w:rsid w:val="003B1CA9"/>
    <w:rsid w:val="003B1D71"/>
    <w:rsid w:val="003B2B16"/>
    <w:rsid w:val="003B2DC7"/>
    <w:rsid w:val="003B2F0E"/>
    <w:rsid w:val="003B63D8"/>
    <w:rsid w:val="003C2B7B"/>
    <w:rsid w:val="003C4BE6"/>
    <w:rsid w:val="003C5C12"/>
    <w:rsid w:val="003C65E6"/>
    <w:rsid w:val="003D038A"/>
    <w:rsid w:val="003D6403"/>
    <w:rsid w:val="003D7447"/>
    <w:rsid w:val="003E10C5"/>
    <w:rsid w:val="003E2774"/>
    <w:rsid w:val="003E3AA4"/>
    <w:rsid w:val="003E46C0"/>
    <w:rsid w:val="003E4F2F"/>
    <w:rsid w:val="003F0137"/>
    <w:rsid w:val="003F4E7F"/>
    <w:rsid w:val="003F591E"/>
    <w:rsid w:val="003F672A"/>
    <w:rsid w:val="003F7948"/>
    <w:rsid w:val="003F7A17"/>
    <w:rsid w:val="00400C9A"/>
    <w:rsid w:val="0040234E"/>
    <w:rsid w:val="0040537C"/>
    <w:rsid w:val="00407254"/>
    <w:rsid w:val="00407335"/>
    <w:rsid w:val="00407AE9"/>
    <w:rsid w:val="00407EDE"/>
    <w:rsid w:val="00410079"/>
    <w:rsid w:val="00412B76"/>
    <w:rsid w:val="00412DDA"/>
    <w:rsid w:val="00412F15"/>
    <w:rsid w:val="00413287"/>
    <w:rsid w:val="00413E31"/>
    <w:rsid w:val="00420AF8"/>
    <w:rsid w:val="00421B61"/>
    <w:rsid w:val="00421C3C"/>
    <w:rsid w:val="00421CC2"/>
    <w:rsid w:val="004232D2"/>
    <w:rsid w:val="00424DB0"/>
    <w:rsid w:val="00424EDF"/>
    <w:rsid w:val="00427716"/>
    <w:rsid w:val="00427F43"/>
    <w:rsid w:val="004300A4"/>
    <w:rsid w:val="00431A47"/>
    <w:rsid w:val="004340A9"/>
    <w:rsid w:val="004348C9"/>
    <w:rsid w:val="004357BA"/>
    <w:rsid w:val="00436A88"/>
    <w:rsid w:val="00440C37"/>
    <w:rsid w:val="004417F1"/>
    <w:rsid w:val="00442197"/>
    <w:rsid w:val="0044376A"/>
    <w:rsid w:val="00443949"/>
    <w:rsid w:val="00445534"/>
    <w:rsid w:val="004465E7"/>
    <w:rsid w:val="0045072D"/>
    <w:rsid w:val="00451B3B"/>
    <w:rsid w:val="00452280"/>
    <w:rsid w:val="004556A2"/>
    <w:rsid w:val="004558C8"/>
    <w:rsid w:val="00456368"/>
    <w:rsid w:val="0045667E"/>
    <w:rsid w:val="00456803"/>
    <w:rsid w:val="00460201"/>
    <w:rsid w:val="0046089E"/>
    <w:rsid w:val="004612E9"/>
    <w:rsid w:val="00463249"/>
    <w:rsid w:val="00463FD2"/>
    <w:rsid w:val="0047100A"/>
    <w:rsid w:val="004752C5"/>
    <w:rsid w:val="004753A3"/>
    <w:rsid w:val="004768CC"/>
    <w:rsid w:val="00477B05"/>
    <w:rsid w:val="00482025"/>
    <w:rsid w:val="00483449"/>
    <w:rsid w:val="00485B55"/>
    <w:rsid w:val="00486E06"/>
    <w:rsid w:val="0049168D"/>
    <w:rsid w:val="00493235"/>
    <w:rsid w:val="004941E5"/>
    <w:rsid w:val="004967AF"/>
    <w:rsid w:val="004A1943"/>
    <w:rsid w:val="004A20F3"/>
    <w:rsid w:val="004A58F9"/>
    <w:rsid w:val="004A6E42"/>
    <w:rsid w:val="004B1512"/>
    <w:rsid w:val="004B4B00"/>
    <w:rsid w:val="004B5A50"/>
    <w:rsid w:val="004B7136"/>
    <w:rsid w:val="004B741F"/>
    <w:rsid w:val="004C03B8"/>
    <w:rsid w:val="004C0F0E"/>
    <w:rsid w:val="004C2447"/>
    <w:rsid w:val="004C56B7"/>
    <w:rsid w:val="004C5949"/>
    <w:rsid w:val="004C6D41"/>
    <w:rsid w:val="004D0421"/>
    <w:rsid w:val="004D1C90"/>
    <w:rsid w:val="004D30BE"/>
    <w:rsid w:val="004D328B"/>
    <w:rsid w:val="004D35CD"/>
    <w:rsid w:val="004D3E0C"/>
    <w:rsid w:val="004D4146"/>
    <w:rsid w:val="004E0F73"/>
    <w:rsid w:val="004E2153"/>
    <w:rsid w:val="004E232B"/>
    <w:rsid w:val="004E6820"/>
    <w:rsid w:val="004F1386"/>
    <w:rsid w:val="004F3408"/>
    <w:rsid w:val="004F37CF"/>
    <w:rsid w:val="004F45F5"/>
    <w:rsid w:val="004F6D83"/>
    <w:rsid w:val="00500316"/>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E6B"/>
    <w:rsid w:val="00543113"/>
    <w:rsid w:val="00546C4C"/>
    <w:rsid w:val="0055413D"/>
    <w:rsid w:val="005542BD"/>
    <w:rsid w:val="00556BBA"/>
    <w:rsid w:val="00557B92"/>
    <w:rsid w:val="00564DEC"/>
    <w:rsid w:val="005662AC"/>
    <w:rsid w:val="005747C4"/>
    <w:rsid w:val="00574A50"/>
    <w:rsid w:val="005815CB"/>
    <w:rsid w:val="00582328"/>
    <w:rsid w:val="005853E6"/>
    <w:rsid w:val="00587CD7"/>
    <w:rsid w:val="0059124A"/>
    <w:rsid w:val="00591464"/>
    <w:rsid w:val="00591DDD"/>
    <w:rsid w:val="005A10EA"/>
    <w:rsid w:val="005A1605"/>
    <w:rsid w:val="005A1C33"/>
    <w:rsid w:val="005A38B8"/>
    <w:rsid w:val="005A4C29"/>
    <w:rsid w:val="005A6734"/>
    <w:rsid w:val="005A7B14"/>
    <w:rsid w:val="005B0BF3"/>
    <w:rsid w:val="005B7A21"/>
    <w:rsid w:val="005C28BF"/>
    <w:rsid w:val="005C4FE0"/>
    <w:rsid w:val="005C6E54"/>
    <w:rsid w:val="005C7E83"/>
    <w:rsid w:val="005D0466"/>
    <w:rsid w:val="005D047B"/>
    <w:rsid w:val="005D15B5"/>
    <w:rsid w:val="005D1D26"/>
    <w:rsid w:val="005D569A"/>
    <w:rsid w:val="005D5B30"/>
    <w:rsid w:val="005D752A"/>
    <w:rsid w:val="005E079F"/>
    <w:rsid w:val="005E7444"/>
    <w:rsid w:val="005F35B9"/>
    <w:rsid w:val="005F466A"/>
    <w:rsid w:val="0060037A"/>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0F51"/>
    <w:rsid w:val="0062144A"/>
    <w:rsid w:val="0062665A"/>
    <w:rsid w:val="0062698C"/>
    <w:rsid w:val="00630648"/>
    <w:rsid w:val="006309A0"/>
    <w:rsid w:val="006372F4"/>
    <w:rsid w:val="00637C8E"/>
    <w:rsid w:val="00640A11"/>
    <w:rsid w:val="006428BE"/>
    <w:rsid w:val="00644FCD"/>
    <w:rsid w:val="00650521"/>
    <w:rsid w:val="00651023"/>
    <w:rsid w:val="006524E7"/>
    <w:rsid w:val="006565C8"/>
    <w:rsid w:val="00660696"/>
    <w:rsid w:val="00660FA6"/>
    <w:rsid w:val="00661C40"/>
    <w:rsid w:val="00664184"/>
    <w:rsid w:val="006652DD"/>
    <w:rsid w:val="0066592E"/>
    <w:rsid w:val="006669BF"/>
    <w:rsid w:val="00670496"/>
    <w:rsid w:val="006724B9"/>
    <w:rsid w:val="00672E0E"/>
    <w:rsid w:val="006747C5"/>
    <w:rsid w:val="00676463"/>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F36"/>
    <w:rsid w:val="006A5163"/>
    <w:rsid w:val="006B0989"/>
    <w:rsid w:val="006B0E5E"/>
    <w:rsid w:val="006B2658"/>
    <w:rsid w:val="006B2F61"/>
    <w:rsid w:val="006B557E"/>
    <w:rsid w:val="006B6985"/>
    <w:rsid w:val="006B7B0A"/>
    <w:rsid w:val="006C070F"/>
    <w:rsid w:val="006C170E"/>
    <w:rsid w:val="006C38DC"/>
    <w:rsid w:val="006C45AA"/>
    <w:rsid w:val="006C4822"/>
    <w:rsid w:val="006D225C"/>
    <w:rsid w:val="006D2CE0"/>
    <w:rsid w:val="006D4C55"/>
    <w:rsid w:val="006D642E"/>
    <w:rsid w:val="006E0967"/>
    <w:rsid w:val="006E245A"/>
    <w:rsid w:val="006E45DD"/>
    <w:rsid w:val="006E56A2"/>
    <w:rsid w:val="006E640F"/>
    <w:rsid w:val="006E6E0F"/>
    <w:rsid w:val="006E7E9F"/>
    <w:rsid w:val="006F0B1A"/>
    <w:rsid w:val="006F1A2F"/>
    <w:rsid w:val="006F20FD"/>
    <w:rsid w:val="006F3115"/>
    <w:rsid w:val="006F5F3F"/>
    <w:rsid w:val="00700617"/>
    <w:rsid w:val="00701097"/>
    <w:rsid w:val="00701EDC"/>
    <w:rsid w:val="00702977"/>
    <w:rsid w:val="00702F51"/>
    <w:rsid w:val="00703CD6"/>
    <w:rsid w:val="00704DA4"/>
    <w:rsid w:val="0070655B"/>
    <w:rsid w:val="0070698A"/>
    <w:rsid w:val="00707A49"/>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6BF4"/>
    <w:rsid w:val="0072735A"/>
    <w:rsid w:val="007275D7"/>
    <w:rsid w:val="007304CB"/>
    <w:rsid w:val="00733E32"/>
    <w:rsid w:val="00734053"/>
    <w:rsid w:val="00736DB4"/>
    <w:rsid w:val="0073710B"/>
    <w:rsid w:val="0074053D"/>
    <w:rsid w:val="007501D0"/>
    <w:rsid w:val="007508DA"/>
    <w:rsid w:val="00751369"/>
    <w:rsid w:val="00751EF6"/>
    <w:rsid w:val="007543E9"/>
    <w:rsid w:val="00755550"/>
    <w:rsid w:val="007573C3"/>
    <w:rsid w:val="0076001A"/>
    <w:rsid w:val="00760A57"/>
    <w:rsid w:val="00760DA7"/>
    <w:rsid w:val="0076239B"/>
    <w:rsid w:val="00766185"/>
    <w:rsid w:val="00771167"/>
    <w:rsid w:val="007736DF"/>
    <w:rsid w:val="00774E8C"/>
    <w:rsid w:val="00775119"/>
    <w:rsid w:val="00775B66"/>
    <w:rsid w:val="0077609A"/>
    <w:rsid w:val="0077641D"/>
    <w:rsid w:val="00780BBD"/>
    <w:rsid w:val="00785D7E"/>
    <w:rsid w:val="007914C8"/>
    <w:rsid w:val="00796058"/>
    <w:rsid w:val="007961ED"/>
    <w:rsid w:val="0079674C"/>
    <w:rsid w:val="00797CFD"/>
    <w:rsid w:val="007A1F5B"/>
    <w:rsid w:val="007A5C1E"/>
    <w:rsid w:val="007A5F41"/>
    <w:rsid w:val="007A669F"/>
    <w:rsid w:val="007B2660"/>
    <w:rsid w:val="007B29BB"/>
    <w:rsid w:val="007B2DFB"/>
    <w:rsid w:val="007B52B9"/>
    <w:rsid w:val="007B5D24"/>
    <w:rsid w:val="007B6F82"/>
    <w:rsid w:val="007C05F6"/>
    <w:rsid w:val="007C1B99"/>
    <w:rsid w:val="007C3721"/>
    <w:rsid w:val="007C5DA4"/>
    <w:rsid w:val="007C7399"/>
    <w:rsid w:val="007D277B"/>
    <w:rsid w:val="007D331F"/>
    <w:rsid w:val="007D46F9"/>
    <w:rsid w:val="007D4C94"/>
    <w:rsid w:val="007D4DF4"/>
    <w:rsid w:val="007D4E10"/>
    <w:rsid w:val="007D7028"/>
    <w:rsid w:val="007E23E2"/>
    <w:rsid w:val="007E2B56"/>
    <w:rsid w:val="007E2F44"/>
    <w:rsid w:val="007E3BCF"/>
    <w:rsid w:val="007E421A"/>
    <w:rsid w:val="007E4274"/>
    <w:rsid w:val="007E4CE9"/>
    <w:rsid w:val="007E5567"/>
    <w:rsid w:val="007E6681"/>
    <w:rsid w:val="007E6A10"/>
    <w:rsid w:val="007F17D0"/>
    <w:rsid w:val="007F197F"/>
    <w:rsid w:val="007F260B"/>
    <w:rsid w:val="007F46A7"/>
    <w:rsid w:val="007F6E4D"/>
    <w:rsid w:val="00800ADC"/>
    <w:rsid w:val="00803E18"/>
    <w:rsid w:val="00807643"/>
    <w:rsid w:val="00814E3D"/>
    <w:rsid w:val="00815458"/>
    <w:rsid w:val="0081545C"/>
    <w:rsid w:val="00815D87"/>
    <w:rsid w:val="008208B7"/>
    <w:rsid w:val="00821567"/>
    <w:rsid w:val="00826432"/>
    <w:rsid w:val="008266F8"/>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C5E"/>
    <w:rsid w:val="00852F5A"/>
    <w:rsid w:val="00853D20"/>
    <w:rsid w:val="00853E81"/>
    <w:rsid w:val="00856BB8"/>
    <w:rsid w:val="008571E9"/>
    <w:rsid w:val="00860492"/>
    <w:rsid w:val="00861733"/>
    <w:rsid w:val="00861A2E"/>
    <w:rsid w:val="00862CEB"/>
    <w:rsid w:val="00863AA4"/>
    <w:rsid w:val="00863DDF"/>
    <w:rsid w:val="0086510E"/>
    <w:rsid w:val="00866185"/>
    <w:rsid w:val="00866475"/>
    <w:rsid w:val="0087128B"/>
    <w:rsid w:val="00872E1F"/>
    <w:rsid w:val="008731A2"/>
    <w:rsid w:val="0087370F"/>
    <w:rsid w:val="00876A7C"/>
    <w:rsid w:val="00876B11"/>
    <w:rsid w:val="00877266"/>
    <w:rsid w:val="008826AF"/>
    <w:rsid w:val="00885DD6"/>
    <w:rsid w:val="00886C85"/>
    <w:rsid w:val="008903A6"/>
    <w:rsid w:val="008906AD"/>
    <w:rsid w:val="008907B4"/>
    <w:rsid w:val="00890B76"/>
    <w:rsid w:val="00890C18"/>
    <w:rsid w:val="00892348"/>
    <w:rsid w:val="008968F7"/>
    <w:rsid w:val="00896F25"/>
    <w:rsid w:val="00896F9E"/>
    <w:rsid w:val="00897EA1"/>
    <w:rsid w:val="008A027B"/>
    <w:rsid w:val="008A0B0A"/>
    <w:rsid w:val="008A5B08"/>
    <w:rsid w:val="008A6284"/>
    <w:rsid w:val="008A6434"/>
    <w:rsid w:val="008B10BB"/>
    <w:rsid w:val="008B1700"/>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4752"/>
    <w:rsid w:val="008D4A96"/>
    <w:rsid w:val="008D765A"/>
    <w:rsid w:val="008D78E1"/>
    <w:rsid w:val="008D7BB5"/>
    <w:rsid w:val="008E15F4"/>
    <w:rsid w:val="008E336B"/>
    <w:rsid w:val="008E3437"/>
    <w:rsid w:val="008E3838"/>
    <w:rsid w:val="008E3D10"/>
    <w:rsid w:val="008E5DE8"/>
    <w:rsid w:val="008F01C4"/>
    <w:rsid w:val="008F1F22"/>
    <w:rsid w:val="008F471B"/>
    <w:rsid w:val="008F6A51"/>
    <w:rsid w:val="008F6AC8"/>
    <w:rsid w:val="009033B5"/>
    <w:rsid w:val="0090416A"/>
    <w:rsid w:val="00905D4D"/>
    <w:rsid w:val="009066F7"/>
    <w:rsid w:val="00907CDB"/>
    <w:rsid w:val="0091070F"/>
    <w:rsid w:val="00911180"/>
    <w:rsid w:val="009126FE"/>
    <w:rsid w:val="00912A46"/>
    <w:rsid w:val="009142F6"/>
    <w:rsid w:val="00915E94"/>
    <w:rsid w:val="00921B70"/>
    <w:rsid w:val="009227B4"/>
    <w:rsid w:val="009231B9"/>
    <w:rsid w:val="00925A7D"/>
    <w:rsid w:val="00925BA7"/>
    <w:rsid w:val="00927D77"/>
    <w:rsid w:val="009309AB"/>
    <w:rsid w:val="00930B9A"/>
    <w:rsid w:val="00931A81"/>
    <w:rsid w:val="0093232A"/>
    <w:rsid w:val="00932830"/>
    <w:rsid w:val="00934693"/>
    <w:rsid w:val="00936812"/>
    <w:rsid w:val="0093694A"/>
    <w:rsid w:val="00936E0C"/>
    <w:rsid w:val="00937EDD"/>
    <w:rsid w:val="009404EC"/>
    <w:rsid w:val="00941491"/>
    <w:rsid w:val="00941D51"/>
    <w:rsid w:val="00943D06"/>
    <w:rsid w:val="00945915"/>
    <w:rsid w:val="00946CA5"/>
    <w:rsid w:val="00947D8C"/>
    <w:rsid w:val="009500E7"/>
    <w:rsid w:val="0095031F"/>
    <w:rsid w:val="00951B10"/>
    <w:rsid w:val="0095254D"/>
    <w:rsid w:val="00952BB2"/>
    <w:rsid w:val="00954A27"/>
    <w:rsid w:val="00955368"/>
    <w:rsid w:val="00956EB7"/>
    <w:rsid w:val="009577A3"/>
    <w:rsid w:val="00957B58"/>
    <w:rsid w:val="00960AD0"/>
    <w:rsid w:val="00964667"/>
    <w:rsid w:val="0098309A"/>
    <w:rsid w:val="0098337C"/>
    <w:rsid w:val="0098383B"/>
    <w:rsid w:val="00987062"/>
    <w:rsid w:val="00990555"/>
    <w:rsid w:val="00991863"/>
    <w:rsid w:val="009918A7"/>
    <w:rsid w:val="00994366"/>
    <w:rsid w:val="009947F3"/>
    <w:rsid w:val="00994A79"/>
    <w:rsid w:val="00995170"/>
    <w:rsid w:val="00995A5D"/>
    <w:rsid w:val="009977DD"/>
    <w:rsid w:val="00997C0F"/>
    <w:rsid w:val="009A1494"/>
    <w:rsid w:val="009B0B47"/>
    <w:rsid w:val="009B0F48"/>
    <w:rsid w:val="009B1141"/>
    <w:rsid w:val="009B3382"/>
    <w:rsid w:val="009B3478"/>
    <w:rsid w:val="009B4CFF"/>
    <w:rsid w:val="009B5946"/>
    <w:rsid w:val="009B717E"/>
    <w:rsid w:val="009B71AB"/>
    <w:rsid w:val="009C4A36"/>
    <w:rsid w:val="009C5AEB"/>
    <w:rsid w:val="009D1283"/>
    <w:rsid w:val="009D22F8"/>
    <w:rsid w:val="009D7B40"/>
    <w:rsid w:val="009D7D94"/>
    <w:rsid w:val="009E0EB6"/>
    <w:rsid w:val="009E166A"/>
    <w:rsid w:val="009E3EA6"/>
    <w:rsid w:val="009E4494"/>
    <w:rsid w:val="009E481E"/>
    <w:rsid w:val="009E4F6F"/>
    <w:rsid w:val="009E519A"/>
    <w:rsid w:val="009E5515"/>
    <w:rsid w:val="009E765A"/>
    <w:rsid w:val="009F1C22"/>
    <w:rsid w:val="009F263A"/>
    <w:rsid w:val="009F4241"/>
    <w:rsid w:val="009F5183"/>
    <w:rsid w:val="009F72FD"/>
    <w:rsid w:val="00A0024C"/>
    <w:rsid w:val="00A014EA"/>
    <w:rsid w:val="00A02F9B"/>
    <w:rsid w:val="00A05399"/>
    <w:rsid w:val="00A0547A"/>
    <w:rsid w:val="00A0653E"/>
    <w:rsid w:val="00A06CF5"/>
    <w:rsid w:val="00A1054A"/>
    <w:rsid w:val="00A105F8"/>
    <w:rsid w:val="00A14CBE"/>
    <w:rsid w:val="00A172DE"/>
    <w:rsid w:val="00A173AE"/>
    <w:rsid w:val="00A20A78"/>
    <w:rsid w:val="00A210D4"/>
    <w:rsid w:val="00A2129B"/>
    <w:rsid w:val="00A21ADC"/>
    <w:rsid w:val="00A25833"/>
    <w:rsid w:val="00A25C2F"/>
    <w:rsid w:val="00A27BCC"/>
    <w:rsid w:val="00A3091D"/>
    <w:rsid w:val="00A33806"/>
    <w:rsid w:val="00A34650"/>
    <w:rsid w:val="00A34BEC"/>
    <w:rsid w:val="00A35FFE"/>
    <w:rsid w:val="00A3683F"/>
    <w:rsid w:val="00A36A75"/>
    <w:rsid w:val="00A36F96"/>
    <w:rsid w:val="00A37B8B"/>
    <w:rsid w:val="00A41323"/>
    <w:rsid w:val="00A4253E"/>
    <w:rsid w:val="00A43667"/>
    <w:rsid w:val="00A4401A"/>
    <w:rsid w:val="00A45011"/>
    <w:rsid w:val="00A46441"/>
    <w:rsid w:val="00A478FD"/>
    <w:rsid w:val="00A503EE"/>
    <w:rsid w:val="00A54615"/>
    <w:rsid w:val="00A54B91"/>
    <w:rsid w:val="00A5645A"/>
    <w:rsid w:val="00A62BF1"/>
    <w:rsid w:val="00A62C64"/>
    <w:rsid w:val="00A6367D"/>
    <w:rsid w:val="00A65997"/>
    <w:rsid w:val="00A66854"/>
    <w:rsid w:val="00A6779F"/>
    <w:rsid w:val="00A7038D"/>
    <w:rsid w:val="00A704A9"/>
    <w:rsid w:val="00A70622"/>
    <w:rsid w:val="00A712DA"/>
    <w:rsid w:val="00A730AA"/>
    <w:rsid w:val="00A808D7"/>
    <w:rsid w:val="00A80A40"/>
    <w:rsid w:val="00A811DA"/>
    <w:rsid w:val="00A8125B"/>
    <w:rsid w:val="00A8134F"/>
    <w:rsid w:val="00A82953"/>
    <w:rsid w:val="00A83834"/>
    <w:rsid w:val="00A83C7D"/>
    <w:rsid w:val="00A844AA"/>
    <w:rsid w:val="00A84BD8"/>
    <w:rsid w:val="00A8672B"/>
    <w:rsid w:val="00A877C7"/>
    <w:rsid w:val="00A90D5A"/>
    <w:rsid w:val="00A9153D"/>
    <w:rsid w:val="00A931F0"/>
    <w:rsid w:val="00A95673"/>
    <w:rsid w:val="00A95921"/>
    <w:rsid w:val="00A95B62"/>
    <w:rsid w:val="00AA1334"/>
    <w:rsid w:val="00AA30CA"/>
    <w:rsid w:val="00AA4121"/>
    <w:rsid w:val="00AA6E8E"/>
    <w:rsid w:val="00AB3E0E"/>
    <w:rsid w:val="00AB445E"/>
    <w:rsid w:val="00AB4A50"/>
    <w:rsid w:val="00AB6042"/>
    <w:rsid w:val="00AC14B9"/>
    <w:rsid w:val="00AC2BF0"/>
    <w:rsid w:val="00AC2F49"/>
    <w:rsid w:val="00AC3BA6"/>
    <w:rsid w:val="00AC44C1"/>
    <w:rsid w:val="00AD07FE"/>
    <w:rsid w:val="00AD21B7"/>
    <w:rsid w:val="00AD3B0F"/>
    <w:rsid w:val="00AD3E93"/>
    <w:rsid w:val="00AD5878"/>
    <w:rsid w:val="00AD632D"/>
    <w:rsid w:val="00AD738F"/>
    <w:rsid w:val="00AD75B9"/>
    <w:rsid w:val="00AD7DC0"/>
    <w:rsid w:val="00AD7FF9"/>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236E"/>
    <w:rsid w:val="00B14081"/>
    <w:rsid w:val="00B140DF"/>
    <w:rsid w:val="00B20077"/>
    <w:rsid w:val="00B20A94"/>
    <w:rsid w:val="00B20AAF"/>
    <w:rsid w:val="00B20B4D"/>
    <w:rsid w:val="00B21AB5"/>
    <w:rsid w:val="00B233CE"/>
    <w:rsid w:val="00B236F7"/>
    <w:rsid w:val="00B23E78"/>
    <w:rsid w:val="00B24C85"/>
    <w:rsid w:val="00B25B2C"/>
    <w:rsid w:val="00B26DDF"/>
    <w:rsid w:val="00B27533"/>
    <w:rsid w:val="00B30909"/>
    <w:rsid w:val="00B31116"/>
    <w:rsid w:val="00B32CCB"/>
    <w:rsid w:val="00B34089"/>
    <w:rsid w:val="00B35B11"/>
    <w:rsid w:val="00B36A40"/>
    <w:rsid w:val="00B37C2C"/>
    <w:rsid w:val="00B40308"/>
    <w:rsid w:val="00B4051A"/>
    <w:rsid w:val="00B40531"/>
    <w:rsid w:val="00B40D6E"/>
    <w:rsid w:val="00B416B5"/>
    <w:rsid w:val="00B42D9C"/>
    <w:rsid w:val="00B43BC5"/>
    <w:rsid w:val="00B46941"/>
    <w:rsid w:val="00B50676"/>
    <w:rsid w:val="00B51264"/>
    <w:rsid w:val="00B515DE"/>
    <w:rsid w:val="00B51A90"/>
    <w:rsid w:val="00B5336D"/>
    <w:rsid w:val="00B5559F"/>
    <w:rsid w:val="00B56BCE"/>
    <w:rsid w:val="00B6025A"/>
    <w:rsid w:val="00B6050B"/>
    <w:rsid w:val="00B6486A"/>
    <w:rsid w:val="00B66882"/>
    <w:rsid w:val="00B67343"/>
    <w:rsid w:val="00B67E15"/>
    <w:rsid w:val="00B719E1"/>
    <w:rsid w:val="00B73260"/>
    <w:rsid w:val="00B73393"/>
    <w:rsid w:val="00B73616"/>
    <w:rsid w:val="00B73ECE"/>
    <w:rsid w:val="00B77E51"/>
    <w:rsid w:val="00B817A6"/>
    <w:rsid w:val="00B8432A"/>
    <w:rsid w:val="00B84E3D"/>
    <w:rsid w:val="00B858FE"/>
    <w:rsid w:val="00B872D6"/>
    <w:rsid w:val="00B9042C"/>
    <w:rsid w:val="00B931C8"/>
    <w:rsid w:val="00B9420D"/>
    <w:rsid w:val="00B95FAB"/>
    <w:rsid w:val="00B96D33"/>
    <w:rsid w:val="00BA2B10"/>
    <w:rsid w:val="00BB70AC"/>
    <w:rsid w:val="00BC283C"/>
    <w:rsid w:val="00BC50F7"/>
    <w:rsid w:val="00BC692D"/>
    <w:rsid w:val="00BC7C29"/>
    <w:rsid w:val="00BD465D"/>
    <w:rsid w:val="00BD55AF"/>
    <w:rsid w:val="00BE009D"/>
    <w:rsid w:val="00BE03B1"/>
    <w:rsid w:val="00BE0BC3"/>
    <w:rsid w:val="00BE3F31"/>
    <w:rsid w:val="00BF1E83"/>
    <w:rsid w:val="00BF29D9"/>
    <w:rsid w:val="00BF42DA"/>
    <w:rsid w:val="00BF7C2C"/>
    <w:rsid w:val="00C01DCD"/>
    <w:rsid w:val="00C02835"/>
    <w:rsid w:val="00C10016"/>
    <w:rsid w:val="00C131FF"/>
    <w:rsid w:val="00C13E48"/>
    <w:rsid w:val="00C14ABD"/>
    <w:rsid w:val="00C20617"/>
    <w:rsid w:val="00C22CBF"/>
    <w:rsid w:val="00C245D5"/>
    <w:rsid w:val="00C26932"/>
    <w:rsid w:val="00C32B61"/>
    <w:rsid w:val="00C33B4F"/>
    <w:rsid w:val="00C36E9A"/>
    <w:rsid w:val="00C3764E"/>
    <w:rsid w:val="00C42540"/>
    <w:rsid w:val="00C4269D"/>
    <w:rsid w:val="00C43D48"/>
    <w:rsid w:val="00C46E51"/>
    <w:rsid w:val="00C51846"/>
    <w:rsid w:val="00C5185A"/>
    <w:rsid w:val="00C53C66"/>
    <w:rsid w:val="00C53D86"/>
    <w:rsid w:val="00C567FF"/>
    <w:rsid w:val="00C5702D"/>
    <w:rsid w:val="00C57814"/>
    <w:rsid w:val="00C6092A"/>
    <w:rsid w:val="00C60BD5"/>
    <w:rsid w:val="00C613F2"/>
    <w:rsid w:val="00C643D4"/>
    <w:rsid w:val="00C66974"/>
    <w:rsid w:val="00C67B43"/>
    <w:rsid w:val="00C73D6A"/>
    <w:rsid w:val="00C74E0A"/>
    <w:rsid w:val="00C752A5"/>
    <w:rsid w:val="00C76363"/>
    <w:rsid w:val="00C76996"/>
    <w:rsid w:val="00C802FF"/>
    <w:rsid w:val="00C81A4F"/>
    <w:rsid w:val="00C820E8"/>
    <w:rsid w:val="00C821D2"/>
    <w:rsid w:val="00C82C17"/>
    <w:rsid w:val="00C82FE7"/>
    <w:rsid w:val="00C85BA8"/>
    <w:rsid w:val="00C85EB5"/>
    <w:rsid w:val="00C864A9"/>
    <w:rsid w:val="00C87843"/>
    <w:rsid w:val="00C87A0E"/>
    <w:rsid w:val="00C903B4"/>
    <w:rsid w:val="00C912AD"/>
    <w:rsid w:val="00C9368B"/>
    <w:rsid w:val="00C95454"/>
    <w:rsid w:val="00C95716"/>
    <w:rsid w:val="00C977E2"/>
    <w:rsid w:val="00C97827"/>
    <w:rsid w:val="00C97A03"/>
    <w:rsid w:val="00CA0357"/>
    <w:rsid w:val="00CA0CF5"/>
    <w:rsid w:val="00CA20FF"/>
    <w:rsid w:val="00CA21C9"/>
    <w:rsid w:val="00CA3714"/>
    <w:rsid w:val="00CA3F71"/>
    <w:rsid w:val="00CA5970"/>
    <w:rsid w:val="00CA77FB"/>
    <w:rsid w:val="00CB2B32"/>
    <w:rsid w:val="00CB4A03"/>
    <w:rsid w:val="00CC16DD"/>
    <w:rsid w:val="00CC1BB0"/>
    <w:rsid w:val="00CC4DA8"/>
    <w:rsid w:val="00CC5A11"/>
    <w:rsid w:val="00CC7214"/>
    <w:rsid w:val="00CD0C80"/>
    <w:rsid w:val="00CD1909"/>
    <w:rsid w:val="00CD661D"/>
    <w:rsid w:val="00CE2B1F"/>
    <w:rsid w:val="00CE3174"/>
    <w:rsid w:val="00CE43BD"/>
    <w:rsid w:val="00CE51C5"/>
    <w:rsid w:val="00CE6A12"/>
    <w:rsid w:val="00CF1122"/>
    <w:rsid w:val="00CF127D"/>
    <w:rsid w:val="00CF561D"/>
    <w:rsid w:val="00D00070"/>
    <w:rsid w:val="00D00BD0"/>
    <w:rsid w:val="00D0289E"/>
    <w:rsid w:val="00D03754"/>
    <w:rsid w:val="00D04186"/>
    <w:rsid w:val="00D045AC"/>
    <w:rsid w:val="00D04F06"/>
    <w:rsid w:val="00D07BF0"/>
    <w:rsid w:val="00D115D2"/>
    <w:rsid w:val="00D13544"/>
    <w:rsid w:val="00D13C8D"/>
    <w:rsid w:val="00D148A8"/>
    <w:rsid w:val="00D151B8"/>
    <w:rsid w:val="00D15630"/>
    <w:rsid w:val="00D15A03"/>
    <w:rsid w:val="00D1660D"/>
    <w:rsid w:val="00D17641"/>
    <w:rsid w:val="00D207E4"/>
    <w:rsid w:val="00D25FFD"/>
    <w:rsid w:val="00D276F1"/>
    <w:rsid w:val="00D33088"/>
    <w:rsid w:val="00D348B0"/>
    <w:rsid w:val="00D34A4F"/>
    <w:rsid w:val="00D366BD"/>
    <w:rsid w:val="00D4041C"/>
    <w:rsid w:val="00D40A31"/>
    <w:rsid w:val="00D40ACA"/>
    <w:rsid w:val="00D441EB"/>
    <w:rsid w:val="00D44217"/>
    <w:rsid w:val="00D45A9B"/>
    <w:rsid w:val="00D46AB4"/>
    <w:rsid w:val="00D46B7E"/>
    <w:rsid w:val="00D4753B"/>
    <w:rsid w:val="00D50D0E"/>
    <w:rsid w:val="00D52659"/>
    <w:rsid w:val="00D54D11"/>
    <w:rsid w:val="00D60F32"/>
    <w:rsid w:val="00D62D3E"/>
    <w:rsid w:val="00D63547"/>
    <w:rsid w:val="00D708F9"/>
    <w:rsid w:val="00D739FA"/>
    <w:rsid w:val="00D75546"/>
    <w:rsid w:val="00D75D46"/>
    <w:rsid w:val="00D7667A"/>
    <w:rsid w:val="00D76C49"/>
    <w:rsid w:val="00D81152"/>
    <w:rsid w:val="00D81538"/>
    <w:rsid w:val="00D82045"/>
    <w:rsid w:val="00D840F4"/>
    <w:rsid w:val="00D84B29"/>
    <w:rsid w:val="00D84D1D"/>
    <w:rsid w:val="00D85324"/>
    <w:rsid w:val="00D85ED8"/>
    <w:rsid w:val="00D85F19"/>
    <w:rsid w:val="00D87C47"/>
    <w:rsid w:val="00D92136"/>
    <w:rsid w:val="00D95FE3"/>
    <w:rsid w:val="00DA35B5"/>
    <w:rsid w:val="00DA3F48"/>
    <w:rsid w:val="00DA6196"/>
    <w:rsid w:val="00DB1223"/>
    <w:rsid w:val="00DB2956"/>
    <w:rsid w:val="00DB487F"/>
    <w:rsid w:val="00DB6247"/>
    <w:rsid w:val="00DC1FC8"/>
    <w:rsid w:val="00DC2CAB"/>
    <w:rsid w:val="00DC3CC6"/>
    <w:rsid w:val="00DC604D"/>
    <w:rsid w:val="00DD0576"/>
    <w:rsid w:val="00DD09E5"/>
    <w:rsid w:val="00DD2F75"/>
    <w:rsid w:val="00DD74A7"/>
    <w:rsid w:val="00DD7657"/>
    <w:rsid w:val="00DE20E2"/>
    <w:rsid w:val="00DE2CAD"/>
    <w:rsid w:val="00DE32DD"/>
    <w:rsid w:val="00DF3BBD"/>
    <w:rsid w:val="00DF5083"/>
    <w:rsid w:val="00DF5087"/>
    <w:rsid w:val="00E012B8"/>
    <w:rsid w:val="00E01CF0"/>
    <w:rsid w:val="00E04C11"/>
    <w:rsid w:val="00E05762"/>
    <w:rsid w:val="00E157A3"/>
    <w:rsid w:val="00E2232A"/>
    <w:rsid w:val="00E2369D"/>
    <w:rsid w:val="00E24146"/>
    <w:rsid w:val="00E25A1B"/>
    <w:rsid w:val="00E261DA"/>
    <w:rsid w:val="00E26380"/>
    <w:rsid w:val="00E314F3"/>
    <w:rsid w:val="00E32223"/>
    <w:rsid w:val="00E345E3"/>
    <w:rsid w:val="00E363E1"/>
    <w:rsid w:val="00E37438"/>
    <w:rsid w:val="00E40FE6"/>
    <w:rsid w:val="00E43474"/>
    <w:rsid w:val="00E44C6B"/>
    <w:rsid w:val="00E45BC2"/>
    <w:rsid w:val="00E471A5"/>
    <w:rsid w:val="00E53F36"/>
    <w:rsid w:val="00E54355"/>
    <w:rsid w:val="00E562BB"/>
    <w:rsid w:val="00E56A47"/>
    <w:rsid w:val="00E574F2"/>
    <w:rsid w:val="00E60C05"/>
    <w:rsid w:val="00E63A86"/>
    <w:rsid w:val="00E6442F"/>
    <w:rsid w:val="00E66659"/>
    <w:rsid w:val="00E70B03"/>
    <w:rsid w:val="00E70EDE"/>
    <w:rsid w:val="00E81D6E"/>
    <w:rsid w:val="00E82D11"/>
    <w:rsid w:val="00E8300F"/>
    <w:rsid w:val="00E846FF"/>
    <w:rsid w:val="00E92D87"/>
    <w:rsid w:val="00E940ED"/>
    <w:rsid w:val="00E94730"/>
    <w:rsid w:val="00E94855"/>
    <w:rsid w:val="00E9582E"/>
    <w:rsid w:val="00E95E2E"/>
    <w:rsid w:val="00E95EB9"/>
    <w:rsid w:val="00E97615"/>
    <w:rsid w:val="00EA1DE3"/>
    <w:rsid w:val="00EA2351"/>
    <w:rsid w:val="00EA2B73"/>
    <w:rsid w:val="00EA6D0E"/>
    <w:rsid w:val="00EB124A"/>
    <w:rsid w:val="00EB1630"/>
    <w:rsid w:val="00EB2B72"/>
    <w:rsid w:val="00EB5118"/>
    <w:rsid w:val="00EB55F3"/>
    <w:rsid w:val="00EC043B"/>
    <w:rsid w:val="00EC0BFA"/>
    <w:rsid w:val="00EC103C"/>
    <w:rsid w:val="00EC603C"/>
    <w:rsid w:val="00EC74CD"/>
    <w:rsid w:val="00EC781D"/>
    <w:rsid w:val="00ED0809"/>
    <w:rsid w:val="00ED0D5F"/>
    <w:rsid w:val="00ED1BD6"/>
    <w:rsid w:val="00ED2320"/>
    <w:rsid w:val="00ED23EC"/>
    <w:rsid w:val="00ED284C"/>
    <w:rsid w:val="00ED3231"/>
    <w:rsid w:val="00ED3558"/>
    <w:rsid w:val="00ED3D12"/>
    <w:rsid w:val="00ED5088"/>
    <w:rsid w:val="00ED5685"/>
    <w:rsid w:val="00ED5C72"/>
    <w:rsid w:val="00ED5FDC"/>
    <w:rsid w:val="00ED643A"/>
    <w:rsid w:val="00ED6EF2"/>
    <w:rsid w:val="00ED7C82"/>
    <w:rsid w:val="00EE0696"/>
    <w:rsid w:val="00EE4232"/>
    <w:rsid w:val="00EE4362"/>
    <w:rsid w:val="00EE56E6"/>
    <w:rsid w:val="00EE6422"/>
    <w:rsid w:val="00EE6EBE"/>
    <w:rsid w:val="00EE75D5"/>
    <w:rsid w:val="00EF0CF0"/>
    <w:rsid w:val="00EF3837"/>
    <w:rsid w:val="00EF3908"/>
    <w:rsid w:val="00EF3FC2"/>
    <w:rsid w:val="00EF5ACA"/>
    <w:rsid w:val="00EF64C2"/>
    <w:rsid w:val="00EF7C09"/>
    <w:rsid w:val="00F013CA"/>
    <w:rsid w:val="00F01B05"/>
    <w:rsid w:val="00F037E4"/>
    <w:rsid w:val="00F054DC"/>
    <w:rsid w:val="00F05555"/>
    <w:rsid w:val="00F059F8"/>
    <w:rsid w:val="00F05CA8"/>
    <w:rsid w:val="00F15900"/>
    <w:rsid w:val="00F1713A"/>
    <w:rsid w:val="00F175B6"/>
    <w:rsid w:val="00F17A72"/>
    <w:rsid w:val="00F208B1"/>
    <w:rsid w:val="00F268D9"/>
    <w:rsid w:val="00F27483"/>
    <w:rsid w:val="00F34CBB"/>
    <w:rsid w:val="00F36AFD"/>
    <w:rsid w:val="00F3745E"/>
    <w:rsid w:val="00F37C8E"/>
    <w:rsid w:val="00F40066"/>
    <w:rsid w:val="00F401DB"/>
    <w:rsid w:val="00F443A3"/>
    <w:rsid w:val="00F44F7B"/>
    <w:rsid w:val="00F45AE3"/>
    <w:rsid w:val="00F47FEA"/>
    <w:rsid w:val="00F50A15"/>
    <w:rsid w:val="00F5399B"/>
    <w:rsid w:val="00F57621"/>
    <w:rsid w:val="00F57C9D"/>
    <w:rsid w:val="00F57DCF"/>
    <w:rsid w:val="00F60243"/>
    <w:rsid w:val="00F607FB"/>
    <w:rsid w:val="00F60D0A"/>
    <w:rsid w:val="00F61379"/>
    <w:rsid w:val="00F651F0"/>
    <w:rsid w:val="00F674CC"/>
    <w:rsid w:val="00F76660"/>
    <w:rsid w:val="00F77563"/>
    <w:rsid w:val="00F8307A"/>
    <w:rsid w:val="00F830A8"/>
    <w:rsid w:val="00F87108"/>
    <w:rsid w:val="00F90715"/>
    <w:rsid w:val="00F9097C"/>
    <w:rsid w:val="00F9114B"/>
    <w:rsid w:val="00F93111"/>
    <w:rsid w:val="00F9318B"/>
    <w:rsid w:val="00F93578"/>
    <w:rsid w:val="00F95229"/>
    <w:rsid w:val="00F9586C"/>
    <w:rsid w:val="00F973F8"/>
    <w:rsid w:val="00F97695"/>
    <w:rsid w:val="00FA1026"/>
    <w:rsid w:val="00FA2BAB"/>
    <w:rsid w:val="00FA2BED"/>
    <w:rsid w:val="00FA300C"/>
    <w:rsid w:val="00FA6A64"/>
    <w:rsid w:val="00FB21EC"/>
    <w:rsid w:val="00FB6269"/>
    <w:rsid w:val="00FB7AA4"/>
    <w:rsid w:val="00FB7BE7"/>
    <w:rsid w:val="00FC06EC"/>
    <w:rsid w:val="00FC0F79"/>
    <w:rsid w:val="00FC19DC"/>
    <w:rsid w:val="00FC3AED"/>
    <w:rsid w:val="00FC51DF"/>
    <w:rsid w:val="00FC6AD6"/>
    <w:rsid w:val="00FC7546"/>
    <w:rsid w:val="00FD036D"/>
    <w:rsid w:val="00FD1158"/>
    <w:rsid w:val="00FD11EE"/>
    <w:rsid w:val="00FD1658"/>
    <w:rsid w:val="00FD20BE"/>
    <w:rsid w:val="00FD49DA"/>
    <w:rsid w:val="00FE0AEA"/>
    <w:rsid w:val="00FE1AFF"/>
    <w:rsid w:val="00FE2325"/>
    <w:rsid w:val="00FE37EF"/>
    <w:rsid w:val="00FE5627"/>
    <w:rsid w:val="00FE64B9"/>
    <w:rsid w:val="00FE7770"/>
    <w:rsid w:val="00FF2180"/>
    <w:rsid w:val="00FF2B63"/>
    <w:rsid w:val="00FF33A7"/>
    <w:rsid w:val="00FF3F92"/>
    <w:rsid w:val="00FF6D11"/>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BD57E993-9741-4B50-B5FA-971BFFB2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37A"/>
    <w:rPr>
      <w:sz w:val="24"/>
      <w:szCs w:val="24"/>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sz w:val="22"/>
      <w:szCs w:val="22"/>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hr-HR" w:eastAsia="en-GB" w:bidi="en-GB"/>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basedOn w:val="DefaultParagraphFont"/>
    <w:uiPriority w:val="99"/>
    <w:semiHidden/>
    <w:unhideWhenUsed/>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 w:val="22"/>
      <w:szCs w:val="20"/>
    </w:rPr>
  </w:style>
  <w:style w:type="paragraph" w:styleId="CommentText">
    <w:name w:val="annotation text"/>
    <w:basedOn w:val="Normal"/>
    <w:uiPriority w:val="99"/>
    <w:semiHidden/>
    <w:unhideWhenUsed/>
    <w:rPr>
      <w:sz w:val="20"/>
      <w:szCs w:val="20"/>
    </w:rPr>
  </w:style>
  <w:style w:type="paragraph" w:styleId="TOC4">
    <w:name w:val="toc 4"/>
    <w:basedOn w:val="Normal"/>
    <w:next w:val="Normal"/>
    <w:autoRedefine/>
    <w:semiHidden/>
    <w:rsid w:val="00AA6E8E"/>
    <w:pPr>
      <w:spacing w:line="220" w:lineRule="exact"/>
    </w:pPr>
    <w:rPr>
      <w:caps/>
      <w:sz w:val="22"/>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rPr>
      <w:sz w:val="22"/>
    </w:r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paragraph" w:customStyle="1" w:styleId="mpaaotsikko">
    <w:name w:val="mpaaotsikko"/>
    <w:basedOn w:val="LLEsityksennimi"/>
    <w:qFormat/>
    <w:rsid w:val="008A0B0A"/>
  </w:style>
  <w:style w:type="paragraph" w:customStyle="1" w:styleId="LLUusiMinisterionAsetus">
    <w:name w:val="LLUusiMinisterionAsetus"/>
    <w:basedOn w:val="LLMinisterionAsetus"/>
    <w:qFormat/>
    <w:rsid w:val="0060037A"/>
  </w:style>
  <w:style w:type="paragraph" w:customStyle="1" w:styleId="LLUusiTPnAsetus">
    <w:name w:val="LLUusiTPnAsetus"/>
    <w:basedOn w:val="LLTPnAsetus"/>
    <w:qFormat/>
    <w:rsid w:val="0060037A"/>
  </w:style>
  <w:style w:type="paragraph" w:customStyle="1" w:styleId="LLUusiValtioneuvostonAsetus">
    <w:name w:val="LLUusiValtioneuvostonAsetus"/>
    <w:basedOn w:val="LLValtioneuvostonAsetus"/>
    <w:qFormat/>
    <w:rsid w:val="0060037A"/>
  </w:style>
  <w:style w:type="paragraph" w:styleId="ListParagraph">
    <w:name w:val="List Paragraph"/>
    <w:basedOn w:val="Normal"/>
    <w:uiPriority w:val="34"/>
    <w:qFormat/>
    <w:rsid w:val="0041007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70250\Desktop\S&#228;&#228;d&#246;spohja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SäädöspohjaSuomi.dot</Template>
  <TotalTime>16</TotalTime>
  <Pages>13</Pages>
  <Words>5672</Words>
  <Characters>32332</Characters>
  <Application>Microsoft Office Word</Application>
  <DocSecurity>0</DocSecurity>
  <Lines>269</Lines>
  <Paragraphs>75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1</vt:lpstr>
      <vt:lpstr>1</vt:lpstr>
    </vt:vector>
  </TitlesOfParts>
  <Company>VM</Company>
  <LinksUpToDate>false</LinksUpToDate>
  <CharactersWithSpaces>37929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Viranko Anssi (LVM)</dc:creator>
  <cp:keywords/>
  <cp:lastModifiedBy>Ke, Tingting</cp:lastModifiedBy>
  <cp:revision>8</cp:revision>
  <cp:lastPrinted>2018-08-17T09:16:00Z</cp:lastPrinted>
  <dcterms:created xsi:type="dcterms:W3CDTF">2018-09-24T10:44:00Z</dcterms:created>
  <dcterms:modified xsi:type="dcterms:W3CDTF">2018-10-08T09:16:00Z</dcterms:modified>
</cp:coreProperties>
</file>