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976E0">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18 October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Official Journal of the French Republic No. 0206 dated 5 September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Text No. 6</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Decree of 30 August 2019 amending the Decree of 31 October 2017 setting out the form of presentation for the nutrition declaration recommended by the State pursuant to Articles L. 3232-8 and R. 3232-7 of the French Public Health Code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NOR:</w:t>
      </w:r>
      <w:r>
        <w:rPr>
          <w:sz w:val="24"/>
          <w:rFonts w:ascii="Arial" w:hAnsi="Arial"/>
        </w:rPr>
        <w:t xml:space="preserve"> </w:t>
      </w:r>
      <w:r>
        <w:rPr>
          <w:sz w:val="24"/>
          <w:rFonts w:ascii="Arial" w:hAnsi="Arial"/>
        </w:rPr>
        <w:t xml:space="preserve">SSAP1911495A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 https://www.legifrance.gouv.fr/eli/arrete/2019/8/30/SSAP1911495A/jo/texte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The Minister for Health, the Minister for Agriculture and Food and the Secretary of State under the auspices of the Minister for Economy and Finance,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Regulation (EU) No. 1169/2011 of the European Parliament and of the Council of 25 October 2011 concerning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Directive (EU) 2015/1535 of the European Parliament and of the Council of 9 September 2015 setting out a procedure for the provision of information in the field of technical regulations and of rules on Information Society services and notification No. 2017/159/F to the European Commission;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the French Consumer Code, with particular reference to Article L. 112-13 thereof;</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the French Rural and Maritime Fishing Code, with particular reference to Article L. 230-3 thereof;</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the French Public Health Code, with particular reference to Articles L. 3232-8 and R. 3232-7 thereof;</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Decree No. 2016-980 of 19 July 2016 on additional nutrition information on foods;</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the Decree of 31 October 2017 setting out the additional form of presentation for the nutrition declaration recommended by the State pursuant to Articles L. 3232-8 and R. 3232-7 of the French Public Health Code;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Having regard to the opinion of the French Agency for Food, Environment and Occupational Health &amp; Safety of 10 May 2017 and 12 June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Hereby decree: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Article 1</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The specification annexed to the Decree dated 31 October 2017, setting out the form of presentation complementary to the nutrition declaration recommended by the State pursuant to Articles L. 3232-8 and R. 3232-7 of the French Public Health Code is amended as follows:</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 – In section “1a – General Case”: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the fourth subparagraph and in Table No. 1, after the word:</w:t>
      </w:r>
      <w:r>
        <w:rPr>
          <w:sz w:val="24"/>
          <w:rFonts w:ascii="Arial" w:hAnsi="Arial"/>
        </w:rPr>
        <w:t xml:space="preserve"> </w:t>
      </w:r>
      <w:r>
        <w:rPr>
          <w:sz w:val="24"/>
          <w:rFonts w:ascii="Arial" w:hAnsi="Arial"/>
        </w:rPr>
        <w:t xml:space="preserve">“sugars”, the word:</w:t>
      </w:r>
      <w:r>
        <w:rPr>
          <w:sz w:val="24"/>
          <w:rFonts w:ascii="Arial" w:hAnsi="Arial"/>
        </w:rPr>
        <w:t xml:space="preserve"> </w:t>
      </w:r>
      <w:r>
        <w:rPr>
          <w:sz w:val="24"/>
          <w:rFonts w:ascii="Arial" w:hAnsi="Arial"/>
        </w:rPr>
        <w:t xml:space="preserve">“simple” is deleted;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the seventh subparagraph after the words:</w:t>
      </w:r>
      <w:r>
        <w:rPr>
          <w:sz w:val="24"/>
          <w:rFonts w:ascii="Arial" w:hAnsi="Arial"/>
        </w:rPr>
        <w:t xml:space="preserve"> </w:t>
      </w:r>
      <w:r>
        <w:rPr>
          <w:sz w:val="24"/>
          <w:rFonts w:ascii="Arial" w:hAnsi="Arial"/>
        </w:rPr>
        <w:t xml:space="preserve">the words “in regard to the vitamins they contain” the following words are inserted:</w:t>
      </w:r>
      <w:r>
        <w:rPr>
          <w:sz w:val="24"/>
          <w:rFonts w:ascii="Arial" w:hAnsi="Arial"/>
        </w:rPr>
        <w:t xml:space="preserve"> </w:t>
      </w:r>
      <w:r>
        <w:rPr>
          <w:sz w:val="24"/>
          <w:rFonts w:ascii="Arial" w:hAnsi="Arial"/>
        </w:rPr>
        <w:t xml:space="preserve">“rapeseed, nut and olive oils (expressed as % in the food),”;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Table 2, after the words:</w:t>
      </w:r>
      <w:r>
        <w:rPr>
          <w:sz w:val="24"/>
          <w:rFonts w:ascii="Arial" w:hAnsi="Arial"/>
        </w:rPr>
        <w:t xml:space="preserve"> </w:t>
      </w:r>
      <w:r>
        <w:rPr>
          <w:sz w:val="24"/>
          <w:rFonts w:ascii="Arial" w:hAnsi="Arial"/>
        </w:rPr>
        <w:t xml:space="preserve">“Fruit and vegetables, pulses and nuts”, the parenthesis “(g/100g)” is deleted and the words:</w:t>
      </w:r>
      <w:r>
        <w:rPr>
          <w:sz w:val="24"/>
          <w:rFonts w:ascii="Arial" w:hAnsi="Arial"/>
        </w:rPr>
        <w:t xml:space="preserve"> </w:t>
      </w:r>
      <w:r>
        <w:rPr>
          <w:sz w:val="24"/>
          <w:rFonts w:ascii="Arial" w:hAnsi="Arial"/>
        </w:rPr>
        <w:t xml:space="preserve">“rapeseed oils, nuts and olives” are inserted.</w:t>
      </w:r>
      <w:r>
        <w:rPr>
          <w:sz w:val="24"/>
          <w:rFonts w:ascii="Arial" w:hAnsi="Arial"/>
        </w:rPr>
        <w:t xml:space="preserve"> </w:t>
      </w:r>
      <w:r>
        <w:rPr>
          <w:sz w:val="24"/>
          <w:rFonts w:ascii="Arial" w:hAnsi="Arial"/>
        </w:rPr>
        <w:t xml:space="preserve">In point 5, last column of the said table, the entry:</w:t>
      </w:r>
      <w:r>
        <w:rPr>
          <w:sz w:val="24"/>
          <w:rFonts w:ascii="Arial" w:hAnsi="Arial"/>
        </w:rPr>
        <w:t xml:space="preserve"> </w:t>
      </w:r>
      <w:r>
        <w:rPr>
          <w:sz w:val="24"/>
          <w:rFonts w:ascii="Arial" w:hAnsi="Arial"/>
        </w:rPr>
        <w:t xml:space="preserve">“&gt; 8.0” shall be replaced by:</w:t>
      </w:r>
      <w:r>
        <w:rPr>
          <w:sz w:val="24"/>
          <w:rFonts w:ascii="Arial" w:hAnsi="Arial"/>
        </w:rPr>
        <w:t xml:space="preserve"> </w:t>
      </w:r>
      <w:r>
        <w:rPr>
          <w:sz w:val="24"/>
          <w:rFonts w:ascii="Arial" w:hAnsi="Arial"/>
        </w:rPr>
        <w:t xml:space="preserve">« &gt; 8 »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the paragraph entitled:</w:t>
      </w:r>
      <w:r>
        <w:rPr>
          <w:sz w:val="24"/>
          <w:rFonts w:ascii="Arial" w:hAnsi="Arial"/>
        </w:rPr>
        <w:t xml:space="preserve"> </w:t>
      </w:r>
      <w:r>
        <w:rPr>
          <w:sz w:val="24"/>
          <w:rFonts w:ascii="Arial" w:hAnsi="Arial"/>
        </w:rPr>
        <w:t xml:space="preserve">“application of the specific rules”, the four subparagraphs are replaced by the following paragraphs: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“If the total of the N component is less than 11 points, the nutritional score shall be equal to the total of the N component points subtracted from the total of the P component.</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“If the total of the N component is greater than or equal to 11 points, and,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“If the points for “fruits &amp; vegetables, pulses and nuts and rapeseed, nut and olive oils" are equal to 5, then the nutritional score is equal to the total points of component N from which the total of component P is deducted.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“If the points for "fruits &amp; vegetables, pulses, nuts and rapeseed, nut and olive oils” are less than 5, then the nutritional score shall be equal to the total of the points in component N from which the sum of the points “Fibre” and “fruit &amp; vegetables, legumes, nuts and rapeseed, nut and olive oils” shall be deducted.</w:t>
      </w:r>
      <w:r>
        <w:rPr>
          <w:sz w:val="24"/>
          <w:rFonts w:ascii="Arial" w:hAnsi="Arial"/>
        </w:rPr>
        <w:t xml:space="preserve"> </w:t>
      </w:r>
      <w:r>
        <w:rPr>
          <w:sz w:val="24"/>
          <w:rFonts w:ascii="Arial" w:hAnsi="Arial"/>
        </w:rPr>
        <w:t xml:space="preserve">The protein content is thus not taken into account in the calculation of the nutritional score in this case.</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In section “1b – Special Cases”: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Table 4, the entry:</w:t>
      </w:r>
      <w:r>
        <w:rPr>
          <w:sz w:val="24"/>
          <w:rFonts w:ascii="Arial" w:hAnsi="Arial"/>
        </w:rPr>
        <w:t xml:space="preserve"> </w:t>
      </w:r>
      <w:r>
        <w:rPr>
          <w:sz w:val="24"/>
          <w:rFonts w:ascii="Arial" w:hAnsi="Arial"/>
        </w:rPr>
        <w:t xml:space="preserve">“energy (Kj)” shall be replaced by:</w:t>
      </w:r>
      <w:r>
        <w:rPr>
          <w:sz w:val="24"/>
          <w:rFonts w:ascii="Arial" w:hAnsi="Arial"/>
        </w:rPr>
        <w:t xml:space="preserve"> </w:t>
      </w:r>
      <w:r>
        <w:rPr>
          <w:sz w:val="24"/>
          <w:rFonts w:ascii="Arial" w:hAnsi="Arial"/>
        </w:rPr>
        <w:t xml:space="preserve">“energy density (Kj/100 ml)”, after the word:</w:t>
      </w:r>
      <w:r>
        <w:rPr>
          <w:sz w:val="24"/>
          <w:rFonts w:ascii="Arial" w:hAnsi="Arial"/>
        </w:rPr>
        <w:t xml:space="preserve"> </w:t>
      </w:r>
      <w:r>
        <w:rPr>
          <w:sz w:val="24"/>
          <w:rFonts w:ascii="Arial" w:hAnsi="Arial"/>
        </w:rPr>
        <w:t xml:space="preserve">“sugars”, the word:</w:t>
      </w:r>
      <w:r>
        <w:rPr>
          <w:sz w:val="24"/>
          <w:rFonts w:ascii="Arial" w:hAnsi="Arial"/>
        </w:rPr>
        <w:t xml:space="preserve"> </w:t>
      </w:r>
      <w:r>
        <w:rPr>
          <w:sz w:val="24"/>
          <w:rFonts w:ascii="Arial" w:hAnsi="Arial"/>
        </w:rPr>
        <w:t xml:space="preserve">“total” is deleted, and after the words:</w:t>
      </w:r>
      <w:r>
        <w:rPr>
          <w:sz w:val="24"/>
          <w:rFonts w:ascii="Arial" w:hAnsi="Arial"/>
        </w:rPr>
        <w:t xml:space="preserve"> </w:t>
      </w:r>
      <w:r>
        <w:rPr>
          <w:sz w:val="24"/>
          <w:rFonts w:ascii="Arial" w:hAnsi="Arial"/>
        </w:rPr>
        <w:t xml:space="preserve">“fruit and vegetables”, the words:</w:t>
      </w:r>
      <w:r>
        <w:rPr>
          <w:sz w:val="24"/>
          <w:rFonts w:ascii="Arial" w:hAnsi="Arial"/>
        </w:rPr>
        <w:t xml:space="preserve"> </w:t>
      </w:r>
      <w:r>
        <w:rPr>
          <w:sz w:val="24"/>
          <w:rFonts w:ascii="Arial" w:hAnsi="Arial"/>
        </w:rPr>
        <w:t xml:space="preserve">“legumes, nuts, rapeseed, nut and olive oils” shall be inserted;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after Table 4 the following sentence is inserted:</w:t>
      </w:r>
      <w:r>
        <w:rPr>
          <w:sz w:val="24"/>
          <w:rFonts w:ascii="Arial" w:hAnsi="Arial"/>
        </w:rPr>
        <w:t xml:space="preserve"> </w:t>
      </w:r>
      <w:r>
        <w:rPr>
          <w:sz w:val="24"/>
          <w:rFonts w:ascii="Arial" w:hAnsi="Arial"/>
        </w:rPr>
        <w:t xml:space="preserve">“The point values in Tables 1 and 2 for saturated fats, sodium, fibre and protein remain unchanged.</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In section “2b – Special Case for Beverages”: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the table, after the word:</w:t>
      </w:r>
      <w:r>
        <w:rPr>
          <w:sz w:val="24"/>
          <w:rFonts w:ascii="Arial" w:hAnsi="Arial"/>
        </w:rPr>
        <w:t xml:space="preserve"> </w:t>
      </w:r>
      <w:r>
        <w:rPr>
          <w:sz w:val="24"/>
          <w:rFonts w:ascii="Arial" w:hAnsi="Arial"/>
        </w:rPr>
        <w:t xml:space="preserve">“Waters”, the word:</w:t>
      </w:r>
      <w:r>
        <w:rPr>
          <w:sz w:val="24"/>
          <w:rFonts w:ascii="Arial" w:hAnsi="Arial"/>
        </w:rPr>
        <w:t xml:space="preserve"> </w:t>
      </w:r>
      <w:r>
        <w:rPr>
          <w:sz w:val="24"/>
          <w:rFonts w:ascii="Arial" w:hAnsi="Arial"/>
        </w:rPr>
        <w:t xml:space="preserve">“mineral” is deleted.</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In section “5 Monitoring the use of the device”: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after the word:</w:t>
      </w:r>
      <w:r>
        <w:rPr>
          <w:sz w:val="24"/>
          <w:rFonts w:ascii="Arial" w:hAnsi="Arial"/>
        </w:rPr>
        <w:t xml:space="preserve"> </w:t>
      </w:r>
      <w:r>
        <w:rPr>
          <w:sz w:val="24"/>
          <w:rFonts w:ascii="Arial" w:hAnsi="Arial"/>
        </w:rPr>
        <w:t xml:space="preserve">“inform”, the words:</w:t>
      </w:r>
      <w:r>
        <w:rPr>
          <w:sz w:val="24"/>
          <w:rFonts w:ascii="Arial" w:hAnsi="Arial"/>
        </w:rPr>
        <w:t xml:space="preserve"> </w:t>
      </w:r>
      <w:r>
        <w:rPr>
          <w:sz w:val="24"/>
          <w:rFonts w:ascii="Arial" w:hAnsi="Arial"/>
        </w:rPr>
        <w:t xml:space="preserve">“the nutrition section of” are deleted, the words:</w:t>
      </w:r>
      <w:r>
        <w:rPr>
          <w:sz w:val="24"/>
          <w:rFonts w:ascii="Arial" w:hAnsi="Arial"/>
        </w:rPr>
        <w:t xml:space="preserve"> </w:t>
      </w:r>
      <w:r>
        <w:rPr>
          <w:sz w:val="24"/>
          <w:rFonts w:ascii="Arial" w:hAnsi="Arial"/>
        </w:rPr>
        <w:t xml:space="preserve">“: in a format defined by OQALI” shall be replaced by:</w:t>
      </w:r>
      <w:r>
        <w:rPr>
          <w:sz w:val="24"/>
          <w:rFonts w:ascii="Arial" w:hAnsi="Arial"/>
        </w:rPr>
        <w:t xml:space="preserve"> </w:t>
      </w:r>
      <w:r>
        <w:rPr>
          <w:sz w:val="24"/>
          <w:rFonts w:ascii="Arial" w:hAnsi="Arial"/>
        </w:rPr>
        <w:t xml:space="preserve">“in a format defined by it” and the word:</w:t>
      </w:r>
      <w:r>
        <w:rPr>
          <w:sz w:val="24"/>
          <w:rFonts w:ascii="Arial" w:hAnsi="Arial"/>
        </w:rPr>
        <w:t xml:space="preserve"> </w:t>
      </w:r>
      <w:r>
        <w:rPr>
          <w:sz w:val="24"/>
          <w:rFonts w:ascii="Arial" w:hAnsi="Arial"/>
        </w:rPr>
        <w:t xml:space="preserve">“OQALI” shall be replaced by the words:</w:t>
      </w:r>
      <w:r>
        <w:rPr>
          <w:sz w:val="24"/>
          <w:rFonts w:ascii="Arial" w:hAnsi="Arial"/>
        </w:rPr>
        <w:t xml:space="preserve"> </w:t>
      </w:r>
      <w:r>
        <w:rPr>
          <w:sz w:val="24"/>
          <w:rFonts w:ascii="Arial" w:hAnsi="Arial"/>
        </w:rPr>
        <w:t xml:space="preserve">“the Food Observatory”.</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Article 2</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The Minister for Health, the Minister for Agriculture and Food and the Secretary of State, under the auspices of the Minister for Economy and Finance are responsible, each as far as they are concerned, for the implementation of this decree, which will be published in the Official Journal of the French Republic.</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Dated 30 August 2019.</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The Minister for Health,</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Buzyn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The Minister for Agriculture and Food,</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Didier Guillaume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The Minister of State attached to the Minister of the Economy and Finance,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Pannier-Runacher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B976E0" w:rsidRDefault="00B976E0">
      <w:pPr>
        <w:widowControl w:val="0"/>
        <w:autoSpaceDE w:val="0"/>
        <w:autoSpaceDN w:val="0"/>
        <w:adjustRightInd w:val="0"/>
        <w:spacing w:after="0" w:line="240" w:lineRule="auto"/>
        <w:rPr>
          <w:rFonts w:ascii="Arial" w:hAnsi="Arial" w:cs="Arial"/>
          <w:sz w:val="24"/>
          <w:szCs w:val="24"/>
        </w:rPr>
      </w:pPr>
    </w:p>
    <w:sectPr w:rsidR="00B976E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0F"/>
    <w:rsid w:val="00857C0F"/>
    <w:rsid w:val="00B9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066FF-1E3F-4C0A-9DE7-8DF40F2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2019-10-18T14:55:00Z</dcterms:created>
  <dcterms:modified xsi:type="dcterms:W3CDTF">2019-10-18T14:55:00Z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18 16:54:35 CEST 2019</vt:lpwstr>
  </property>
  <property fmtid="{D5CDD505-2E9C-101B-9397-08002B2CF9AE}" pid="3" name="jforVersion">
    <vt:lpwstr>jfor V0.7.2rc1 - see http://www.jfor.org</vt:lpwstr>
  </property>
</Properties>
</file>