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228E" w14:textId="12158C52" w:rsidR="004D4E99" w:rsidRPr="000B4DE0" w:rsidRDefault="000F7F9B" w:rsidP="000B4DE0">
      <w:pPr>
        <w:rPr>
          <w:rFonts w:ascii="Courier New" w:hAnsi="Courier New" w:cs="Courier New"/>
          <w:sz w:val="20"/>
        </w:rPr>
      </w:pPr>
      <w:r>
        <w:rPr>
          <w:rFonts w:ascii="Courier New" w:hAnsi="Courier New"/>
          <w:sz w:val="20"/>
        </w:rPr>
        <w:t>1. ------IND- 2020 0111 D-- DA</w:t>
      </w:r>
      <w:r w:rsidR="004D4E99">
        <w:rPr>
          <w:rFonts w:ascii="Courier New" w:hAnsi="Courier New"/>
          <w:sz w:val="20"/>
        </w:rPr>
        <w:t>- ------ 20200318 --- --- PROJET</w:t>
      </w:r>
    </w:p>
    <w:p w14:paraId="73350666" w14:textId="25523EF7" w:rsidR="00AB116C" w:rsidRPr="004D4E99" w:rsidRDefault="00AB116C" w:rsidP="004D4E99">
      <w:pPr>
        <w:pStyle w:val="VorblattDokumentstatus"/>
        <w:keepNext/>
        <w:keepLines/>
      </w:pPr>
      <w:r>
        <w:t>Lovforslag fra forbundsministeriet for ernæring og landbrug</w:t>
      </w:r>
    </w:p>
    <w:p w14:paraId="54437F0C" w14:textId="77777777" w:rsidR="00DB61EB" w:rsidRPr="004D4E99" w:rsidRDefault="00DB61EB" w:rsidP="004D4E99">
      <w:pPr>
        <w:pStyle w:val="VorblattBezeichnung"/>
        <w:keepNext/>
        <w:keepLines/>
      </w:pPr>
    </w:p>
    <w:p w14:paraId="3C6DE346" w14:textId="77777777" w:rsidR="00AB116C" w:rsidRPr="004D4E99" w:rsidRDefault="00AB116C" w:rsidP="004D4E99">
      <w:pPr>
        <w:pStyle w:val="VorblattBezeichnung"/>
        <w:keepNext/>
        <w:keepLines/>
      </w:pPr>
      <w:r>
        <w:t xml:space="preserve">Første forskrift om ændring af gennemførelsesforskriften om oplysninger om fødevarer </w:t>
      </w:r>
    </w:p>
    <w:p w14:paraId="5EB4CE31" w14:textId="77777777" w:rsidR="00AB116C" w:rsidRPr="004D4E99" w:rsidRDefault="00AB116C" w:rsidP="004D4E99">
      <w:pPr>
        <w:pStyle w:val="VorblattTitelProblemundZiel"/>
        <w:keepNext/>
        <w:keepLines/>
      </w:pPr>
      <w:r>
        <w:t>A. Problem og målsætning</w:t>
      </w:r>
    </w:p>
    <w:p w14:paraId="59571EDE" w14:textId="77777777" w:rsidR="00AB116C" w:rsidRPr="004D4E99" w:rsidRDefault="00AB116C" w:rsidP="004D4E99">
      <w:pPr>
        <w:pStyle w:val="Text"/>
        <w:rPr>
          <w:rStyle w:val="Marker"/>
          <w:color w:val="auto"/>
        </w:rPr>
      </w:pPr>
      <w:r>
        <w:rPr>
          <w:rStyle w:val="Marker"/>
          <w:color w:val="auto"/>
        </w:rPr>
        <w:t>I Tyskland er 47 procent af kvinder, 62 procent af mænd og 15 procent af børn og unge overvægtige. En grund til dette er forbruget af for mange ernæringsfysiologisk ufordelagtigt sammensatte fødevarer.</w:t>
      </w:r>
    </w:p>
    <w:p w14:paraId="7E480828" w14:textId="77777777" w:rsidR="00AB116C" w:rsidRPr="004D4E99" w:rsidRDefault="00AB116C" w:rsidP="004D4E99">
      <w:pPr>
        <w:pStyle w:val="Text"/>
        <w:rPr>
          <w:rStyle w:val="Marker"/>
          <w:color w:val="auto"/>
        </w:rPr>
      </w:pPr>
      <w:r>
        <w:rPr>
          <w:rStyle w:val="Marker"/>
          <w:color w:val="auto"/>
        </w:rPr>
        <w:t xml:space="preserve">På baggrund af dette har forbundsregeringen sat sig som mål at videreudvikle næringsdeklarationen for Tyskland med henblik på at gøre informationerne om en fødevares ernæringsfysiologiske beskaffenhed simple og forståelige. </w:t>
      </w:r>
    </w:p>
    <w:p w14:paraId="2C6DDABF" w14:textId="77777777" w:rsidR="00AB116C" w:rsidRPr="004D4E99" w:rsidRDefault="00AB116C" w:rsidP="004D4E99">
      <w:pPr>
        <w:pStyle w:val="Text"/>
        <w:rPr>
          <w:rStyle w:val="Marker"/>
          <w:color w:val="auto"/>
        </w:rPr>
      </w:pPr>
      <w:r>
        <w:rPr>
          <w:rStyle w:val="Marker"/>
          <w:color w:val="auto"/>
        </w:rPr>
        <w:t xml:space="preserve">Omfattende undersøgelser (foreløbig rapport fra Max-Rubner-instituttet: Vurdering af udvalgte Front-of-Pack-næringsdeklarationsmodeller, evaluering af udvidede næringsdeklarationsmodeller: resultatrapporter fra INFO GmbH fra en repræsentativ rundspørge og fokusgruppediskussioner) viser, at Nutri-Score-mærket bygger på et gyldigt videnskabeligt grundlag og forstås og bemærkes bedst af forbrugere. </w:t>
      </w:r>
    </w:p>
    <w:p w14:paraId="0D6DA0BD" w14:textId="77777777" w:rsidR="00AB116C" w:rsidRPr="00E55EC6" w:rsidRDefault="00AB116C" w:rsidP="004D4E99">
      <w:pPr>
        <w:pStyle w:val="Text"/>
        <w:rPr>
          <w:spacing w:val="-2"/>
        </w:rPr>
      </w:pPr>
      <w:r w:rsidRPr="00E55EC6">
        <w:rPr>
          <w:spacing w:val="-2"/>
        </w:rPr>
        <w:t>Nutri-Score er et EU-kollektivmærke, der er registreret hos Den Europæiske Unions Kontor for Intellektuel Ejendomsret (EUIPO) med det franske Agènce nationale de la santé publique (Santé publique France – det nationale agentur for folkesundhed, en organisation under det franske sundhedsministerium) som indehaver. I forbindelse med anvendelsen af mærket Nutri-Score af tredjeparter skal der derfor først og fremmest tages hensyn til de relevante krav for varemærker, herunder betingelser, der er fastsat af indehaveren.</w:t>
      </w:r>
    </w:p>
    <w:p w14:paraId="41BC33D9" w14:textId="77777777" w:rsidR="004E3C6A" w:rsidRPr="00E55EC6" w:rsidRDefault="004E3C6A" w:rsidP="004D4E99">
      <w:pPr>
        <w:pStyle w:val="Text"/>
        <w:rPr>
          <w:spacing w:val="-2"/>
        </w:rPr>
      </w:pPr>
      <w:r w:rsidRPr="00E55EC6">
        <w:rPr>
          <w:spacing w:val="-2"/>
        </w:rPr>
        <w:t xml:space="preserve">Ved Nutri-Score viser en femtrinnet skala fra A til E en samlet værdi for et produkts næringsværdi. Her beregnes kalorietal og forskellige næringsværdier i forhold til hinanden. </w:t>
      </w:r>
    </w:p>
    <w:p w14:paraId="6C1DE6B8" w14:textId="77777777" w:rsidR="00AB116C" w:rsidRPr="004D4E99" w:rsidRDefault="00AB116C" w:rsidP="004D4E99">
      <w:pPr>
        <w:pStyle w:val="Text"/>
        <w:rPr>
          <w:rStyle w:val="Marker"/>
          <w:color w:val="auto"/>
        </w:rPr>
      </w:pPr>
      <w:r>
        <w:rPr>
          <w:rStyle w:val="Marker"/>
          <w:color w:val="auto"/>
        </w:rPr>
        <w:t>Med en åbningsklausul fastsættes retsgrundlaget for mærkning af fødevarer t</w:t>
      </w:r>
      <w:r>
        <w:t xml:space="preserve">il anvendelse af Nutri-Score-mærket i Tyskland. </w:t>
      </w:r>
    </w:p>
    <w:p w14:paraId="52290758" w14:textId="77777777" w:rsidR="00AB116C" w:rsidRPr="004D4E99" w:rsidRDefault="00AB116C" w:rsidP="004D4E99">
      <w:pPr>
        <w:pStyle w:val="VorblattTitelLsung"/>
        <w:keepNext/>
        <w:keepLines/>
      </w:pPr>
      <w:r>
        <w:t>B. Løsning</w:t>
      </w:r>
    </w:p>
    <w:p w14:paraId="0B0BA765" w14:textId="77777777" w:rsidR="00AB116C" w:rsidRPr="004D4E99" w:rsidRDefault="00AB116C" w:rsidP="004D4E99">
      <w:pPr>
        <w:pStyle w:val="Text"/>
      </w:pPr>
      <w:r>
        <w:rPr>
          <w:rStyle w:val="Marker"/>
          <w:color w:val="auto"/>
        </w:rPr>
        <w:t xml:space="preserve">Retsgrundlag for den frivillige anvendelse af Nutri-Score-mærket i Tyskland. </w:t>
      </w:r>
    </w:p>
    <w:p w14:paraId="59217ACC" w14:textId="77777777" w:rsidR="00AB116C" w:rsidRPr="004D4E99" w:rsidRDefault="00AB116C" w:rsidP="004D4E99">
      <w:pPr>
        <w:pStyle w:val="VorblattTitelAlternativen"/>
        <w:keepNext/>
        <w:keepLines/>
      </w:pPr>
      <w:r>
        <w:t>C. Alternativer</w:t>
      </w:r>
    </w:p>
    <w:p w14:paraId="550B39B1" w14:textId="1C85B5AF" w:rsidR="00F047E3" w:rsidRPr="004D4E99" w:rsidRDefault="00F047E3" w:rsidP="004D4E99">
      <w:pPr>
        <w:pStyle w:val="Text"/>
        <w:rPr>
          <w:rStyle w:val="Marker"/>
          <w:color w:val="auto"/>
        </w:rPr>
      </w:pPr>
      <w:r>
        <w:rPr>
          <w:rStyle w:val="Marker"/>
          <w:color w:val="auto"/>
        </w:rPr>
        <w:t xml:space="preserve">Inden for rammerne af undersøgelserne, der er nævnt under A., blev en række udvidede næringsdeklarationsmodeller undersøgt (bl.a. Keyhole®, fødevaresektorens model, Max-Rubner-instituttets model). Undersøgelserne viser, at Nutri-Score-mærket bygger på et gyldigt videnskabeligt grundlag og forstås og bemærkes bedst af forbrugere. </w:t>
      </w:r>
    </w:p>
    <w:p w14:paraId="26338DEE" w14:textId="77777777" w:rsidR="00AB116C" w:rsidRPr="004D4E99" w:rsidRDefault="00AB116C" w:rsidP="00E55EC6">
      <w:pPr>
        <w:pStyle w:val="VorblattTitelHaushaltsausgabenohneErfllungsaufwand"/>
        <w:keepNext/>
        <w:keepLines/>
      </w:pPr>
      <w:r>
        <w:lastRenderedPageBreak/>
        <w:t>D. Budgetudgifter uden tilpasningsomkostninger</w:t>
      </w:r>
    </w:p>
    <w:p w14:paraId="22D8B835" w14:textId="77777777" w:rsidR="00AB116C" w:rsidRPr="004D4E99" w:rsidRDefault="00AB116C" w:rsidP="00E55EC6">
      <w:pPr>
        <w:pStyle w:val="VorblattTitelErfllungsaufwand"/>
        <w:keepNext/>
        <w:keepLines/>
      </w:pPr>
      <w:r>
        <w:t>E. Tilpasningsomkostninger</w:t>
      </w:r>
    </w:p>
    <w:p w14:paraId="6F1F8D70" w14:textId="77777777" w:rsidR="00AB116C" w:rsidRPr="004D4E99" w:rsidRDefault="00AB116C" w:rsidP="00E55EC6">
      <w:pPr>
        <w:pStyle w:val="VorblattTitelErfllungsaufwandBrgerinnenundBrger"/>
        <w:keepNext/>
        <w:keepLines/>
      </w:pPr>
      <w:r>
        <w:t>E.1 Tilpasningsomkostninger for borgere</w:t>
      </w:r>
    </w:p>
    <w:p w14:paraId="2881E6C4" w14:textId="77777777" w:rsidR="00AB116C" w:rsidRPr="004D4E99" w:rsidRDefault="00AB116C" w:rsidP="00E55EC6">
      <w:pPr>
        <w:pStyle w:val="Text"/>
        <w:keepNext/>
        <w:keepLines/>
      </w:pPr>
      <w:r>
        <w:rPr>
          <w:rStyle w:val="Marker"/>
          <w:color w:val="auto"/>
        </w:rPr>
        <w:t xml:space="preserve">Der opstår ingen tilpasningsomkostninger for borgerne. </w:t>
      </w:r>
    </w:p>
    <w:p w14:paraId="1A7EC865" w14:textId="77777777" w:rsidR="00AB116C" w:rsidRPr="004D4E99" w:rsidRDefault="00AB116C" w:rsidP="00E55EC6">
      <w:pPr>
        <w:pStyle w:val="VorblattTitelErfllungsaufwandWirtschaft"/>
        <w:keepNext/>
        <w:keepLines/>
      </w:pPr>
      <w:r>
        <w:t>E.2 Tilpasningsomkostninger for erhvervslivet</w:t>
      </w:r>
    </w:p>
    <w:p w14:paraId="357A658B" w14:textId="74D68949" w:rsidR="00AB116C" w:rsidRPr="004D4E99" w:rsidRDefault="002F0011" w:rsidP="004D4E99">
      <w:pPr>
        <w:pStyle w:val="Text"/>
      </w:pPr>
      <w:r>
        <w:t xml:space="preserve">Der opstår ingen ekstra tilpasningsomkostninger for erhvervslivet. </w:t>
      </w:r>
    </w:p>
    <w:p w14:paraId="33965A77" w14:textId="77777777" w:rsidR="00AB116C" w:rsidRPr="004D4E99" w:rsidRDefault="00AB116C" w:rsidP="004D4E99">
      <w:pPr>
        <w:pStyle w:val="VorblattTitelErfllungsaufwandVerwaltung"/>
        <w:keepNext/>
        <w:keepLines/>
      </w:pPr>
      <w:r>
        <w:t>E.3 Tilpasningsomkostninger for forvaltningen</w:t>
      </w:r>
    </w:p>
    <w:p w14:paraId="2A196052" w14:textId="015D0325" w:rsidR="00AB116C" w:rsidRPr="004D4E99" w:rsidRDefault="002F0011" w:rsidP="004D4E99">
      <w:pPr>
        <w:pStyle w:val="Text"/>
      </w:pPr>
      <w:r>
        <w:rPr>
          <w:rStyle w:val="Marker"/>
          <w:color w:val="auto"/>
        </w:rPr>
        <w:t xml:space="preserve">Der opstår ingen yderligere tilpasningsomkostninger for forvaltningen. </w:t>
      </w:r>
    </w:p>
    <w:p w14:paraId="2A910281" w14:textId="77777777" w:rsidR="00AB116C" w:rsidRPr="004D4E99" w:rsidRDefault="00AB116C" w:rsidP="004D4E99">
      <w:pPr>
        <w:pStyle w:val="VorblattTitelWeitereKosten"/>
        <w:keepNext/>
        <w:keepLines/>
      </w:pPr>
      <w:r>
        <w:t>F. Yderligere omkostninger</w:t>
      </w:r>
    </w:p>
    <w:p w14:paraId="1819EB1A" w14:textId="77777777" w:rsidR="00AB116C" w:rsidRPr="004D4E99" w:rsidRDefault="00AB116C" w:rsidP="004D4E99">
      <w:pPr>
        <w:pStyle w:val="Text"/>
        <w:rPr>
          <w:rStyle w:val="Marker"/>
          <w:color w:val="auto"/>
        </w:rPr>
      </w:pPr>
      <w:r>
        <w:rPr>
          <w:rStyle w:val="Marker"/>
          <w:color w:val="auto"/>
        </w:rPr>
        <w:t xml:space="preserve">Mindre indvirkninger på enkeltpriser kan ikke helt udelukkes. Det almindelige prisniveau, især forbrugerprisniveauet, forventes imidlertid ikke berørt heraf. </w:t>
      </w:r>
    </w:p>
    <w:p w14:paraId="355D0EED" w14:textId="44C49E7F" w:rsidR="002F0011" w:rsidRPr="004D4E99" w:rsidRDefault="002F0011" w:rsidP="004D4E99">
      <w:pPr>
        <w:pStyle w:val="Text"/>
        <w:rPr>
          <w:rStyle w:val="Marker"/>
          <w:color w:val="auto"/>
        </w:rPr>
      </w:pPr>
      <w:r>
        <w:rPr>
          <w:rStyle w:val="Marker"/>
          <w:color w:val="auto"/>
        </w:rPr>
        <w:t xml:space="preserve">I forbindelse med anvendelsen af Nutri-Score-mærket kan der opstå yderligere omkostninger for virksomheder, der imidlertid overordnet set skønnes til at være mindre. </w:t>
      </w:r>
    </w:p>
    <w:p w14:paraId="5EB6A175" w14:textId="77777777" w:rsidR="00AB116C" w:rsidRPr="004D4E99" w:rsidRDefault="00AB116C" w:rsidP="004D4E99">
      <w:pPr>
        <w:pStyle w:val="Text"/>
        <w:rPr>
          <w:rStyle w:val="Marker"/>
          <w:color w:val="auto"/>
        </w:rPr>
      </w:pPr>
    </w:p>
    <w:p w14:paraId="4B8906C4" w14:textId="77777777" w:rsidR="00AB116C" w:rsidRPr="004D4E99" w:rsidRDefault="00AB116C" w:rsidP="004D4E99">
      <w:pPr>
        <w:pStyle w:val="Dokumentstatus"/>
        <w:keepNext/>
        <w:keepLines/>
        <w:pageBreakBefore/>
      </w:pPr>
      <w:r>
        <w:lastRenderedPageBreak/>
        <w:t>Lovforslag fra forbundsministeriet for ernæring og landbrug</w:t>
      </w:r>
    </w:p>
    <w:p w14:paraId="62D56DB5" w14:textId="77777777" w:rsidR="00AB116C" w:rsidRPr="004D4E99" w:rsidRDefault="00AB116C" w:rsidP="004D4E99">
      <w:pPr>
        <w:pStyle w:val="Bezeichnungnderungsdokument"/>
        <w:keepNext/>
        <w:keepLines/>
      </w:pPr>
      <w:r>
        <w:t>Første forskrift om ændring af gennemførelsesforskriften om oplysninger om fødevarer</w:t>
      </w:r>
      <w:r>
        <w:rPr>
          <w:rStyle w:val="FootnoteReference"/>
        </w:rPr>
        <w:footnoteReference w:customMarkFollows="1" w:id="1"/>
        <w:t>*)</w:t>
      </w:r>
    </w:p>
    <w:p w14:paraId="30DEB729" w14:textId="77777777" w:rsidR="00AB116C" w:rsidRPr="004D4E99" w:rsidRDefault="00AB116C" w:rsidP="004D4E99">
      <w:pPr>
        <w:pStyle w:val="Ausfertigungsdatumnderungsdokument"/>
      </w:pPr>
      <w:r>
        <w:t>af ...</w:t>
      </w:r>
    </w:p>
    <w:p w14:paraId="6B2563C7" w14:textId="33BC6EDA" w:rsidR="00AB116C" w:rsidRPr="004D4E99" w:rsidRDefault="00AB116C" w:rsidP="004D4E99">
      <w:pPr>
        <w:pStyle w:val="EingangsformelStandardnderungsdokument"/>
      </w:pPr>
      <w:r>
        <w:t>På baggrund af § 35, nr. 1, i loven om fødevarer og foderstoffer som affattet i bekendtgørelse af 3. juni 2013 (Tysklands statstidende (BGBl.) I, s. 1426), der senest er ændret ved artikel 67, nr. 6, i forskriften af 31. august 2015 (BGBl. I, s. 1474), bestemmer forbundsministeriet for ernæring og landbrug i samarbejde med forbundsministeriet for erhverv og energi følgende:</w:t>
      </w:r>
    </w:p>
    <w:p w14:paraId="4FB86449" w14:textId="6FEC2D31" w:rsidR="004D4E99" w:rsidRPr="004D4E99" w:rsidRDefault="004D4E99" w:rsidP="004D4E99">
      <w:pPr>
        <w:pStyle w:val="Artikelberschrift"/>
        <w:keepLines/>
        <w:spacing w:before="480"/>
      </w:pPr>
      <w:r>
        <w:t>Artikel 1</w:t>
      </w:r>
    </w:p>
    <w:p w14:paraId="69CDBB97" w14:textId="77777777" w:rsidR="00AB116C" w:rsidRPr="004D4E99" w:rsidRDefault="00AB116C" w:rsidP="004D4E99">
      <w:pPr>
        <w:pStyle w:val="Artikelberschrift"/>
        <w:keepLines/>
      </w:pPr>
      <w:bookmarkStart w:id="0" w:name="_Toc20911408"/>
      <w:r>
        <w:t>Ændring af gennemførelsesforskriften om oplysninger om fødevarer</w:t>
      </w:r>
      <w:bookmarkEnd w:id="0"/>
    </w:p>
    <w:p w14:paraId="14A290BC" w14:textId="77777777" w:rsidR="00AB116C" w:rsidRPr="004D4E99" w:rsidRDefault="00AB116C" w:rsidP="004D4E99">
      <w:pPr>
        <w:pStyle w:val="JuristischerAbsatznichtnummeriert"/>
        <w:rPr>
          <w:rStyle w:val="Marker"/>
          <w:b/>
          <w:color w:val="auto"/>
          <w:sz w:val="28"/>
        </w:rPr>
      </w:pPr>
      <w:r>
        <w:rPr>
          <w:rStyle w:val="Marker"/>
          <w:color w:val="auto"/>
        </w:rPr>
        <w:t xml:space="preserve">Gennemførelsesforskriften om oplysninger om fødevarer af 5. juli 2017 (BGBl. I, s. 2272) ændres som følger: </w:t>
      </w:r>
    </w:p>
    <w:p w14:paraId="3B973FF5" w14:textId="77777777" w:rsidR="00AB116C" w:rsidRPr="004D4E99" w:rsidRDefault="00AB116C" w:rsidP="004D4E99">
      <w:pPr>
        <w:pStyle w:val="NummerierungStufe1"/>
        <w:rPr>
          <w:rStyle w:val="Marker"/>
          <w:color w:val="auto"/>
        </w:rPr>
      </w:pPr>
      <w:r>
        <w:rPr>
          <w:rStyle w:val="Marker"/>
          <w:color w:val="auto"/>
        </w:rPr>
        <w:t>Efter § 4 indføjes følgende § 4a:</w:t>
      </w:r>
    </w:p>
    <w:p w14:paraId="347D74AB" w14:textId="77777777" w:rsidR="00AB116C" w:rsidRPr="004D4E99" w:rsidRDefault="00AB116C" w:rsidP="004D4E99">
      <w:pPr>
        <w:pStyle w:val="RevisionParagraphBezeichnermanuell"/>
        <w:keepLines/>
        <w:ind w:left="432" w:hanging="75"/>
        <w:rPr>
          <w:color w:val="auto"/>
        </w:rPr>
      </w:pPr>
      <w:r>
        <w:rPr>
          <w:color w:val="auto"/>
        </w:rPr>
        <w:t xml:space="preserve">"§ </w:t>
      </w:r>
      <w:r>
        <w:t>4a</w:t>
      </w:r>
    </w:p>
    <w:p w14:paraId="4BF195B8" w14:textId="77777777" w:rsidR="00AB116C" w:rsidRPr="004D4E99" w:rsidRDefault="00AB116C" w:rsidP="004D4E99">
      <w:pPr>
        <w:pStyle w:val="RevisionParagraphberschrift"/>
        <w:keepLines/>
        <w:ind w:left="432"/>
        <w:rPr>
          <w:color w:val="auto"/>
        </w:rPr>
      </w:pPr>
      <w:r>
        <w:rPr>
          <w:rStyle w:val="Marker"/>
          <w:color w:val="auto"/>
        </w:rPr>
        <w:t>Udvidet næringsdeklaration</w:t>
      </w:r>
    </w:p>
    <w:p w14:paraId="0E098645" w14:textId="77777777" w:rsidR="00AB116C" w:rsidRPr="004D4E99" w:rsidRDefault="00AB116C" w:rsidP="004D4E99">
      <w:pPr>
        <w:pStyle w:val="RevisionJuristischerAbsatz"/>
        <w:tabs>
          <w:tab w:val="clear" w:pos="850"/>
          <w:tab w:val="num" w:pos="1275"/>
        </w:tabs>
        <w:ind w:left="425"/>
        <w:rPr>
          <w:color w:val="auto"/>
        </w:rPr>
      </w:pPr>
      <w:r>
        <w:rPr>
          <w:color w:val="auto"/>
        </w:rPr>
        <w:t>Den ansvarlige i henhold til artikel 8, stk. 1, eller stk. 4, 2. punktum, i forordning (EU) nr. 1169/2011 må markedsføre fødevarer med Nutri-Score-mærket, der er vist i bilaget, og som er registreret som EU-kollektivmærke hos Den Europæiske Unions Kontor for Intellektuel Ejendomsret.</w:t>
      </w:r>
    </w:p>
    <w:p w14:paraId="1E70B10D" w14:textId="77777777" w:rsidR="00AB116C" w:rsidRPr="004D4E99" w:rsidRDefault="00AB116C" w:rsidP="004D4E99">
      <w:pPr>
        <w:pStyle w:val="RevisionJuristischerAbsatz"/>
        <w:tabs>
          <w:tab w:val="clear" w:pos="850"/>
          <w:tab w:val="num" w:pos="1275"/>
        </w:tabs>
        <w:ind w:left="425"/>
        <w:rPr>
          <w:color w:val="auto"/>
        </w:rPr>
      </w:pPr>
      <w:r>
        <w:rPr>
          <w:color w:val="auto"/>
        </w:rPr>
        <w:t xml:space="preserve">Anvendelsen af Nutri-Score-mærket er frivillig. </w:t>
      </w:r>
    </w:p>
    <w:p w14:paraId="64450B19" w14:textId="77777777" w:rsidR="00AB116C" w:rsidRPr="004D4E99" w:rsidRDefault="009E1F4C" w:rsidP="004D4E99">
      <w:pPr>
        <w:pStyle w:val="RevisionJuristischerAbsatz"/>
        <w:tabs>
          <w:tab w:val="clear" w:pos="850"/>
          <w:tab w:val="num" w:pos="1275"/>
        </w:tabs>
        <w:ind w:left="425"/>
        <w:rPr>
          <w:color w:val="auto"/>
        </w:rPr>
      </w:pPr>
      <w:r>
        <w:rPr>
          <w:color w:val="auto"/>
        </w:rPr>
        <w:t xml:space="preserve">Anvendelsen af Nutri-Score-mærket forudsætter, at den ansvarlige i henhold til artikel 8, stk. 1, eller stk. 4, 2. punktum i forordning (EU) nr. 1169/2011 især </w:t>
      </w:r>
    </w:p>
    <w:p w14:paraId="47C7B3F2" w14:textId="77777777" w:rsidR="00AB116C" w:rsidRPr="004D4E99" w:rsidRDefault="00AB116C" w:rsidP="004D4E99">
      <w:pPr>
        <w:pStyle w:val="RevisionNummerierungStufe1"/>
        <w:tabs>
          <w:tab w:val="clear" w:pos="425"/>
          <w:tab w:val="num" w:pos="850"/>
        </w:tabs>
        <w:ind w:left="850"/>
        <w:rPr>
          <w:color w:val="auto"/>
        </w:rPr>
      </w:pPr>
      <w:r>
        <w:rPr>
          <w:color w:val="auto"/>
        </w:rPr>
        <w:t>har fået de nødvendige tilladelser fra indehaveren</w:t>
      </w:r>
    </w:p>
    <w:p w14:paraId="534F1A0A" w14:textId="77777777" w:rsidR="00AB116C" w:rsidRPr="004D4E99" w:rsidRDefault="00AB116C" w:rsidP="004D4E99">
      <w:pPr>
        <w:pStyle w:val="RevisionNummerierungStufe1"/>
        <w:tabs>
          <w:tab w:val="clear" w:pos="425"/>
          <w:tab w:val="num" w:pos="850"/>
        </w:tabs>
        <w:ind w:left="850"/>
        <w:rPr>
          <w:color w:val="auto"/>
        </w:rPr>
      </w:pPr>
      <w:r>
        <w:rPr>
          <w:color w:val="auto"/>
        </w:rPr>
        <w:t>overholder indehaverens betingelser for anvendelsen af mærket.</w:t>
      </w:r>
    </w:p>
    <w:p w14:paraId="1CA6C448" w14:textId="7093041E" w:rsidR="004E3C6A" w:rsidRPr="004D4E99" w:rsidRDefault="004E3C6A" w:rsidP="004D4E99">
      <w:pPr>
        <w:pStyle w:val="RevisionJuristischerAbsatz"/>
        <w:tabs>
          <w:tab w:val="clear" w:pos="850"/>
          <w:tab w:val="num" w:pos="1275"/>
        </w:tabs>
        <w:ind w:left="425"/>
        <w:rPr>
          <w:color w:val="auto"/>
        </w:rPr>
      </w:pPr>
      <w:r>
        <w:rPr>
          <w:color w:val="auto"/>
        </w:rPr>
        <w:t>Til ansøgning om tilladelser i henhold til stk. 3, nr. 1, kan forbundsministeriet for ernæring og landbrug offentliggøre følgende i Tysklands statstidende:</w:t>
      </w:r>
    </w:p>
    <w:p w14:paraId="44C4BF0B" w14:textId="77777777" w:rsidR="004E3C6A" w:rsidRPr="004D4E99" w:rsidRDefault="004E3C6A" w:rsidP="004D4E99">
      <w:pPr>
        <w:pStyle w:val="RevisionNummerierungStufe2"/>
        <w:numPr>
          <w:ilvl w:val="0"/>
          <w:numId w:val="0"/>
        </w:numPr>
        <w:ind w:left="425"/>
        <w:rPr>
          <w:color w:val="auto"/>
        </w:rPr>
      </w:pPr>
      <w:r>
        <w:rPr>
          <w:color w:val="auto"/>
        </w:rPr>
        <w:t xml:space="preserve">1. </w:t>
      </w:r>
      <w:r>
        <w:rPr>
          <w:color w:val="auto"/>
        </w:rPr>
        <w:tab/>
        <w:t>typeformularer på tysk</w:t>
      </w:r>
    </w:p>
    <w:p w14:paraId="4AE1EE60" w14:textId="77777777" w:rsidR="004E3C6A" w:rsidRDefault="004E3C6A" w:rsidP="004D4E99">
      <w:pPr>
        <w:pStyle w:val="RevisionNummerierungStufe2"/>
        <w:numPr>
          <w:ilvl w:val="0"/>
          <w:numId w:val="0"/>
        </w:numPr>
        <w:ind w:left="425"/>
        <w:rPr>
          <w:color w:val="auto"/>
        </w:rPr>
      </w:pPr>
      <w:r>
        <w:rPr>
          <w:color w:val="auto"/>
        </w:rPr>
        <w:t>2. oplysninger, der skal angives, på tysk og en e-mailadresse, der er indstillet således, at de e-mails, der sendes hertil, automatisk videresendes til indehaveren.".</w:t>
      </w:r>
    </w:p>
    <w:p w14:paraId="4CE137F5" w14:textId="77777777" w:rsidR="004D4E99" w:rsidRPr="004D4E99" w:rsidRDefault="004D4E99" w:rsidP="004D4E99">
      <w:pPr>
        <w:pStyle w:val="RevisionNummerierungStufe2"/>
        <w:numPr>
          <w:ilvl w:val="0"/>
          <w:numId w:val="0"/>
        </w:numPr>
        <w:ind w:left="425"/>
        <w:rPr>
          <w:color w:val="auto"/>
        </w:rPr>
      </w:pPr>
    </w:p>
    <w:p w14:paraId="7784283B" w14:textId="77777777" w:rsidR="00C74E1B" w:rsidRPr="004D4E99" w:rsidRDefault="000604EE" w:rsidP="004D4E99">
      <w:pPr>
        <w:pStyle w:val="NummerierungStufe1"/>
        <w:keepNext/>
        <w:keepLines/>
        <w:rPr>
          <w:rStyle w:val="Marker"/>
          <w:color w:val="auto"/>
        </w:rPr>
      </w:pPr>
      <w:r>
        <w:rPr>
          <w:rStyle w:val="Marker"/>
          <w:color w:val="auto"/>
        </w:rPr>
        <w:lastRenderedPageBreak/>
        <w:t>Følgende bilag tilføjes:</w:t>
      </w:r>
    </w:p>
    <w:p w14:paraId="24085CB7" w14:textId="77777777" w:rsidR="00C74E1B" w:rsidRPr="004D4E99" w:rsidRDefault="00C74E1B" w:rsidP="004D4E99">
      <w:pPr>
        <w:keepNext/>
        <w:keepLines/>
      </w:pPr>
    </w:p>
    <w:p w14:paraId="6FD9A6EE" w14:textId="77777777" w:rsidR="00AB116C" w:rsidRPr="004D4E99" w:rsidRDefault="00AB116C" w:rsidP="004D4E99">
      <w:pPr>
        <w:pStyle w:val="RevisionAnlageBezeichner"/>
        <w:keepNext/>
        <w:keepLines/>
        <w:rPr>
          <w:color w:val="auto"/>
        </w:rPr>
      </w:pPr>
      <w:r>
        <w:rPr>
          <w:color w:val="auto"/>
        </w:rPr>
        <w:t>"Bilag</w:t>
      </w:r>
    </w:p>
    <w:p w14:paraId="0BE5D91F" w14:textId="77777777" w:rsidR="00AB116C" w:rsidRPr="004D4E99" w:rsidRDefault="00AB116C" w:rsidP="004D4E99">
      <w:pPr>
        <w:pStyle w:val="RevisionAnlageVerweis"/>
        <w:keepNext/>
        <w:keepLines/>
        <w:rPr>
          <w:color w:val="auto"/>
        </w:rPr>
      </w:pPr>
      <w:r>
        <w:rPr>
          <w:color w:val="auto"/>
        </w:rPr>
        <w:t>(ad § 4a, stk. 1)</w:t>
      </w:r>
    </w:p>
    <w:p w14:paraId="0BC73A07" w14:textId="77777777" w:rsidR="00AB116C" w:rsidRPr="004D4E99" w:rsidRDefault="00AB116C" w:rsidP="004D4E99">
      <w:pPr>
        <w:pStyle w:val="RevisionAnlageberschrift"/>
        <w:keepNext/>
        <w:keepLines/>
        <w:rPr>
          <w:color w:val="auto"/>
        </w:rPr>
      </w:pPr>
      <w:r>
        <w:rPr>
          <w:color w:val="auto"/>
        </w:rPr>
        <w:t>Billeder af Nutri-Score-mærket</w:t>
      </w:r>
    </w:p>
    <w:p w14:paraId="7509E81F" w14:textId="77777777" w:rsidR="00AB116C" w:rsidRDefault="00AB116C" w:rsidP="004D4E99">
      <w:pPr>
        <w:pStyle w:val="RevisionAnlageberschrift"/>
        <w:rPr>
          <w:rStyle w:val="RevisionText"/>
          <w:color w:val="auto"/>
        </w:rPr>
      </w:pPr>
      <w:r>
        <w:rPr>
          <w:noProof/>
          <w:color w:val="auto"/>
          <w:lang w:val="en-US"/>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E55EC6" w14:paraId="60D3C697" w14:textId="77777777" w:rsidTr="004D4E99">
        <w:tc>
          <w:tcPr>
            <w:tcW w:w="4502" w:type="dxa"/>
          </w:tcPr>
          <w:p w14:paraId="519728B4" w14:textId="1ED52059" w:rsidR="004D4E99" w:rsidRPr="00E55EC6" w:rsidRDefault="004D4E99" w:rsidP="004D4E99">
            <w:pPr>
              <w:spacing w:before="0" w:after="0"/>
            </w:pPr>
            <w:r w:rsidRPr="00E55EC6">
              <w:t>NUTRI-SCORE</w:t>
            </w:r>
          </w:p>
        </w:tc>
        <w:tc>
          <w:tcPr>
            <w:tcW w:w="4503" w:type="dxa"/>
          </w:tcPr>
          <w:p w14:paraId="2F0152D7" w14:textId="3F3DB840" w:rsidR="004D4E99" w:rsidRPr="00E55EC6" w:rsidRDefault="004D4E99" w:rsidP="004D4E99">
            <w:pPr>
              <w:spacing w:before="0" w:after="0"/>
            </w:pPr>
            <w:r w:rsidRPr="00E55EC6">
              <w:t>NUTRI-SCORE</w:t>
            </w:r>
          </w:p>
        </w:tc>
      </w:tr>
    </w:tbl>
    <w:p w14:paraId="4124E883" w14:textId="77777777" w:rsidR="004D4E99" w:rsidRPr="004D4E99" w:rsidRDefault="004D4E99" w:rsidP="004D4E99"/>
    <w:p w14:paraId="181AD557" w14:textId="0348CC8A" w:rsidR="00AB116C" w:rsidRPr="004D4E99" w:rsidRDefault="004D4E99" w:rsidP="004D4E99">
      <w:pPr>
        <w:pStyle w:val="Artikelberschrift"/>
        <w:keepLines/>
        <w:spacing w:before="480"/>
      </w:pPr>
      <w:r>
        <w:t>Artikel 2</w:t>
      </w:r>
    </w:p>
    <w:p w14:paraId="5877299E" w14:textId="77777777" w:rsidR="00AB116C" w:rsidRPr="004D4E99" w:rsidRDefault="00AB116C" w:rsidP="004D4E99">
      <w:pPr>
        <w:pStyle w:val="Artikelberschrift"/>
        <w:keepLines/>
      </w:pPr>
      <w:bookmarkStart w:id="1" w:name="_Toc20911410"/>
      <w:r>
        <w:rPr>
          <w:rStyle w:val="Marker"/>
          <w:color w:val="auto"/>
        </w:rPr>
        <w:t>Ikrafttrædelse</w:t>
      </w:r>
      <w:bookmarkEnd w:id="1"/>
    </w:p>
    <w:p w14:paraId="6E848962" w14:textId="77777777" w:rsidR="00AB116C" w:rsidRPr="004D4E99" w:rsidRDefault="00AB116C" w:rsidP="004D4E99">
      <w:pPr>
        <w:pStyle w:val="JuristischerAbsatznichtnummeriert"/>
      </w:pPr>
      <w:r>
        <w:rPr>
          <w:rStyle w:val="Marker"/>
          <w:color w:val="auto"/>
        </w:rPr>
        <w:t xml:space="preserve">Nærværende forskrift træder i kraft dagen efter dens offentliggørelse. </w:t>
      </w:r>
    </w:p>
    <w:p w14:paraId="6D975F86" w14:textId="77777777" w:rsidR="00AB116C" w:rsidRPr="004D4E99" w:rsidRDefault="00AB116C" w:rsidP="004D4E99">
      <w:pPr>
        <w:pStyle w:val="Hinweistext"/>
        <w:rPr>
          <w:color w:val="auto"/>
        </w:rPr>
      </w:pPr>
    </w:p>
    <w:p w14:paraId="6338794F" w14:textId="77777777" w:rsidR="00AB116C" w:rsidRPr="004D4E99" w:rsidRDefault="00AB116C" w:rsidP="004D4E99">
      <w:pPr>
        <w:pStyle w:val="Schlussformel"/>
        <w:rPr>
          <w:rStyle w:val="Marker"/>
          <w:color w:val="auto"/>
        </w:rPr>
      </w:pPr>
      <w:r>
        <w:rPr>
          <w:rStyle w:val="Marker"/>
          <w:color w:val="auto"/>
        </w:rPr>
        <w:t>Forbundsrådet har givet samtykke.</w:t>
      </w:r>
    </w:p>
    <w:p w14:paraId="00CDC3CE" w14:textId="77777777" w:rsidR="00AB116C" w:rsidRPr="004D4E99" w:rsidRDefault="00AB116C" w:rsidP="004D4E99">
      <w:pPr>
        <w:pStyle w:val="BegrndungTitel"/>
        <w:keepLines/>
        <w:pageBreakBefore/>
      </w:pPr>
      <w:r>
        <w:lastRenderedPageBreak/>
        <w:t>Begrundelse</w:t>
      </w:r>
    </w:p>
    <w:p w14:paraId="70DD5A2C" w14:textId="77777777" w:rsidR="00AB116C" w:rsidRPr="004D4E99" w:rsidRDefault="00AB116C" w:rsidP="004D4E99">
      <w:pPr>
        <w:pStyle w:val="BegrndungAllgemeinerTeil"/>
        <w:keepLines/>
      </w:pPr>
      <w:r>
        <w:t>A. Generel del</w:t>
      </w:r>
    </w:p>
    <w:p w14:paraId="76D94DDB" w14:textId="77777777" w:rsidR="00AB116C" w:rsidRPr="004D4E99" w:rsidRDefault="00AB116C" w:rsidP="004D4E99">
      <w:pPr>
        <w:pStyle w:val="berschriftrmischBegrndung"/>
        <w:keepLines/>
      </w:pPr>
      <w:r>
        <w:t>Bestemmelsernes målsætning og nødvendighed</w:t>
      </w:r>
    </w:p>
    <w:p w14:paraId="098CCA51" w14:textId="5B7F5C28" w:rsidR="00AB116C" w:rsidRPr="004D4E99" w:rsidRDefault="00AB116C" w:rsidP="004D4E99">
      <w:pPr>
        <w:pStyle w:val="Text"/>
        <w:rPr>
          <w:rStyle w:val="Marker"/>
          <w:color w:val="auto"/>
        </w:rPr>
      </w:pPr>
      <w:r>
        <w:rPr>
          <w:rStyle w:val="Marker"/>
          <w:color w:val="auto"/>
        </w:rPr>
        <w:t>I Tyskland er 47 procent af kvinder, 62 procent af mænd og 15 procent af børn og unge overvægtige. En grund til dette er forbruget af for mange ernæringsfysiologisk ufordelagtigt sammensatte fødevarer.</w:t>
      </w:r>
    </w:p>
    <w:p w14:paraId="793A2D5C" w14:textId="77777777" w:rsidR="00AB116C" w:rsidRPr="004D4E99" w:rsidRDefault="00AB116C" w:rsidP="004D4E99">
      <w:pPr>
        <w:pStyle w:val="Text"/>
        <w:rPr>
          <w:rStyle w:val="Marker"/>
          <w:color w:val="auto"/>
        </w:rPr>
      </w:pPr>
      <w:r>
        <w:rPr>
          <w:rStyle w:val="Marker"/>
          <w:color w:val="auto"/>
        </w:rPr>
        <w:t>På baggrund af dette har forbundsregeringen sat sig som mål at videreudvikle næringsdeklarationen for Tyskland med henblik på at gøre informationerne om en fødevares ernæringsfysiologiske beskaffenhed simple og forståelige. Efter omfattende undersøgelser – hvor både de ernæringsvidenskabelige spørgsmål og forbrugerforståelsen og -opfattelsen er blevet undersøgt – skal den frivillige anvendelse af Nutri-Score-mærket i Tyskland tillades.</w:t>
      </w:r>
    </w:p>
    <w:p w14:paraId="47EB1B81" w14:textId="77777777" w:rsidR="00AB116C" w:rsidRPr="004D4E99" w:rsidRDefault="00AB116C" w:rsidP="004D4E99">
      <w:pPr>
        <w:pStyle w:val="Text"/>
        <w:rPr>
          <w:rStyle w:val="Marker"/>
          <w:color w:val="auto"/>
        </w:rPr>
      </w:pPr>
      <w:r>
        <w:rPr>
          <w:rStyle w:val="Marker"/>
          <w:color w:val="auto"/>
        </w:rPr>
        <w:t xml:space="preserve">Forordning (EF) nr. 1924/2006 om ernærings- og sundhedsanprisninger af fødevarer (HCVO) indeholder et generelt forbud med tilladelsesforbehold for ernærings- og sundhedsanprisninger af fødevarer. Nutri-Score anses i henhold til udbredt retsopfattelse for at være en ernæringsanprisning i henhold til artikel 2, stk. 2, nr. 4, i HCVO. Som en sådan skal Nutri-Score have en særlig tilladelse, der ikke findes på EU-niveau. I henhold til artikel 23, stk. 1, i HCVO skal en EU-medlemsstat, der ønsker at vedtage nye forskrifter inden for anvendelsesområdet for HCVO, underrette de øvrige medlemsstater og Kommissionen herom. Derudover skal der med den nærværende forskrift sørges for at præcisere hindringen for en "spærrende virkning", der evt. skal indføres i henhold til forordning (EU) nr. 1169/2011 for bestemte former for frivillig næringsdeklaration. </w:t>
      </w:r>
    </w:p>
    <w:p w14:paraId="218B1216" w14:textId="77777777" w:rsidR="00AB116C" w:rsidRPr="004D4E99" w:rsidRDefault="00AB116C" w:rsidP="004D4E99">
      <w:pPr>
        <w:pStyle w:val="Text"/>
      </w:pPr>
      <w:r>
        <w:rPr>
          <w:rStyle w:val="Marker"/>
          <w:color w:val="auto"/>
        </w:rPr>
        <w:t xml:space="preserve">Nutri-Score er et EU-kollektivmærke, der er registreret hos Den Europæiske Unions Kontor for Intellektuel Ejendomsret (EUIPO) med det franske Santé publique France som indehaver. I forbindelse med anvendelsen af mærket Nutri-Score af private tredjeparter </w:t>
      </w:r>
      <w:r>
        <w:t xml:space="preserve">er derfor først og fremmest de relevante krav for varemærker, herunder betingelser, der er fastsat af indehaverens såkaldte autoriserede personer, afgørende for anvendelsen af mærket. Pga. denne integrering af Nutri-Score i lovgivningen om privat intellektuel ejendom skal der også i forbindelse med sikringen af en korrekt anvendelse af mærket Nutri-Score af tredjeparter tages hensyn til de generelle forskrifter, der skal kontrolleres i forbindelse med beskyttelsen af varemærker, og der vedrører varemærker, god handelsskik og strafferet. </w:t>
      </w:r>
    </w:p>
    <w:p w14:paraId="6F4190E2" w14:textId="77777777" w:rsidR="00AB116C" w:rsidRPr="004730DF" w:rsidRDefault="00AB116C" w:rsidP="004D4E99">
      <w:pPr>
        <w:pStyle w:val="Text"/>
        <w:rPr>
          <w:spacing w:val="-2"/>
        </w:rPr>
      </w:pPr>
      <w:r w:rsidRPr="004730DF">
        <w:rPr>
          <w:spacing w:val="-2"/>
        </w:rPr>
        <w:t xml:space="preserve">Ved Nutri-Score viser en femtrinnet skala fra A til E en samlet værdi for et produkts næringsværdi. Her beregnes kalorietal og forskellige næringsværdier i forhold til hinanden. </w:t>
      </w:r>
    </w:p>
    <w:p w14:paraId="41602576" w14:textId="77777777" w:rsidR="00AB116C" w:rsidRPr="004D4E99" w:rsidRDefault="00AB116C" w:rsidP="004D4E99">
      <w:pPr>
        <w:pStyle w:val="Text"/>
        <w:rPr>
          <w:rStyle w:val="Marker"/>
          <w:color w:val="auto"/>
        </w:rPr>
      </w:pPr>
      <w:r>
        <w:t xml:space="preserve">Med en åbningsklausul fastsættes retsgrundlaget for mærkning af fødevarer til anvendelse af Nutri-Score-mærket i Tyskland. </w:t>
      </w:r>
    </w:p>
    <w:p w14:paraId="208A0758" w14:textId="77777777" w:rsidR="00AB116C" w:rsidRPr="004D4E99" w:rsidRDefault="00AB116C" w:rsidP="004D4E99">
      <w:pPr>
        <w:pStyle w:val="berschriftrmischBegrndung"/>
        <w:keepLines/>
        <w:ind w:left="706" w:hanging="706"/>
      </w:pPr>
      <w:r>
        <w:t>Udkastets væsentlige indhold</w:t>
      </w:r>
    </w:p>
    <w:p w14:paraId="6A488EE3" w14:textId="77777777" w:rsidR="00AB116C" w:rsidRPr="004D4E99" w:rsidRDefault="00AB116C" w:rsidP="004D4E99">
      <w:pPr>
        <w:pStyle w:val="Text"/>
      </w:pPr>
      <w:r>
        <w:rPr>
          <w:rStyle w:val="Marker"/>
          <w:color w:val="auto"/>
        </w:rPr>
        <w:t xml:space="preserve">Med den nærværende forskrift tillades den frivillige anvendelse af Nutri-Score-mærket i forbindelse med mærkning af fødevarer. </w:t>
      </w:r>
    </w:p>
    <w:p w14:paraId="7C9E8516" w14:textId="77777777" w:rsidR="00AB116C" w:rsidRPr="004D4E99" w:rsidRDefault="00AB116C" w:rsidP="004D4E99">
      <w:pPr>
        <w:pStyle w:val="berschriftrmischBegrndung"/>
        <w:keepLines/>
        <w:ind w:left="706" w:hanging="706"/>
      </w:pPr>
      <w:r>
        <w:t>Alternativer</w:t>
      </w:r>
    </w:p>
    <w:p w14:paraId="58DEC597" w14:textId="3907BAA9" w:rsidR="00F047E3" w:rsidRPr="004D4E99" w:rsidRDefault="00F047E3" w:rsidP="004D4E99">
      <w:pPr>
        <w:pStyle w:val="Text"/>
        <w:rPr>
          <w:rStyle w:val="Marker"/>
          <w:color w:val="auto"/>
        </w:rPr>
      </w:pPr>
      <w:r>
        <w:rPr>
          <w:rStyle w:val="Marker"/>
          <w:color w:val="auto"/>
        </w:rPr>
        <w:t xml:space="preserve">Inden for rammerne af undersøgelserne, der er nævnt under A., blev en række udvidede næringsdeklarationsmodeller undersøgt (bl.a. Keyhole®, fødevaresektorens model, Max-Rubner-instituttets model). Undersøgelserne viser, at Nutri-Score-mærket bygger på et gyldigt videnskabeligt grundlag og forstås og bemærkes bedst af forbrugere. </w:t>
      </w:r>
    </w:p>
    <w:p w14:paraId="73EA1BC6" w14:textId="77777777" w:rsidR="00AB116C" w:rsidRPr="004D4E99" w:rsidRDefault="00AB116C" w:rsidP="004D4E99">
      <w:pPr>
        <w:pStyle w:val="berschriftrmischBegrndung"/>
        <w:keepLines/>
        <w:ind w:left="706" w:hanging="706"/>
      </w:pPr>
      <w:r>
        <w:lastRenderedPageBreak/>
        <w:t>Lovgivningskompetence</w:t>
      </w:r>
    </w:p>
    <w:p w14:paraId="77385E48" w14:textId="77777777" w:rsidR="00AB116C" w:rsidRPr="000B4DE0" w:rsidRDefault="00AB116C" w:rsidP="004D4E99">
      <w:pPr>
        <w:pStyle w:val="Text"/>
        <w:rPr>
          <w:rStyle w:val="Marker"/>
          <w:color w:val="auto"/>
        </w:rPr>
      </w:pPr>
      <w:r>
        <w:rPr>
          <w:rStyle w:val="Marker"/>
          <w:color w:val="auto"/>
        </w:rPr>
        <w:t xml:space="preserve">Forbundsministerium for ernæring og landbrugs lovgivningskompetence fremgår af § 35, nr. 1, i loven om fødevarer og foderstoffer, der er baseret på artikel 74, stk. 1, nr. 20, i forfatningen. </w:t>
      </w:r>
    </w:p>
    <w:p w14:paraId="4885EAF7" w14:textId="77777777" w:rsidR="00AB116C" w:rsidRPr="004D4E99" w:rsidRDefault="00AB116C" w:rsidP="004D4E99">
      <w:pPr>
        <w:pStyle w:val="berschriftrmischBegrndung"/>
        <w:keepLines/>
        <w:ind w:left="706" w:hanging="706"/>
      </w:pPr>
      <w:r>
        <w:t>Forenelighed med Den Europæiske Unions ret og folkeretlige traktater</w:t>
      </w:r>
    </w:p>
    <w:p w14:paraId="5493D47B" w14:textId="77777777" w:rsidR="00AB116C" w:rsidRPr="004D4E99" w:rsidRDefault="00AB116C" w:rsidP="004D4E99">
      <w:pPr>
        <w:pStyle w:val="Text"/>
      </w:pPr>
      <w:r>
        <w:rPr>
          <w:rStyle w:val="Marker"/>
          <w:color w:val="auto"/>
        </w:rPr>
        <w:t xml:space="preserve">Forskriften er forenelig med Den Europæiske Unions ret. Bestemmelserne opfylder kravene i forordning (EU) nr. 1169/2011 til en udvidet næringsdeklaration og i forordning (EF) nr. 1924/2006 til en regulering på medlemsstatsniveau. </w:t>
      </w:r>
    </w:p>
    <w:p w14:paraId="464B48DA" w14:textId="77777777" w:rsidR="00AB116C" w:rsidRPr="004D4E99" w:rsidRDefault="00AB116C" w:rsidP="004D4E99">
      <w:pPr>
        <w:pStyle w:val="berschriftrmischBegrndung"/>
        <w:keepLines/>
      </w:pPr>
      <w:r>
        <w:t>Lovmæssige konsekvenser</w:t>
      </w:r>
    </w:p>
    <w:p w14:paraId="5136A8B0" w14:textId="77777777" w:rsidR="00AB116C" w:rsidRPr="004D4E99" w:rsidRDefault="00AB116C" w:rsidP="004D4E99">
      <w:pPr>
        <w:pStyle w:val="berschriftarabischBegrndung"/>
        <w:keepLines/>
      </w:pPr>
      <w:r>
        <w:t>Forenkling af lovgivning og forvaltning</w:t>
      </w:r>
    </w:p>
    <w:p w14:paraId="38F24B71" w14:textId="2F2206B6" w:rsidR="00AB116C" w:rsidRPr="004D4E99" w:rsidRDefault="00AB116C" w:rsidP="004D4E99">
      <w:pPr>
        <w:pStyle w:val="Text"/>
        <w:rPr>
          <w:rStyle w:val="Marker"/>
          <w:color w:val="auto"/>
        </w:rPr>
      </w:pPr>
      <w:r>
        <w:rPr>
          <w:rStyle w:val="Marker"/>
          <w:color w:val="auto"/>
        </w:rPr>
        <w:t xml:space="preserve">Bestemmelserne i denne forskrift skal muliggøre en frivillig mærkning af fødevarer med Nutri-Score-mærket. </w:t>
      </w:r>
    </w:p>
    <w:p w14:paraId="47684DE2" w14:textId="77777777" w:rsidR="0090263F" w:rsidRPr="004D4E99" w:rsidRDefault="0090263F" w:rsidP="004D4E99">
      <w:pPr>
        <w:pStyle w:val="Text"/>
      </w:pPr>
    </w:p>
    <w:p w14:paraId="42451048" w14:textId="77777777" w:rsidR="00AB116C" w:rsidRPr="004D4E99" w:rsidRDefault="00AB116C" w:rsidP="004D4E99">
      <w:pPr>
        <w:pStyle w:val="berschriftarabischBegrndung"/>
        <w:keepLines/>
      </w:pPr>
      <w:r>
        <w:t>Bæredygtighedsaspekter</w:t>
      </w:r>
    </w:p>
    <w:p w14:paraId="6E8E7903" w14:textId="2A18BA1C" w:rsidR="00AB116C" w:rsidRPr="004D4E99" w:rsidRDefault="00AB116C" w:rsidP="004D4E99">
      <w:pPr>
        <w:pStyle w:val="Text"/>
        <w:rPr>
          <w:rStyle w:val="Marker"/>
          <w:color w:val="auto"/>
        </w:rPr>
      </w:pPr>
      <w:r>
        <w:rPr>
          <w:rStyle w:val="Marker"/>
          <w:color w:val="auto"/>
        </w:rPr>
        <w:t xml:space="preserve">Bestemmelserne understøtter især forbundsregeringens bæredygtighedsmål 2 vedrørende en bedre ernæring og 3 "Sikring af et sundt liv for alle mennesker i alle aldre samt fremme af deres trivsel", da de gør det lettere at træffe et bevidst valg vha. letforståelige og visuelt let registrerbare oplysninger om en fødevares ernæringsfysiologiske beskaffenhed. Den fødevare, der ud fra et ernæringsfysiologisk synspunkt er mere fordelagtig, kan identificeres hurtigere med en nem sammenligning. Mærkningen bidrager således til en sund ernæring og er dermed i overensstemmelse med princippet for en bæredygtig udvikling nr. 4.c., der retter sig mod en sundhedsmæssig forbrugerbeskyttelse. </w:t>
      </w:r>
    </w:p>
    <w:p w14:paraId="11A88643" w14:textId="77777777" w:rsidR="0090263F" w:rsidRPr="004D4E99" w:rsidRDefault="0090263F" w:rsidP="004D4E99">
      <w:pPr>
        <w:pStyle w:val="Text"/>
      </w:pPr>
    </w:p>
    <w:p w14:paraId="6AC566A4" w14:textId="0AAF4A83" w:rsidR="00AB116C" w:rsidRPr="004D4E99" w:rsidRDefault="00AB116C" w:rsidP="004D4E99">
      <w:pPr>
        <w:pStyle w:val="berschriftarabischBegrndung"/>
        <w:keepLines/>
      </w:pPr>
      <w:r>
        <w:t>Budgetudgifter uden tilpasningsomkostninger</w:t>
      </w:r>
    </w:p>
    <w:p w14:paraId="01CA2DC7" w14:textId="77777777" w:rsidR="0090263F" w:rsidRPr="004D4E99" w:rsidRDefault="0090263F" w:rsidP="004D4E99">
      <w:pPr>
        <w:pStyle w:val="Text"/>
      </w:pPr>
    </w:p>
    <w:p w14:paraId="31FF99D7" w14:textId="77777777" w:rsidR="00AB116C" w:rsidRPr="004D4E99" w:rsidRDefault="00AB116C" w:rsidP="004D4E99">
      <w:pPr>
        <w:pStyle w:val="berschriftarabischBegrndung"/>
        <w:keepLines/>
      </w:pPr>
      <w:r>
        <w:t>Tilpasningsomkostninger</w:t>
      </w:r>
    </w:p>
    <w:p w14:paraId="35BD951D" w14:textId="77777777" w:rsidR="00AB116C" w:rsidRPr="004D4E99" w:rsidRDefault="00AB116C" w:rsidP="004D4E99">
      <w:pPr>
        <w:pStyle w:val="Text"/>
        <w:keepNext/>
        <w:keepLines/>
        <w:rPr>
          <w:b/>
        </w:rPr>
      </w:pPr>
      <w:r>
        <w:rPr>
          <w:b/>
        </w:rPr>
        <w:t>a) Tilpasningsomkostninger for borgere</w:t>
      </w:r>
    </w:p>
    <w:p w14:paraId="450E425E" w14:textId="643304CD" w:rsidR="00AB116C" w:rsidRPr="004D4E99" w:rsidRDefault="00AB116C" w:rsidP="004D4E99">
      <w:pPr>
        <w:pStyle w:val="Text"/>
      </w:pPr>
      <w:r>
        <w:rPr>
          <w:rStyle w:val="Marker"/>
          <w:color w:val="auto"/>
        </w:rPr>
        <w:t>Der opstår ingen tilpasningsomkostninger for borgerne.</w:t>
      </w:r>
    </w:p>
    <w:p w14:paraId="4F14D8E7" w14:textId="77777777" w:rsidR="00AB116C" w:rsidRPr="004D4E99" w:rsidRDefault="00AB116C" w:rsidP="004D4E99">
      <w:pPr>
        <w:pStyle w:val="Text"/>
        <w:keepNext/>
        <w:keepLines/>
        <w:rPr>
          <w:b/>
        </w:rPr>
      </w:pPr>
      <w:r>
        <w:rPr>
          <w:b/>
        </w:rPr>
        <w:t>b) Tilpasningsomkostninger for erhvervslivet</w:t>
      </w:r>
    </w:p>
    <w:p w14:paraId="6DD1FE11" w14:textId="6939DEE8" w:rsidR="002F0011" w:rsidRPr="004D4E99" w:rsidRDefault="002F0011" w:rsidP="004D4E99">
      <w:pPr>
        <w:pStyle w:val="Text"/>
      </w:pPr>
      <w:r>
        <w:t>Da forskriften kun gør det muligt for erhvervslivet at anvende Nutri-Score-mærket, hvis forudsætninger er reguleret i lovgivningen om varemærker, opstår der ingen umiddelbare tilpasningsomkostninger for erhvervslivet.</w:t>
      </w:r>
    </w:p>
    <w:p w14:paraId="296F30FD" w14:textId="77777777" w:rsidR="00AB116C" w:rsidRPr="004D4E99" w:rsidRDefault="00AB116C" w:rsidP="004D4E99">
      <w:pPr>
        <w:pStyle w:val="Text"/>
        <w:rPr>
          <w:b/>
        </w:rPr>
      </w:pPr>
      <w:r>
        <w:rPr>
          <w:b/>
        </w:rPr>
        <w:t>c) Tilpasningsomkostninger for forvaltningen</w:t>
      </w:r>
    </w:p>
    <w:p w14:paraId="29B73373" w14:textId="32175B75" w:rsidR="002F0011" w:rsidRPr="004D4E99" w:rsidRDefault="002F0011" w:rsidP="004D4E99">
      <w:pPr>
        <w:pStyle w:val="Text"/>
      </w:pPr>
      <w:r>
        <w:t xml:space="preserve">Der opstår ingen yderligere omkostninger for forbundsstatens, delstaternes og kommunernes forvaltning pga. tilladelsen til at anvende mærket. </w:t>
      </w:r>
    </w:p>
    <w:p w14:paraId="7B07470F" w14:textId="77777777" w:rsidR="00AB116C" w:rsidRPr="004D4E99" w:rsidRDefault="00AB116C" w:rsidP="004D4E99">
      <w:pPr>
        <w:pStyle w:val="Text"/>
      </w:pPr>
    </w:p>
    <w:p w14:paraId="613DFD9D" w14:textId="77777777" w:rsidR="00AB116C" w:rsidRPr="004D4E99" w:rsidRDefault="00AB116C" w:rsidP="004D4E99">
      <w:pPr>
        <w:pStyle w:val="berschriftarabischBegrndung"/>
        <w:keepLines/>
      </w:pPr>
      <w:r>
        <w:t>Yderligere omkostninger</w:t>
      </w:r>
    </w:p>
    <w:p w14:paraId="223750EB" w14:textId="77777777" w:rsidR="00AB116C" w:rsidRPr="004D4E99" w:rsidRDefault="00AB116C" w:rsidP="004D4E99">
      <w:pPr>
        <w:pStyle w:val="Text"/>
        <w:rPr>
          <w:rStyle w:val="Marker"/>
          <w:color w:val="auto"/>
        </w:rPr>
      </w:pPr>
      <w:r>
        <w:rPr>
          <w:rStyle w:val="Marker"/>
          <w:color w:val="auto"/>
        </w:rPr>
        <w:t xml:space="preserve">Mindre indvirkninger på enkeltpriser kan ikke helt udelukkes. Det almindelige prisniveau, især forbrugerprisniveauet, forventes imidlertid ikke berørt heraf. </w:t>
      </w:r>
    </w:p>
    <w:p w14:paraId="3F281BE4" w14:textId="11971AB7" w:rsidR="0091346C" w:rsidRPr="004D4E99" w:rsidRDefault="0091346C" w:rsidP="004D4E99">
      <w:pPr>
        <w:pStyle w:val="Text"/>
        <w:rPr>
          <w:rStyle w:val="Marker"/>
          <w:color w:val="auto"/>
        </w:rPr>
      </w:pPr>
      <w:r>
        <w:rPr>
          <w:rStyle w:val="Marker"/>
          <w:color w:val="auto"/>
        </w:rPr>
        <w:t xml:space="preserve">Med deltagelsen i det frivillige mærkningssystem opstår der allerhøjst mindre omkostninger for virksomheder til registrering og identificering af oplysninger, der er nødvendige for beregning af mærket. Den digitale ansøgningsprocedure er begrænset til få spørgsmål til identificering af brugeren af mærket og produkter og er samlet set gratis, </w:t>
      </w:r>
      <w:r>
        <w:rPr>
          <w:rStyle w:val="Marker"/>
          <w:color w:val="auto"/>
        </w:rPr>
        <w:lastRenderedPageBreak/>
        <w:t xml:space="preserve">dvs. der opstår ingen gebyrer for en registrering eller anvendelse af mærket. Beregningen for, hvilket mærke der helt konkret kommer i betragtning, tager udgangspunkt i de oplysninger, der allerede er indeholdt i den eksisterende næringsdeklaration og opskrift. Det er således ikke nødvendigt at hente nye oplysninger. Onlineregneprogrammer står til rådighed for beregningen. </w:t>
      </w:r>
    </w:p>
    <w:p w14:paraId="00C2CF7A" w14:textId="43AC0F46" w:rsidR="00DE7B3A" w:rsidRPr="004D4E99" w:rsidRDefault="00125614" w:rsidP="004D4E99">
      <w:pPr>
        <w:pStyle w:val="Text"/>
        <w:rPr>
          <w:rStyle w:val="Marker"/>
          <w:color w:val="auto"/>
        </w:rPr>
      </w:pPr>
      <w:r>
        <w:rPr>
          <w:rStyle w:val="Marker"/>
          <w:color w:val="auto"/>
        </w:rPr>
        <w:t xml:space="preserve">Der kan opstå yderligere engangsomkostninger for erhvervslivet, da emballagen skal suppleres med Nutri-Score-mærket. En del af fødevareindustrien har argumenteret for, at der ikke ville opstå omkostninger ved dette. En anden del af erhvervslivet har argumenteret for, at der ville opstå yderligere omkostninger, uden at angive verificerbare beløb eller beregningsgrundlag. Erfaringen fra mærkning af fødevarer viser, at de omkostninger, der opstår i forbindelse med en engangsændring af printet emballage, som regel er mindre. </w:t>
      </w:r>
    </w:p>
    <w:p w14:paraId="4C9E2009" w14:textId="77777777" w:rsidR="0091346C" w:rsidRPr="004D4E99" w:rsidRDefault="0091346C" w:rsidP="004D4E99">
      <w:pPr>
        <w:pStyle w:val="Text"/>
        <w:rPr>
          <w:rStyle w:val="Marker"/>
          <w:color w:val="auto"/>
        </w:rPr>
      </w:pPr>
    </w:p>
    <w:p w14:paraId="693FD342" w14:textId="77777777" w:rsidR="00AB116C" w:rsidRPr="004D4E99" w:rsidRDefault="00AB116C" w:rsidP="004D4E99">
      <w:pPr>
        <w:pStyle w:val="berschriftarabischBegrndung"/>
        <w:keepLines/>
      </w:pPr>
      <w:r>
        <w:t>Yderligere lovgivningsmæssige konsekvenser</w:t>
      </w:r>
    </w:p>
    <w:p w14:paraId="5098760C" w14:textId="77777777" w:rsidR="00AB116C" w:rsidRPr="004D4E99" w:rsidRDefault="00AB116C" w:rsidP="004D4E99">
      <w:pPr>
        <w:pStyle w:val="Text"/>
        <w:rPr>
          <w:rStyle w:val="Marker"/>
          <w:color w:val="auto"/>
        </w:rPr>
      </w:pPr>
      <w:r>
        <w:rPr>
          <w:rStyle w:val="Marker"/>
          <w:color w:val="auto"/>
        </w:rPr>
        <w:t xml:space="preserve">De demografiske konsekvenser og risici ved forskriften blev undersøgt på grundlag af den demografiske undersøgelse, der er offentliggjort af indenrigsministeriet. Udkastet har ikke nogen direkte indvirkning på demografien. </w:t>
      </w:r>
    </w:p>
    <w:p w14:paraId="03F599DB" w14:textId="77777777" w:rsidR="00AB116C" w:rsidRPr="004D4E99" w:rsidRDefault="00AB116C" w:rsidP="004D4E99">
      <w:pPr>
        <w:pStyle w:val="Text"/>
      </w:pPr>
      <w:r>
        <w:rPr>
          <w:rStyle w:val="Marker"/>
          <w:color w:val="auto"/>
        </w:rPr>
        <w:t xml:space="preserve">Forskriften har ingen indvirkninger på ligestillingen af kvinder og mænd. </w:t>
      </w:r>
    </w:p>
    <w:p w14:paraId="001C24D4" w14:textId="77777777" w:rsidR="00AB116C" w:rsidRPr="004D4E99" w:rsidRDefault="00AB116C" w:rsidP="004D4E99">
      <w:pPr>
        <w:pStyle w:val="BegrndungBesondererTeil"/>
        <w:keepLines/>
      </w:pPr>
      <w:r>
        <w:t>B. Særlig del</w:t>
      </w:r>
    </w:p>
    <w:p w14:paraId="52BD8A51" w14:textId="77777777" w:rsidR="00AB116C" w:rsidRPr="004D4E99" w:rsidRDefault="00AB116C" w:rsidP="004D4E99">
      <w:pPr>
        <w:pStyle w:val="Text"/>
        <w:keepNext/>
        <w:keepLines/>
        <w:rPr>
          <w:rStyle w:val="Marker"/>
          <w:b/>
          <w:color w:val="auto"/>
        </w:rPr>
      </w:pPr>
      <w:r>
        <w:rPr>
          <w:rStyle w:val="Marker"/>
          <w:b/>
          <w:color w:val="auto"/>
        </w:rPr>
        <w:t xml:space="preserve">Ad § 4a: </w:t>
      </w:r>
    </w:p>
    <w:p w14:paraId="4C703332" w14:textId="57443956" w:rsidR="00AB116C" w:rsidRPr="004D4E99" w:rsidRDefault="00AB116C" w:rsidP="004D4E99">
      <w:pPr>
        <w:pStyle w:val="Text"/>
        <w:rPr>
          <w:rStyle w:val="Marker"/>
          <w:color w:val="auto"/>
        </w:rPr>
      </w:pPr>
      <w:r>
        <w:rPr>
          <w:rStyle w:val="Marker"/>
          <w:color w:val="auto"/>
        </w:rPr>
        <w:t xml:space="preserve">Med § 4a sørges der for retsgrundlaget for den frivillige mærkning af fødevarer med Nutri-Score-mærket, og der henvises til forudsætningerne i henhold til lovgivningen for varemærker i forbindelse med anvendelsen af EU-kollektivmærket Nutri-Score. </w:t>
      </w:r>
    </w:p>
    <w:p w14:paraId="0768F15D" w14:textId="77777777" w:rsidR="00AB116C" w:rsidRPr="004D4E99" w:rsidRDefault="00AB116C" w:rsidP="004D4E99">
      <w:pPr>
        <w:pStyle w:val="Text"/>
        <w:rPr>
          <w:rStyle w:val="Marker"/>
          <w:color w:val="auto"/>
        </w:rPr>
      </w:pPr>
      <w:r>
        <w:rPr>
          <w:rStyle w:val="Marker"/>
          <w:color w:val="auto"/>
        </w:rPr>
        <w:t xml:space="preserve">Stk. 3 præciserer, at de eksisterende rettigheder i forbindelse med industriel ejendomsret, ophavsretten eller lignende rettigheder fra Den Europæiske Union eller en af dens medlemsstater skal overholdes i forbindelse med anvendelsen af mærket. </w:t>
      </w:r>
    </w:p>
    <w:p w14:paraId="60003B59" w14:textId="77777777" w:rsidR="00AB116C" w:rsidRPr="004D4E99" w:rsidRDefault="00AB116C" w:rsidP="004D4E99">
      <w:pPr>
        <w:pStyle w:val="Text"/>
        <w:rPr>
          <w:rStyle w:val="Marker"/>
          <w:color w:val="auto"/>
        </w:rPr>
      </w:pPr>
      <w:r>
        <w:rPr>
          <w:rStyle w:val="Marker"/>
          <w:color w:val="auto"/>
        </w:rPr>
        <w:t xml:space="preserve">Indehaveren er Santé publique France. I henhold til deres anvendelsesbetingelser er det bl.a. nødvendigt med en registrering. Derudover skal brugeren af mærket overholde de enkelte anvendelsesbetingelser, der er fastsat af indehaveren. </w:t>
      </w:r>
    </w:p>
    <w:p w14:paraId="5AC32D02" w14:textId="63AB5856" w:rsidR="002728DE" w:rsidRPr="004D4E99" w:rsidRDefault="00AB116C" w:rsidP="004D4E99">
      <w:pPr>
        <w:pStyle w:val="Text"/>
      </w:pPr>
      <w:r>
        <w:rPr>
          <w:rStyle w:val="Marker"/>
          <w:color w:val="auto"/>
        </w:rPr>
        <w:t>På nuværende tidspunkt er indehaverens forudsætninger for anvendelsen af mærket offentliggjort på fransk og/eller engelsk. Med henblik på en lettere mærkning og som hjælp for også små og mellemstore virksomheder skal det være muligt at gøre den elektroniske kontakt med den franske in</w:t>
      </w:r>
      <w:bookmarkStart w:id="2" w:name="_GoBack"/>
      <w:bookmarkEnd w:id="2"/>
      <w:r>
        <w:rPr>
          <w:rStyle w:val="Marker"/>
          <w:color w:val="auto"/>
        </w:rPr>
        <w:t xml:space="preserve">dehaver lettere og f.eks. offentliggøre tyske oversættelser af eksempler på angivelser eller oplysninger, der skal angives, i Tysklands statstidende.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Notificeret i henhold til Europa-Parlamentets og Rådets direktiv (EU) 2015/1535 af 9. september 2015 om en informationsprocedure med hensyn til tekniske forskrifter samt forskrifter for informationssamfundets tjenester (EUT L 241 af 17.9.2015, s.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6535" w14:textId="14C6E43C" w:rsidR="00125614" w:rsidRPr="0060589F" w:rsidRDefault="00125614" w:rsidP="00EC2DB4">
    <w:pPr>
      <w:pStyle w:val="Header"/>
    </w:pPr>
    <w:r>
      <w:tab/>
    </w:r>
    <w:r>
      <w:t xml:space="preserve">- </w:t>
    </w:r>
    <w:r>
      <w:fldChar w:fldCharType="begin"/>
    </w:r>
    <w:r>
      <w:instrText xml:space="preserve"> PAGE  \* MERGEFORMAT </w:instrText>
    </w:r>
    <w:r>
      <w:fldChar w:fldCharType="separate"/>
    </w:r>
    <w:r w:rsidR="000F7F9B">
      <w:rPr>
        <w:noProof/>
      </w:rPr>
      <w:t>1</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16C"/>
    <w:rsid w:val="000604EE"/>
    <w:rsid w:val="00075700"/>
    <w:rsid w:val="00075D4F"/>
    <w:rsid w:val="000B4DE0"/>
    <w:rsid w:val="000C061F"/>
    <w:rsid w:val="000E69F9"/>
    <w:rsid w:val="000F7F9B"/>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730DF"/>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55EC6"/>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24502F86-42CB-4B17-9113-B89B1080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1972</Words>
  <Characters>11241</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Diana STOICA</cp:lastModifiedBy>
  <cp:revision>4</cp:revision>
  <cp:lastPrinted>2020-03-04T10:36:00Z</cp:lastPrinted>
  <dcterms:created xsi:type="dcterms:W3CDTF">2020-03-10T09:45:00Z</dcterms:created>
  <dcterms:modified xsi:type="dcterms:W3CDTF">2020-03-18T12:26:00Z</dcterms:modified>
</cp:coreProperties>
</file>