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5F5078" w14:paraId="2EF49194" w14:textId="77777777">
        <w:trPr>
          <w:cantSplit/>
        </w:trPr>
        <w:tc>
          <w:tcPr>
            <w:tcW w:w="3982" w:type="dxa"/>
            <w:gridSpan w:val="3"/>
          </w:tcPr>
          <w:p w14:paraId="142A1F04" w14:textId="77777777" w:rsidR="005F5078" w:rsidRDefault="00731862">
            <w:pPr>
              <w:pStyle w:val="SNREPUBLIQUE"/>
              <w:widowControl w:val="0"/>
            </w:pPr>
            <w:r>
              <w:t xml:space="preserve">FRANCOSKA REPUBLIKA</w:t>
            </w:r>
          </w:p>
        </w:tc>
      </w:tr>
      <w:tr w:rsidR="005F5078" w14:paraId="327BF3FE" w14:textId="77777777">
        <w:trPr>
          <w:cantSplit/>
          <w:trHeight w:hRule="exact" w:val="113"/>
        </w:trPr>
        <w:tc>
          <w:tcPr>
            <w:tcW w:w="1527" w:type="dxa"/>
          </w:tcPr>
          <w:p w14:paraId="7781AC49" w14:textId="77777777" w:rsidR="005F5078" w:rsidRDefault="005F5078">
            <w:pPr>
              <w:widowControl w:val="0"/>
            </w:pPr>
          </w:p>
        </w:tc>
        <w:tc>
          <w:tcPr>
            <w:tcW w:w="968" w:type="dxa"/>
            <w:tcBorders>
              <w:bottom w:val="single" w:sz="2" w:space="0" w:color="000000"/>
            </w:tcBorders>
          </w:tcPr>
          <w:p w14:paraId="44BB5E56" w14:textId="77777777" w:rsidR="005F5078" w:rsidRDefault="005F5078">
            <w:pPr>
              <w:widowControl w:val="0"/>
            </w:pPr>
          </w:p>
        </w:tc>
        <w:tc>
          <w:tcPr>
            <w:tcW w:w="1487" w:type="dxa"/>
          </w:tcPr>
          <w:p w14:paraId="631EDFC8" w14:textId="77777777" w:rsidR="005F5078" w:rsidRDefault="005F5078">
            <w:pPr>
              <w:widowControl w:val="0"/>
            </w:pPr>
          </w:p>
        </w:tc>
      </w:tr>
      <w:tr w:rsidR="005F5078" w14:paraId="7C614A16" w14:textId="77777777">
        <w:trPr>
          <w:cantSplit/>
        </w:trPr>
        <w:tc>
          <w:tcPr>
            <w:tcW w:w="3982" w:type="dxa"/>
            <w:gridSpan w:val="3"/>
          </w:tcPr>
          <w:p w14:paraId="584C262C" w14:textId="77777777" w:rsidR="005F5078" w:rsidRDefault="00731862" w:rsidP="009154B2">
            <w:pPr>
              <w:pStyle w:val="SNTimbre"/>
            </w:pPr>
            <w:r>
              <w:t xml:space="preserve">Ministrstvo za gospodarstvo, finance ter industrijsko in digitalno suverenost</w:t>
            </w:r>
          </w:p>
        </w:tc>
      </w:tr>
      <w:tr w:rsidR="005F5078" w14:paraId="72A0FA66" w14:textId="77777777">
        <w:trPr>
          <w:cantSplit/>
          <w:trHeight w:hRule="exact" w:val="227"/>
        </w:trPr>
        <w:tc>
          <w:tcPr>
            <w:tcW w:w="1527" w:type="dxa"/>
          </w:tcPr>
          <w:p w14:paraId="3B64219B" w14:textId="77777777" w:rsidR="005F5078" w:rsidRDefault="005F5078">
            <w:pPr>
              <w:widowControl w:val="0"/>
            </w:pPr>
          </w:p>
        </w:tc>
        <w:tc>
          <w:tcPr>
            <w:tcW w:w="968" w:type="dxa"/>
            <w:tcBorders>
              <w:bottom w:val="single" w:sz="2" w:space="0" w:color="000000"/>
            </w:tcBorders>
          </w:tcPr>
          <w:p w14:paraId="0B6A1BA4" w14:textId="77777777" w:rsidR="005F5078" w:rsidRDefault="005F5078">
            <w:pPr>
              <w:widowControl w:val="0"/>
            </w:pPr>
          </w:p>
        </w:tc>
        <w:tc>
          <w:tcPr>
            <w:tcW w:w="1487" w:type="dxa"/>
          </w:tcPr>
          <w:p w14:paraId="00B31E60" w14:textId="77777777" w:rsidR="005F5078" w:rsidRDefault="005F5078">
            <w:pPr>
              <w:widowControl w:val="0"/>
            </w:pPr>
          </w:p>
        </w:tc>
      </w:tr>
      <w:tr w:rsidR="005F5078" w14:paraId="4D905DBE" w14:textId="77777777">
        <w:trPr>
          <w:cantSplit/>
          <w:trHeight w:hRule="exact" w:val="227"/>
        </w:trPr>
        <w:tc>
          <w:tcPr>
            <w:tcW w:w="1527" w:type="dxa"/>
          </w:tcPr>
          <w:p w14:paraId="24B31DBC" w14:textId="77777777" w:rsidR="005F5078" w:rsidRDefault="005F5078">
            <w:pPr>
              <w:widowControl w:val="0"/>
            </w:pPr>
          </w:p>
        </w:tc>
        <w:tc>
          <w:tcPr>
            <w:tcW w:w="968" w:type="dxa"/>
          </w:tcPr>
          <w:p w14:paraId="06886BEC" w14:textId="77777777" w:rsidR="005F5078" w:rsidRDefault="005F5078">
            <w:pPr>
              <w:widowControl w:val="0"/>
            </w:pPr>
          </w:p>
        </w:tc>
        <w:tc>
          <w:tcPr>
            <w:tcW w:w="1487" w:type="dxa"/>
          </w:tcPr>
          <w:p w14:paraId="3AA1002C" w14:textId="77777777" w:rsidR="005F5078" w:rsidRDefault="005F5078">
            <w:pPr>
              <w:widowControl w:val="0"/>
            </w:pPr>
          </w:p>
        </w:tc>
      </w:tr>
    </w:tbl>
    <w:p w14:paraId="36691FFC" w14:textId="77777777" w:rsidR="005F5078" w:rsidRDefault="00731862">
      <w:pPr>
        <w:pStyle w:val="SNNature"/>
      </w:pPr>
      <w:r>
        <w:t xml:space="preserve">Uredba št. […] z dne […]</w:t>
      </w:r>
    </w:p>
    <w:p w14:paraId="79FCD7D7" w14:textId="20F1CEA7" w:rsidR="005F5078" w:rsidRDefault="001C1031">
      <w:pPr>
        <w:pStyle w:val="SNtitre"/>
      </w:pPr>
      <w:r>
        <w:t xml:space="preserve">o določitvi seznama proizvodov, ki jih je iz javnozdravstvenih razlogov prepovedano prodajati v razsutem stanju</w:t>
      </w:r>
    </w:p>
    <w:p w14:paraId="73F15661" w14:textId="77777777" w:rsidR="005F5078" w:rsidRDefault="00731862">
      <w:pPr>
        <w:pStyle w:val="SNNORCentr"/>
      </w:pPr>
      <w:r>
        <w:t xml:space="preserve">NOR:</w:t>
      </w:r>
      <w:r>
        <w:t xml:space="preserve"> </w:t>
      </w:r>
      <w:r>
        <w:t xml:space="preserve">[…]</w:t>
      </w:r>
    </w:p>
    <w:p w14:paraId="0C8BAA12" w14:textId="77777777" w:rsidR="005F5078" w:rsidRDefault="00731862">
      <w:pPr>
        <w:pStyle w:val="SNVisa"/>
        <w:jc w:val="both"/>
        <w:rPr>
          <w:i/>
        </w:rPr>
      </w:pPr>
      <w:r>
        <w:rPr>
          <w:b/>
          <w:i/>
        </w:rPr>
        <w:t xml:space="preserve">Ciljni prejemniki</w:t>
      </w:r>
      <w:r>
        <w:t xml:space="preserve">:</w:t>
      </w:r>
      <w:r>
        <w:t xml:space="preserve"> </w:t>
      </w:r>
      <w:r>
        <w:rPr>
          <w:i/>
        </w:rPr>
        <w:t xml:space="preserve">potrošnikom prijazna maloprodajna mesta, na katerih se proizvodi prodajajo v razsutem stanju, vključno s prodajo na daljavo in mobilnimi prodajnimi mesti.</w:t>
      </w:r>
    </w:p>
    <w:p w14:paraId="65083E7E" w14:textId="77777777" w:rsidR="005F5078" w:rsidRDefault="00731862">
      <w:pPr>
        <w:pStyle w:val="SNVisa"/>
        <w:jc w:val="both"/>
        <w:rPr>
          <w:i/>
        </w:rPr>
      </w:pPr>
      <w:r>
        <w:rPr>
          <w:b/>
          <w:i/>
        </w:rPr>
        <w:t xml:space="preserve">Namen:</w:t>
      </w:r>
      <w:r>
        <w:t xml:space="preserve"> </w:t>
      </w:r>
      <w:r>
        <w:rPr>
          <w:i/>
        </w:rPr>
        <w:t xml:space="preserve">določitev seznama proizvodov, ki se lahko pod določenimi pogoji prodajajo v razsutem stanju oziroma ki jih je iz javnozdravstvenih razlogov prepovedano prodajati v razsutem stanju</w:t>
      </w:r>
    </w:p>
    <w:p w14:paraId="08524C55" w14:textId="77777777" w:rsidR="005F5078" w:rsidRDefault="00731862">
      <w:pPr>
        <w:pStyle w:val="SNVisa"/>
        <w:jc w:val="both"/>
      </w:pPr>
      <w:r>
        <w:rPr>
          <w:b/>
          <w:i/>
        </w:rPr>
        <w:t xml:space="preserve">Začetek veljavnosti</w:t>
      </w:r>
      <w:r>
        <w:t xml:space="preserve">:</w:t>
      </w:r>
      <w:r>
        <w:t xml:space="preserve"> </w:t>
      </w:r>
      <w:r>
        <w:rPr>
          <w:i/>
        </w:rPr>
        <w:t xml:space="preserve">uredba začne veljati […]</w:t>
      </w:r>
      <w:r>
        <w:t xml:space="preserve"> </w:t>
      </w:r>
    </w:p>
    <w:p w14:paraId="58470336" w14:textId="460E7DB9" w:rsidR="005F5078" w:rsidRDefault="00731862">
      <w:pPr>
        <w:pStyle w:val="SNVisa"/>
        <w:jc w:val="both"/>
        <w:rPr>
          <w:i/>
        </w:rPr>
      </w:pPr>
      <w:r>
        <w:rPr>
          <w:b/>
        </w:rPr>
        <w:t xml:space="preserve">Obvestilo</w:t>
      </w:r>
      <w:r>
        <w:t xml:space="preserve">:</w:t>
      </w:r>
      <w:r>
        <w:t xml:space="preserve"> </w:t>
      </w:r>
      <w:r>
        <w:rPr>
          <w:i/>
        </w:rPr>
        <w:t xml:space="preserve">uredba z namenom zagotavljanja večje jasnosti in razumljivosti predpisov vključuje več opredelitev.</w:t>
      </w:r>
      <w:r>
        <w:rPr>
          <w:i/>
        </w:rPr>
        <w:t xml:space="preserve"> </w:t>
      </w:r>
      <w:r>
        <w:rPr>
          <w:i/>
        </w:rPr>
        <w:t xml:space="preserve">Vsebuje seznam proizvodov, ki se lahko v razsutem stanju prodajajo le pod določenimi pogoji oziroma ki jih je iz varnostnih ali javnozdravstvenih razlogov prepovedano prodajati v razsutem stanju, ob upoštevanju veljavne zakonodaje, ki prepoveduje prodajo proizvodov v razsutem stanju, določb prava Unije, zlasti higienskih predpisov, ki onemogočajo prodajo proizvodov v razsutem stanju, ter priporočil Agencije za hrano, okolje ter zdravje in varnost pri delu (ANSES) iz dopisa, namenjenega znanstveni in tehnični podpori, z dne 15. novembra 2021.</w:t>
      </w:r>
      <w:r>
        <w:rPr>
          <w:i/>
        </w:rPr>
        <w:t xml:space="preserve"> </w:t>
      </w:r>
    </w:p>
    <w:p w14:paraId="37532082" w14:textId="1AA39CF8" w:rsidR="005F5078" w:rsidRDefault="00731862">
      <w:pPr>
        <w:pStyle w:val="SNVisa"/>
        <w:jc w:val="both"/>
        <w:rPr>
          <w:i/>
        </w:rPr>
      </w:pPr>
      <w:r>
        <w:rPr>
          <w:i/>
        </w:rPr>
        <w:t xml:space="preserve">V uredbi je določeni tudi, da lahko minister za potrošniške zadeve in ministri, pristojni za zadevne sektorje, po potrebi opredelijo način prodaje nekaterih proizvodov v razsutem stanju, zlasti z namenom zagotavljanja varnosti.</w:t>
      </w:r>
      <w:r>
        <w:rPr>
          <w:i/>
        </w:rPr>
        <w:t xml:space="preserve">  </w:t>
      </w:r>
    </w:p>
    <w:p w14:paraId="0B12F8AA" w14:textId="77777777" w:rsidR="005F5078" w:rsidRDefault="00731862">
      <w:pPr>
        <w:pStyle w:val="SNVisa"/>
        <w:jc w:val="both"/>
      </w:pPr>
      <w:r>
        <w:rPr>
          <w:b/>
          <w:i/>
        </w:rPr>
        <w:t xml:space="preserve">Referenčna besedila</w:t>
      </w:r>
      <w:r>
        <w:t xml:space="preserve">: Zakonik o varstvu potrošnikov, spremenjen s to uredbo, je na voljo na spletnem mestu Légifrance (www.legifrance.gouv.fr).</w:t>
      </w:r>
    </w:p>
    <w:p w14:paraId="71DA58A3" w14:textId="77777777" w:rsidR="005F5078" w:rsidRDefault="009154B2">
      <w:pPr>
        <w:pStyle w:val="SNAutorit"/>
      </w:pPr>
      <w:r>
        <w:t xml:space="preserve">Predsednica vlade –</w:t>
      </w:r>
    </w:p>
    <w:p w14:paraId="60875EF9" w14:textId="77777777" w:rsidR="005F5078" w:rsidRDefault="00731862">
      <w:pPr>
        <w:pStyle w:val="SNRapport"/>
        <w:jc w:val="both"/>
      </w:pPr>
      <w:r>
        <w:t xml:space="preserve">na podlagi poročila ministra za gospodarstvo, finance ter industrijsko in digitalno suverenost;</w:t>
      </w:r>
    </w:p>
    <w:p w14:paraId="445356BD" w14:textId="77777777" w:rsidR="005F5078" w:rsidRDefault="00731862">
      <w:pPr>
        <w:pStyle w:val="SNVisa"/>
        <w:jc w:val="both"/>
      </w:pPr>
      <w:r>
        <w:t xml:space="preserve">ob upoštevanju Uredbe Evropskega parlamenta in Sveta (ES) št. 1831/2003 z dne 22. septembra 2003 o dodatkih za uporabo v prehrani živali, kakor je bila spremenjena;</w:t>
      </w:r>
    </w:p>
    <w:p w14:paraId="4C337A29" w14:textId="77777777" w:rsidR="005F5078" w:rsidRDefault="00731862">
      <w:pPr>
        <w:pStyle w:val="SNVisa"/>
        <w:jc w:val="both"/>
      </w:pPr>
      <w:r>
        <w:t xml:space="preserve">ob upoštevanju Uredbe (ES) št. 648/2004 Evropskega parlamenta in Sveta z dne 31. marca 2004 o detergentih;</w:t>
      </w:r>
    </w:p>
    <w:p w14:paraId="6DE24724" w14:textId="77777777" w:rsidR="005F5078" w:rsidRDefault="00731862">
      <w:pPr>
        <w:pStyle w:val="SNVisa"/>
        <w:jc w:val="both"/>
      </w:pPr>
      <w:r>
        <w:t xml:space="preserve">ob upoštevanju Uredbe Evropskega parlamenta in Sveta (ES) št. 852/2004 z dne 29. aprila 2004 o higieni živil;</w:t>
      </w:r>
    </w:p>
    <w:p w14:paraId="1CD01E86" w14:textId="77777777" w:rsidR="005F5078" w:rsidRDefault="00731862">
      <w:pPr>
        <w:pStyle w:val="SNVisa"/>
        <w:jc w:val="both"/>
      </w:pPr>
      <w:r>
        <w:t xml:space="preserve">ob upoštevanju Uredbe (ES) št. 853/2004 Evropskega parlamenta in Sveta z dne 29. aprila 2004 o posebnih higienskih pravilih za živila živalskega izvora;</w:t>
      </w:r>
    </w:p>
    <w:p w14:paraId="772FCAA0" w14:textId="77777777" w:rsidR="005F5078" w:rsidRDefault="00731862">
      <w:pPr>
        <w:pStyle w:val="SNVisa"/>
        <w:jc w:val="both"/>
      </w:pPr>
      <w:r>
        <w:t xml:space="preserve">ob upoštevanju Uredbe (ES) št. 1272/2008 Evropskega parlamenta in Sveta z dne 16. decembra 2008 o razvrščanju, označevanju in pakiranju snovi ter​zmesi, o spremembi in razveljavitvi direktiv 67/548/EGS in 1999/45/ES ter spremembi Uredbe (ES) št. 1907/2006, kakor je bila spremenjena;</w:t>
      </w:r>
    </w:p>
    <w:p w14:paraId="7F7D550E" w14:textId="77777777" w:rsidR="005F5078" w:rsidRDefault="00731862">
      <w:pPr>
        <w:pStyle w:val="SNVisa"/>
        <w:jc w:val="both"/>
      </w:pPr>
      <w:r>
        <w:t xml:space="preserve">ob upoštevanju Uredbe (ES) št. 767/2009 Evropskega parlamenta in Sveta z dne 13. julija 2009 o dajanju krme v promet in njeni uporabi, spremembi Uredbe (ES) št. 1831/2003 Evropskega parlamenta in Sveta in razveljavitvi Direktive Sveta 79/373/EGS, Direktive Komisije 80/511/EGS, direktiv Sveta 82/471/EGS, 83/228/EGS, 93/74/EGS, 93/113/ES in 96/25/ES ter Odločbe Komisije 2004/217/ES, kakor je bila spremenjena;</w:t>
      </w:r>
    </w:p>
    <w:p w14:paraId="063500E3" w14:textId="77777777" w:rsidR="005F5078" w:rsidRDefault="00731862">
      <w:pPr>
        <w:pStyle w:val="SNVisa"/>
        <w:jc w:val="both"/>
      </w:pPr>
      <w:r>
        <w:t xml:space="preserve">ob upoštevanju Uredbe (ES) št. 1069/2009 Evropskega parlamenta in Sveta z dne 21. oktobra 2009 o določitvi zdravstvenih pravil za živalske stranske proizvode in pridobljene proizvode, ki niso namenjeni prehrani ljudi, ter razveljavitvi Uredbe (ES) št. 1774/2002, kakor je bila spremenjena;</w:t>
      </w:r>
    </w:p>
    <w:p w14:paraId="3A6FAF40" w14:textId="77777777" w:rsidR="005F5078" w:rsidRDefault="00731862">
      <w:pPr>
        <w:pStyle w:val="SNVisa"/>
        <w:jc w:val="both"/>
      </w:pPr>
      <w:r>
        <w:t xml:space="preserve">ob upoštevanju Uredbe (ES) št. 1107/2009 Evropskega parlamenta in Sveta z dne 21. oktobra 2009 o dajanju fitofarmacevtskih sredstev v promet in razveljavitvi direktiv Sveta 79/117/EGS in 91/414/EGS, kakor je bila spremenjena;</w:t>
      </w:r>
    </w:p>
    <w:p w14:paraId="69A2F939" w14:textId="77777777" w:rsidR="005F5078" w:rsidRDefault="00731862">
      <w:pPr>
        <w:pStyle w:val="SNVisa"/>
        <w:jc w:val="both"/>
      </w:pPr>
      <w:r>
        <w:t xml:space="preserve">ob upoštevanju Uredbe (ES) št. 1223/2009 Evropskega parlamenta in Sveta o kozmetičnih izdelkih, kakor je bila spremenjena;</w:t>
      </w:r>
    </w:p>
    <w:p w14:paraId="2C3FEAC8" w14:textId="77777777" w:rsidR="005F5078" w:rsidRDefault="00731862">
      <w:pPr>
        <w:pStyle w:val="SNVisa"/>
        <w:jc w:val="both"/>
      </w:pPr>
      <w:r>
        <w:t xml:space="preserve">ob upoštevanju Uredbe Komisije (EU) št. 142/2011 z dne 25. februarja 2011 o izvajanju Uredbe (ES) št. 1069/2009 Evropskega parlamenta in Sveta o določitvi zdravstvenih pravil za živalske stranske proizvode in pridobljene proizvode, ki niso namenjeni prehrani ljudi, ter izvajanju Direktive Sveta 97/78/ES glede nekaterih vzorcev in predmetov, ki so izvzeti iz veterinarskih pregledov na meji v skladu z navedeno direktivo, kakor je bila spremenjena;</w:t>
      </w:r>
    </w:p>
    <w:p w14:paraId="2B1EC3CA" w14:textId="77777777" w:rsidR="005F5078" w:rsidRDefault="00731862">
      <w:pPr>
        <w:pStyle w:val="SNVisa"/>
        <w:jc w:val="both"/>
      </w:pPr>
      <w:r>
        <w:t xml:space="preserve">ob upoštevanju Uredbe (EU) št. 528/2012 Evropskega parlamenta in Sveta z dne 22. maja 2012 o dostopnosti na trgu in uporabi biocidnih proizvodov, kakor je bila spremenjena;</w:t>
      </w:r>
    </w:p>
    <w:p w14:paraId="5649DAA6" w14:textId="77777777" w:rsidR="005F5078" w:rsidRDefault="00731862">
      <w:pPr>
        <w:pStyle w:val="SNVisa"/>
        <w:jc w:val="both"/>
      </w:pPr>
      <w:r>
        <w:t xml:space="preserve">ob upoštevanju Uredbe (EU) št. 609/2013 Evropskega parlamenta in Sveta z dne 12. junija 2013 o živilih, namenjenih dojenčkom in majhnim otrokom, živilih za posebne zdravstvene namene in popolnih prehranskih nadomestkih za nadzor nad telesno težo ter razveljavitvi Direktive Sveta 92/52/EGS, direktiv Komisije 96/8/ES, 1999/21/ES, 2006/125/ES in 2006/141/ES, Direktive 2009/39/ES Evropskega parlamenta in Sveta ter uredb Komisije (ES) št. 41/2009 in (ES) št. 953/2009, kakor je bila spremenjena;</w:t>
      </w:r>
    </w:p>
    <w:p w14:paraId="6A55E9F8" w14:textId="77777777" w:rsidR="005F5078" w:rsidRDefault="00731862">
      <w:pPr>
        <w:pStyle w:val="SNVisa"/>
        <w:jc w:val="both"/>
      </w:pPr>
      <w:r>
        <w:t xml:space="preserve">ob upoštevanju Direktive (EU) 2015/1535 Evropskega parlamenta in Sveta z dne 9. septembra 2015 o določitvi postopka za zbiranje informacij na področju tehničnih predpisov in pravil za storitve informacijske družbe, kakor je bila spremenjena, zlasti uradnega obvestila št. </w:t>
      </w:r>
      <w:r>
        <w:rPr>
          <w:highlight w:val="yellow"/>
        </w:rPr>
        <w:t xml:space="preserve">[…]</w:t>
      </w:r>
      <w:r>
        <w:t xml:space="preserve"> </w:t>
      </w:r>
      <w:r>
        <w:t xml:space="preserve">;</w:t>
      </w:r>
    </w:p>
    <w:p w14:paraId="7CFDBCDC" w14:textId="77777777" w:rsidR="005F5078" w:rsidRDefault="00731862">
      <w:pPr>
        <w:pStyle w:val="SNVisa"/>
        <w:jc w:val="both"/>
      </w:pPr>
      <w:r>
        <w:t xml:space="preserve">ob upoštevanju Zakonika o varstvu potrošnikov, zlasti člena L. 120-1, </w:t>
      </w:r>
      <w:r>
        <w:rPr>
          <w:i/>
        </w:rPr>
        <w:t xml:space="preserve">kakor je bil spremenjen s členom 41 Zakona št. 020-105 z dne 10. februarja 2020 o preprečevanju nastajanja odpadkov in krožnem gospodarstvu</w:t>
      </w:r>
      <w:r>
        <w:t xml:space="preserve">;</w:t>
      </w:r>
    </w:p>
    <w:p w14:paraId="2D434819" w14:textId="77777777" w:rsidR="005F5078" w:rsidRDefault="00731862">
      <w:pPr>
        <w:pStyle w:val="SNVisa"/>
        <w:jc w:val="both"/>
      </w:pPr>
      <w:r>
        <w:t xml:space="preserve">ob upoštevanju Okoljskega zakonika, zlasti člena R. 557-6-1;</w:t>
      </w:r>
    </w:p>
    <w:p w14:paraId="0931AA72" w14:textId="77777777" w:rsidR="005F5078" w:rsidRDefault="00731862">
      <w:pPr>
        <w:ind w:left="708" w:firstLine="1"/>
        <w:jc w:val="both"/>
      </w:pPr>
      <w:r>
        <w:t xml:space="preserve">ob upoštevanju Zakonika o kmetijstvu in morskem ribištvu, zlasti členov L. 253-1 in R. 253-43;</w:t>
      </w:r>
    </w:p>
    <w:p w14:paraId="51649634" w14:textId="77777777" w:rsidR="005F5078" w:rsidRDefault="00731862">
      <w:pPr>
        <w:pStyle w:val="SNVisa"/>
        <w:jc w:val="both"/>
      </w:pPr>
      <w:r>
        <w:t xml:space="preserve">ob upoštevanju Uredbe št. 64-949 z dne 9. septembra 1964 o izvajanju člena L. 214-1 Zakonika o varstvu potrošnikov v zvezi z zamrznjenimi proizvodi;</w:t>
      </w:r>
    </w:p>
    <w:p w14:paraId="1AE32AF9" w14:textId="77777777" w:rsidR="005F5078" w:rsidRDefault="00731862">
      <w:pPr>
        <w:pStyle w:val="SNVisa"/>
        <w:jc w:val="both"/>
      </w:pPr>
      <w:r>
        <w:t xml:space="preserve">ob upoštevanju Uredbe št. 91-827 z dne 29. avgusta 1991 o živilih za posebne prehranske namene;</w:t>
      </w:r>
    </w:p>
    <w:p w14:paraId="17F46362" w14:textId="77777777" w:rsidR="005F5078" w:rsidRDefault="00731862">
      <w:pPr>
        <w:pStyle w:val="SNVisa"/>
        <w:jc w:val="both"/>
      </w:pPr>
      <w:r>
        <w:t xml:space="preserve">ob upoštevanju Uredbe št. 2006-352 z dne 20. marca 2006 o prehranskih dopolnilih;</w:t>
      </w:r>
    </w:p>
    <w:p w14:paraId="159560AD" w14:textId="77777777" w:rsidR="005F5078" w:rsidRDefault="00731862">
      <w:pPr>
        <w:pStyle w:val="SNVisa"/>
        <w:jc w:val="both"/>
      </w:pPr>
      <w:r>
        <w:t xml:space="preserve">ob upoštevanju dopisa Agencije za hrano, okolje ter zdravje in varnost pri delu, namenjenega znanstveni in tehnični podpori, z dne 15. novembra 2021 –</w:t>
      </w:r>
    </w:p>
    <w:p w14:paraId="1EAA778F" w14:textId="77777777" w:rsidR="005F5078" w:rsidRDefault="00731862">
      <w:pPr>
        <w:pStyle w:val="SNActe"/>
      </w:pPr>
      <w:r>
        <w:t xml:space="preserve">odreja:</w:t>
      </w:r>
    </w:p>
    <w:p w14:paraId="0CB970F5" w14:textId="77777777" w:rsidR="005F5078" w:rsidRDefault="00731862">
      <w:pPr>
        <w:pStyle w:val="SNArticle"/>
      </w:pPr>
      <w:r>
        <w:t xml:space="preserve">Člen 1</w:t>
      </w:r>
    </w:p>
    <w:p w14:paraId="412F2FD6" w14:textId="77777777" w:rsidR="005F5078" w:rsidRDefault="00731862">
      <w:pPr>
        <w:pStyle w:val="BodyText"/>
      </w:pPr>
      <w:r>
        <w:t xml:space="preserve">Pred poglavjem 1 naslova II zvezka 1 Zakonika o varstvu potrošnikov se vstavi poglavje I A, ki se glasi:</w:t>
      </w:r>
    </w:p>
    <w:p w14:paraId="4A4AED7F" w14:textId="77777777" w:rsidR="005F5078" w:rsidRDefault="00731862">
      <w:pPr>
        <w:pStyle w:val="BodyText"/>
        <w:jc w:val="center"/>
        <w:rPr>
          <w:i/>
        </w:rPr>
      </w:pPr>
      <w:r>
        <w:t xml:space="preserve">„</w:t>
      </w:r>
      <w:r>
        <w:rPr>
          <w:i/>
        </w:rPr>
        <w:t xml:space="preserve">Poglavje I A:</w:t>
      </w:r>
      <w:r>
        <w:rPr>
          <w:i/>
        </w:rPr>
        <w:t xml:space="preserve"> </w:t>
      </w:r>
      <w:r>
        <w:rPr>
          <w:i/>
        </w:rPr>
        <w:t xml:space="preserve">Priporočljive poslovne prakse</w:t>
      </w:r>
    </w:p>
    <w:p w14:paraId="3786094A" w14:textId="77777777" w:rsidR="005F5078" w:rsidRDefault="00731862">
      <w:pPr>
        <w:pStyle w:val="BodyText"/>
        <w:jc w:val="center"/>
        <w:rPr>
          <w:i/>
        </w:rPr>
      </w:pPr>
      <w:r>
        <w:rPr>
          <w:i/>
        </w:rPr>
        <w:t xml:space="preserve">Oddelek 1:</w:t>
      </w:r>
      <w:r>
        <w:rPr>
          <w:i/>
        </w:rPr>
        <w:t xml:space="preserve"> </w:t>
      </w:r>
      <w:r>
        <w:rPr>
          <w:i/>
        </w:rPr>
        <w:t xml:space="preserve">prodaja nepakiranih proizvodov</w:t>
      </w:r>
    </w:p>
    <w:p w14:paraId="2C1F21CB" w14:textId="77777777" w:rsidR="005F5078" w:rsidRDefault="00731862">
      <w:pPr>
        <w:pStyle w:val="BodyText"/>
        <w:jc w:val="center"/>
      </w:pPr>
      <w:r>
        <w:rPr>
          <w:i/>
        </w:rPr>
        <w:t xml:space="preserve">Pododdelek 1:</w:t>
      </w:r>
      <w:r>
        <w:rPr>
          <w:i/>
        </w:rPr>
        <w:t xml:space="preserve"> </w:t>
      </w:r>
      <w:r>
        <w:rPr>
          <w:i/>
        </w:rPr>
        <w:t xml:space="preserve">opredelitev pojmov</w:t>
      </w:r>
    </w:p>
    <w:p w14:paraId="41602E48" w14:textId="77777777" w:rsidR="002E171A" w:rsidRDefault="002E171A" w:rsidP="002E171A">
      <w:pPr>
        <w:pStyle w:val="BodyText"/>
      </w:pPr>
      <w:r>
        <w:rPr>
          <w:i/>
        </w:rPr>
        <w:t xml:space="preserve">Člen D. 120-1</w:t>
      </w:r>
      <w:r>
        <w:t xml:space="preserve"> </w:t>
      </w:r>
      <w:r>
        <w:t xml:space="preserve">–</w:t>
      </w:r>
      <w:r>
        <w:t xml:space="preserve"> </w:t>
      </w:r>
      <w:r>
        <w:t xml:space="preserve">Potrošniški proizvodi za vsakodnevno uporabo v smislu člena L. 120-1 pomenijo potrošniško blago iz člena D. 441-1 Trgovinskega zakonika.</w:t>
      </w:r>
    </w:p>
    <w:p w14:paraId="21DC4937" w14:textId="34FA0AE2" w:rsidR="005F5078" w:rsidRDefault="00731862">
      <w:pPr>
        <w:pStyle w:val="BodyText"/>
      </w:pPr>
      <w:r>
        <w:rPr>
          <w:i/>
        </w:rPr>
        <w:t xml:space="preserve">Člen D. 120-2</w:t>
      </w:r>
      <w:r>
        <w:t xml:space="preserve"> </w:t>
      </w:r>
      <w:r>
        <w:t xml:space="preserve">–</w:t>
      </w:r>
      <w:r>
        <w:t xml:space="preserve"> </w:t>
      </w:r>
      <w:r>
        <w:t xml:space="preserve">Postrežna prodaja v smislu člena L. 120-1 pomeni prodajo, pri kateri proizvod na prodajnem mestu zapakira izvajalec, ki proizvod nemudoma zagotovi potrošniku.</w:t>
      </w:r>
    </w:p>
    <w:p w14:paraId="1AF17A48" w14:textId="77777777" w:rsidR="005F5078" w:rsidRDefault="00731862">
      <w:pPr>
        <w:pStyle w:val="BodyText"/>
      </w:pPr>
      <w:r>
        <w:t xml:space="preserve">Če obstaja možnost, da bo proizvod predstavljal tveganje za potrošnika, je treba v okviru postrežne prodaje zagotoviti zadostno zaščito potrošnikov pred tveganji, povezanimi z zadevnim proizvodom.</w:t>
      </w:r>
      <w:r>
        <w:t xml:space="preserve"> </w:t>
      </w:r>
    </w:p>
    <w:p w14:paraId="3CECD195" w14:textId="7780506C" w:rsidR="005F5078" w:rsidRDefault="00731862">
      <w:pPr>
        <w:pStyle w:val="BodyText"/>
      </w:pPr>
      <w:r>
        <w:t xml:space="preserve"> </w:t>
      </w:r>
      <w:r>
        <w:rPr>
          <w:i/>
        </w:rPr>
        <w:t xml:space="preserve">Člen D. 120-3</w:t>
      </w:r>
      <w:r>
        <w:t xml:space="preserve"> </w:t>
      </w:r>
      <w:r>
        <w:t xml:space="preserve">–</w:t>
      </w:r>
      <w:r>
        <w:t xml:space="preserve"> </w:t>
      </w:r>
      <w:r>
        <w:t xml:space="preserve">Ustrezen način distribucije pomeni način distribucije, ki ob upoštevanju značilnosti proizvoda omogoča ohranjanje njegove celovitosti, ohranjanje, izpolnjevanje posebnih zahtev v zvezi z varnostjo proizvoda ter skladnost s higienskimi in varnostnimi zahtevami glede prodajnega mesta.</w:t>
      </w:r>
    </w:p>
    <w:p w14:paraId="64310829" w14:textId="77777777" w:rsidR="005F5078" w:rsidRDefault="00731862">
      <w:pPr>
        <w:pStyle w:val="BodyText"/>
      </w:pPr>
      <w:r>
        <w:t xml:space="preserve">Če obstaja možnost, da bo proizvod predstavljal tveganje za potrošnika, mora ustrezen način distribucije zagotoviti zadostno zaščito potrošnikov pred tveganji, povezanimi z zadevnim proizvodom.</w:t>
      </w:r>
      <w:r>
        <w:t xml:space="preserve"> </w:t>
      </w:r>
    </w:p>
    <w:p w14:paraId="4812EE3A" w14:textId="109A34A6" w:rsidR="005F5078" w:rsidRDefault="00731862">
      <w:pPr>
        <w:pStyle w:val="BodyText"/>
      </w:pPr>
      <w:r>
        <w:rPr>
          <w:i/>
        </w:rPr>
        <w:t xml:space="preserve">Člen D. 120-4</w:t>
      </w:r>
      <w:r>
        <w:t xml:space="preserve"> </w:t>
      </w:r>
      <w:r>
        <w:t xml:space="preserve">–</w:t>
      </w:r>
      <w:r>
        <w:t xml:space="preserve"> </w:t>
      </w:r>
      <w:r>
        <w:t xml:space="preserve">Samopostrežna prodaja živil, namenjenih takojšnjemu zaužitju, ni način prodaje proizvodov v razsutem stanju v smislu člena L. 120-1.</w:t>
      </w:r>
      <w:r>
        <w:t xml:space="preserve">  </w:t>
      </w:r>
    </w:p>
    <w:p w14:paraId="1949FF0A" w14:textId="77777777" w:rsidR="005F5078" w:rsidRDefault="005F5078">
      <w:pPr>
        <w:pStyle w:val="BodyText"/>
      </w:pPr>
    </w:p>
    <w:p w14:paraId="46C9DF8D" w14:textId="77777777" w:rsidR="005F5078" w:rsidRDefault="00731862">
      <w:pPr>
        <w:pStyle w:val="BodyText"/>
        <w:jc w:val="center"/>
        <w:rPr>
          <w:i/>
        </w:rPr>
      </w:pPr>
      <w:r>
        <w:rPr>
          <w:i/>
        </w:rPr>
        <w:t xml:space="preserve">Pododdelek 2:</w:t>
      </w:r>
      <w:r>
        <w:rPr>
          <w:i/>
        </w:rPr>
        <w:t xml:space="preserve"> </w:t>
      </w:r>
      <w:r>
        <w:rPr>
          <w:i/>
        </w:rPr>
        <w:t xml:space="preserve">proizvodi, ki se lahko v razsutem stanju prodajajo le pod določenimi pogoji</w:t>
      </w:r>
      <w:r>
        <w:rPr>
          <w:i/>
        </w:rPr>
        <w:t xml:space="preserve"> </w:t>
      </w:r>
    </w:p>
    <w:p w14:paraId="4991F18C" w14:textId="77777777" w:rsidR="005F5078" w:rsidRDefault="005F5078">
      <w:pPr>
        <w:pStyle w:val="BodyText"/>
      </w:pPr>
    </w:p>
    <w:p w14:paraId="7EEC7314" w14:textId="06E29010" w:rsidR="005F5078" w:rsidRDefault="00731862">
      <w:pPr>
        <w:pStyle w:val="BodyText"/>
      </w:pPr>
      <w:r>
        <w:rPr>
          <w:i/>
        </w:rPr>
        <w:t xml:space="preserve">Člen D. 120-5</w:t>
      </w:r>
      <w:r>
        <w:t xml:space="preserve"> </w:t>
      </w:r>
      <w:r>
        <w:t xml:space="preserve">–</w:t>
      </w:r>
      <w:r>
        <w:t xml:space="preserve"> </w:t>
      </w:r>
      <w:r>
        <w:t xml:space="preserve">Določbe tega pododdelka o odobritvi prodaje proizvodov v razsutem stanju pod določenimi pogoji ne posegajo v uporabo posebnih pravil, ki se uporabljajo za proizvode, zlasti tistih, v skladu s katerimi morajo trgovci, ki tržijo zadevne proizvode, potrošnikom zagotoviti informacije o bistvenih značilnostih proizvodov, previdnostnih ukrepih, ki jih je treba sprejeti v zvezi z zaužitjem ali uporabo proizvodov, ter nevarnostih in tveganjih, ki jih lahko proizvodi predstavljajo.</w:t>
      </w:r>
    </w:p>
    <w:p w14:paraId="5007C3B2" w14:textId="77777777" w:rsidR="005F5078" w:rsidRDefault="00731862">
      <w:pPr>
        <w:pStyle w:val="BodyText"/>
      </w:pPr>
      <w:r>
        <w:t xml:space="preserve"> </w:t>
      </w:r>
    </w:p>
    <w:p w14:paraId="54EB6033" w14:textId="3CBD5B6D" w:rsidR="005F5078" w:rsidRDefault="00731862">
      <w:pPr>
        <w:pStyle w:val="BodyText"/>
      </w:pPr>
      <w:r>
        <w:rPr>
          <w:i/>
        </w:rPr>
        <w:t xml:space="preserve">Člen D. 120-6</w:t>
      </w:r>
      <w:r>
        <w:t xml:space="preserve"> </w:t>
      </w:r>
      <w:r>
        <w:t xml:space="preserve">–</w:t>
      </w:r>
      <w:r>
        <w:t xml:space="preserve">  </w:t>
      </w:r>
      <w:r>
        <w:t xml:space="preserve">I. Določbe tega člena se uporabljajo za naslednje proizvode:</w:t>
      </w:r>
      <w:r>
        <w:t xml:space="preserve"> </w:t>
      </w:r>
    </w:p>
    <w:p w14:paraId="64D66AE1" w14:textId="77777777" w:rsidR="005F5078" w:rsidRDefault="00731862">
      <w:pPr>
        <w:pStyle w:val="BodyText"/>
      </w:pPr>
      <w:r>
        <w:t xml:space="preserve"> </w:t>
      </w:r>
      <w:r>
        <w:t xml:space="preserve">1.</w:t>
      </w:r>
      <w:r>
        <w:t xml:space="preserve"> </w:t>
      </w:r>
      <w:r>
        <w:t xml:space="preserve">materiale in izdelke za enkratno uporabo, namenjene za stik z živili, ki jih pred uporabo ni mogoče oprati;</w:t>
      </w:r>
    </w:p>
    <w:p w14:paraId="10CF183A" w14:textId="77777777" w:rsidR="005F5078" w:rsidRDefault="00731862">
      <w:pPr>
        <w:pStyle w:val="BodyText"/>
      </w:pPr>
      <w:r>
        <w:t xml:space="preserve">2.</w:t>
      </w:r>
      <w:r>
        <w:t xml:space="preserve"> </w:t>
      </w:r>
      <w:r>
        <w:t xml:space="preserve">otroške plenice za enkratno uporabo in – v okviru kategorije proizvodov za intimno higieno za enkratno uporabo – higienske vložke;</w:t>
      </w:r>
      <w:r>
        <w:t xml:space="preserve"> </w:t>
      </w:r>
    </w:p>
    <w:p w14:paraId="73E11E6B" w14:textId="77777777" w:rsidR="005F5078" w:rsidRDefault="00731862">
      <w:pPr>
        <w:pStyle w:val="BodyText"/>
      </w:pPr>
      <w:r>
        <w:t xml:space="preserve">3.</w:t>
      </w:r>
      <w:r>
        <w:t xml:space="preserve"> </w:t>
      </w:r>
      <w:r>
        <w:t xml:space="preserve">toaletni papir, gospodinjske brisače, papirnate brisače, papirnate robčke, vpojne bombažne proizvode in druge proizvode iz bombaža ali drugih rastlinskih vlaken za enkratno uporabo, namenjene umivanju ali brisanju obraza in telesa, palčke za ušesa za enkratno uporabo;</w:t>
      </w:r>
    </w:p>
    <w:p w14:paraId="1E58D54D" w14:textId="77777777" w:rsidR="005F5078" w:rsidRDefault="00731862">
      <w:pPr>
        <w:pStyle w:val="BodyText"/>
      </w:pPr>
      <w:r>
        <w:t xml:space="preserve">4.</w:t>
      </w:r>
      <w:r>
        <w:t xml:space="preserve"> </w:t>
      </w:r>
      <w:r>
        <w:t xml:space="preserve">pokvarljiva živila, ki lahko po kratkem času ogrozijo zdravje ljudi;</w:t>
      </w:r>
    </w:p>
    <w:p w14:paraId="50FBAA23" w14:textId="4769457B" w:rsidR="005F5078" w:rsidRDefault="00731862">
      <w:pPr>
        <w:pStyle w:val="BodyText"/>
      </w:pPr>
      <w:r>
        <w:t xml:space="preserve">5.</w:t>
      </w:r>
      <w:r>
        <w:t xml:space="preserve"> </w:t>
      </w:r>
      <w:r>
        <w:t xml:space="preserve">živila, ki niso živila iz točke 8 člena D. 120-7 in se med prodajo potrošnikom hranijo pri temperaturi –12 °C ali manj;</w:t>
      </w:r>
    </w:p>
    <w:p w14:paraId="61BADF46" w14:textId="77777777" w:rsidR="005F5078" w:rsidRDefault="00731862">
      <w:pPr>
        <w:pStyle w:val="BodyText"/>
      </w:pPr>
      <w:r>
        <w:t xml:space="preserve">6.</w:t>
      </w:r>
      <w:r>
        <w:t xml:space="preserve"> </w:t>
      </w:r>
      <w:r>
        <w:t xml:space="preserve">kozmetične izdelke, v zvezi s katerimi se zahtevata preskus učinkovitosti konzerviranja in mikrobiološko preverjanje končnega izdelka v skladu z Izvedbenim sklepom Komisije z dne 25. novembra 2013 o Smernicah v zvezi s Prilogo I k Uredbi (ES) št. 1223/2009 Evropskega parlamenta in Sveta o kozmetičnih izdelkih;</w:t>
      </w:r>
    </w:p>
    <w:p w14:paraId="5914631C" w14:textId="77777777" w:rsidR="005F5078" w:rsidRDefault="00731862">
      <w:pPr>
        <w:pStyle w:val="BodyText"/>
      </w:pPr>
      <w:r>
        <w:t xml:space="preserve">7.</w:t>
      </w:r>
      <w:r>
        <w:t xml:space="preserve"> </w:t>
      </w:r>
      <w:r>
        <w:t xml:space="preserve">proizvode, ki izpolnjujejo naslednja kumulativna pogoja:</w:t>
      </w:r>
    </w:p>
    <w:p w14:paraId="7E2B0B79" w14:textId="77777777" w:rsidR="005F5078" w:rsidRDefault="00731862">
      <w:pPr>
        <w:pStyle w:val="BodyText"/>
      </w:pPr>
      <w:r>
        <w:t xml:space="preserve">a) so snovi ali zmesi, za katere se uporablja Uredba (ES) št. 1272/2008 Evropskega parlamenta in Sveta z dne 16. decembra 2008 o razvrščanju, označevanju in pakiranju snovi ter​zmesi, ali proizvodi, ki jih zajema Uredba (ES) št. 648/2004 Evropskega parlamenta in Sveta z dne 31. marca 2004 o detergentih;</w:t>
      </w:r>
    </w:p>
    <w:p w14:paraId="54642D26" w14:textId="605866D9" w:rsidR="005F5078" w:rsidRDefault="00731862">
      <w:pPr>
        <w:pStyle w:val="BodyText"/>
      </w:pPr>
      <w:r>
        <w:t xml:space="preserve">b) ne spadajo v nobeno od kategorij proizvodov iz točk 9 in 10 člena D. 120-7.</w:t>
      </w:r>
      <w:r>
        <w:t xml:space="preserve"> </w:t>
      </w:r>
    </w:p>
    <w:p w14:paraId="2224DEF4" w14:textId="77777777" w:rsidR="005F5078" w:rsidRDefault="00731862">
      <w:pPr>
        <w:pStyle w:val="BodyText"/>
      </w:pPr>
      <w:r>
        <w:t xml:space="preserve">II. Proizvodi iz odstavka I se lahko prodajajo v razsutem stanju samo, če se ob upoštevanju posebnih tveganj, povezanih z njihovimi značilnostmi, prodajajo pod naslednjimi pogoji:</w:t>
      </w:r>
    </w:p>
    <w:p w14:paraId="7B89E970" w14:textId="77777777" w:rsidR="005F5078" w:rsidRDefault="00731862">
      <w:pPr>
        <w:pStyle w:val="BodyText"/>
      </w:pPr>
      <w:r>
        <w:t xml:space="preserve">1.</w:t>
      </w:r>
      <w:r>
        <w:t xml:space="preserve"> </w:t>
      </w:r>
      <w:r>
        <w:t xml:space="preserve">bodisi postrežno</w:t>
      </w:r>
    </w:p>
    <w:p w14:paraId="74CD73BB" w14:textId="77777777" w:rsidR="005F5078" w:rsidRDefault="00731862">
      <w:pPr>
        <w:pStyle w:val="BodyText"/>
      </w:pPr>
      <w:r>
        <w:t xml:space="preserve">2.</w:t>
      </w:r>
      <w:r>
        <w:t xml:space="preserve"> </w:t>
      </w:r>
      <w:r>
        <w:t xml:space="preserve">bodisi z ustreznim načinom distribucije v okviru samopostrežne prodaje proizvodov v razsutem stanju.</w:t>
      </w:r>
    </w:p>
    <w:p w14:paraId="08DDCB7E" w14:textId="77777777" w:rsidR="005F5078" w:rsidRDefault="005F5078">
      <w:pPr>
        <w:pStyle w:val="BodyText"/>
      </w:pPr>
    </w:p>
    <w:p w14:paraId="3FD44C4F" w14:textId="3A6E6CD2" w:rsidR="005F5078" w:rsidRDefault="00731862">
      <w:pPr>
        <w:pStyle w:val="BodyText"/>
        <w:jc w:val="center"/>
        <w:rPr>
          <w:i/>
        </w:rPr>
      </w:pPr>
      <w:r>
        <w:rPr>
          <w:i/>
        </w:rPr>
        <w:t xml:space="preserve">Pododdelek 3:</w:t>
      </w:r>
      <w:r>
        <w:rPr>
          <w:i/>
        </w:rPr>
        <w:t xml:space="preserve"> </w:t>
      </w:r>
      <w:r>
        <w:rPr>
          <w:i/>
        </w:rPr>
        <w:t xml:space="preserve">proizvodi, ki jih je prepovedano prodajati v razsutem stanju</w:t>
      </w:r>
    </w:p>
    <w:p w14:paraId="4E803AA1" w14:textId="77777777" w:rsidR="005F5078" w:rsidRDefault="005F5078">
      <w:pPr>
        <w:pStyle w:val="BodyText"/>
      </w:pPr>
    </w:p>
    <w:p w14:paraId="28561AB7" w14:textId="395193E6" w:rsidR="005F5078" w:rsidRDefault="00731862">
      <w:pPr>
        <w:pStyle w:val="BodyText"/>
      </w:pPr>
      <w:r>
        <w:rPr>
          <w:i/>
        </w:rPr>
        <w:t xml:space="preserve">Člen D. 120-7</w:t>
      </w:r>
      <w:r>
        <w:t xml:space="preserve"> </w:t>
      </w:r>
      <w:r>
        <w:t xml:space="preserve">–</w:t>
      </w:r>
      <w:r>
        <w:t xml:space="preserve"> </w:t>
      </w:r>
      <w:r>
        <w:t xml:space="preserve">V razsutem stanju je v kakršni koli obliki prepovedano prodajati naslednje proizvode:</w:t>
      </w:r>
      <w:r>
        <w:t xml:space="preserve">  </w:t>
      </w:r>
    </w:p>
    <w:p w14:paraId="0A4BAB5C" w14:textId="77777777" w:rsidR="005F5078" w:rsidRDefault="00731862">
      <w:pPr>
        <w:pStyle w:val="BodyText"/>
      </w:pPr>
      <w:r>
        <w:t xml:space="preserve">1.</w:t>
      </w:r>
      <w:r>
        <w:t xml:space="preserve"> </w:t>
      </w:r>
      <w:r>
        <w:t xml:space="preserve">toplotno obdelane tekoče mlečne proizvode v skladu z določbami poglavja III oddelka IX Priloge III k Uredbi (ES) št. 853/2004 Evropskega parlamenta in Sveta z dne 29. aprila 2004 o posebnih higienskih pravilih za živila živalskega izvora;</w:t>
      </w:r>
    </w:p>
    <w:p w14:paraId="13F9A9D6" w14:textId="09A3AFB5" w:rsidR="005F5078" w:rsidRDefault="00731862">
      <w:pPr>
        <w:pStyle w:val="BodyText"/>
      </w:pPr>
      <w:r>
        <w:t xml:space="preserve">2.</w:t>
      </w:r>
      <w:r>
        <w:t xml:space="preserve"> </w:t>
      </w:r>
      <w:r>
        <w:t xml:space="preserve">surovo mleko, razen če ga v razlitem stanju izvajalec, ki proizvod zapakira pred potrošnikom, izroči neposredno končnemu potrošniku ali če se zagotovi prek avtomatske naprave za distribucijo tekočine v skladu s členom 7 Uredbe z dne 13. julija 2012 o pogojih glede proizvodnje in trženja surovega kravjega mleka ter mleka malih prežvekovalcev in domačih kopitarjev, ki se zagotavlja končnim potrošnikom;</w:t>
      </w:r>
    </w:p>
    <w:p w14:paraId="6BF5402B" w14:textId="77777777" w:rsidR="005F5078" w:rsidRDefault="00731862">
      <w:pPr>
        <w:pStyle w:val="BodyText"/>
      </w:pPr>
      <w:r>
        <w:t xml:space="preserve">3.</w:t>
      </w:r>
      <w:r>
        <w:t xml:space="preserve"> </w:t>
      </w:r>
      <w:r>
        <w:t xml:space="preserve">začetne formule za dojenčke in nadaljevalne formule, formule in otroško hrano na osnovi žit, živila za posebne zdravstvene namene, popolne dnevne prehranske nadomestke za nadzor nad telesno težo v skladu s členom 4 Uredbe (EU) št. 609/2013 Evropskega parlamenta in Sveta z dne 12. junija 2013 o živilih, namenjenih dojenčkom in majhnim otrokom, živilih za posebne zdravstvene namene in popolnih prehranskih nadomestkih za nadzor nad telesno težo ter živila za posebne prehranske namene v skladu z določbami člena 6 Uredbe št. 91-827 z dne 29. avgusta 1991 o živilih za posebne prehranske namene;</w:t>
      </w:r>
    </w:p>
    <w:p w14:paraId="3AABB220" w14:textId="77777777" w:rsidR="005F5078" w:rsidRDefault="00731862">
      <w:pPr>
        <w:jc w:val="both"/>
      </w:pPr>
      <w:r>
        <w:t xml:space="preserve">4.</w:t>
      </w:r>
      <w:r>
        <w:t xml:space="preserve"> </w:t>
      </w:r>
      <w:r>
        <w:t xml:space="preserve">posamična krmila in krmne mešanice, razen krme iz člena 23(2) Uredbe (ES) št. 767/2009 Evropskega parlamenta in Sveta z dne 13. julija 2009 o dajanju krme v promet in njeni uporabi, dane na trg v skladu z zahtevami iz Priloge II k Uredbi (ES) št. 183/2005 o zahtevah glede higiene krme, brez poseganja v točko 5;</w:t>
      </w:r>
    </w:p>
    <w:p w14:paraId="67DD3CE1" w14:textId="77777777" w:rsidR="005F5078" w:rsidRDefault="00731862">
      <w:pPr>
        <w:pStyle w:val="BodyText"/>
      </w:pPr>
      <w:r>
        <w:t xml:space="preserve">5.</w:t>
      </w:r>
      <w:r>
        <w:t xml:space="preserve"> </w:t>
      </w:r>
      <w:r>
        <w:t xml:space="preserve">surovo hrano za hišne živali, kot je opredeljena v Prilogi I k Uredbi Komisije (EU) št. 142/2011 z dne 25. februarja 2011 o izvajanju Uredbe (ES) št. 1069/2009 Evropskega parlamenta in Sveta o določitvi zdravstvenih pravil za živalske stranske proizvode in pridobljene proizvode, ki niso namenjeni prehrani ljudi, ter o izvajanju Direktive Sveta 97/78/ES glede nekaterih vzorcev in predmetov, ki so izvzeti iz veterinarskih pregledov na meji v skladu z navedeno direktivo, v skladu z določbami točke 1 poglavja II Priloge XIII k navedeni uredbi, razen surove hrane v maloprodajnih trgovinah, kjer se razsek in skladiščenje izvajata le za namene oskrbe potrošnikov neposredno na kraju samem v skladu s členom 2(2), točka (i), Uredbe (ES) št. 1069/2009 Evropskega parlamenta in Sveta z dne 21. oktobra 2009 o določitvi zdravstvenih pravil za živalske stranske proizvode in pridobljene proizvode, ki niso namenjeni prehrani ljudi, brez poseganja v točko 4;</w:t>
      </w:r>
      <w:r>
        <w:t xml:space="preserve"> </w:t>
      </w:r>
    </w:p>
    <w:p w14:paraId="2D7579FA" w14:textId="77777777" w:rsidR="005F5078" w:rsidRDefault="00731862">
      <w:pPr>
        <w:pStyle w:val="BodyText"/>
      </w:pPr>
      <w:r>
        <w:t xml:space="preserve">6.</w:t>
      </w:r>
      <w:r>
        <w:t xml:space="preserve"> </w:t>
      </w:r>
      <w:r>
        <w:t xml:space="preserve">dodatke in premikse za uporabo v prehrani živali v skladu z določbami člena 16(5) Uredbe Evropskega parlamenta in Sveta (ES) št. 1831/2003 z dne 22. septembra 2003 o dodatkih za uporabo v prehrani živali;</w:t>
      </w:r>
    </w:p>
    <w:p w14:paraId="0ED5376D" w14:textId="77777777" w:rsidR="005F5078" w:rsidRDefault="00731862">
      <w:pPr>
        <w:pStyle w:val="BodyText"/>
      </w:pPr>
      <w:r>
        <w:t xml:space="preserve">7.</w:t>
      </w:r>
      <w:r>
        <w:t xml:space="preserve"> </w:t>
      </w:r>
      <w:r>
        <w:t xml:space="preserve">prehranska dopolnila v skladu s členom 1 Uredbe št. 2006-352 z dne 20. marca 2006 o prehranskih dopolnilih;</w:t>
      </w:r>
    </w:p>
    <w:p w14:paraId="24BC0EA4" w14:textId="77777777" w:rsidR="005F5078" w:rsidRDefault="00731862">
      <w:pPr>
        <w:pStyle w:val="BodyText"/>
      </w:pPr>
      <w:r>
        <w:t xml:space="preserve">8.</w:t>
      </w:r>
      <w:r>
        <w:t xml:space="preserve"> </w:t>
      </w:r>
      <w:r>
        <w:t xml:space="preserve">zamrznjene proizvode v skladu z določbami člena 4 Uredbe št. 64-949 z dne 9. septembra 1964 o izvajanju člena L. 214-1 Zakonika o varstvu potrošnikov v zvezi z zamrznjenimi proizvodi;</w:t>
      </w:r>
    </w:p>
    <w:p w14:paraId="226B1961" w14:textId="146CE55B" w:rsidR="005F5078" w:rsidRDefault="00731862">
      <w:pPr>
        <w:pStyle w:val="BodyText"/>
      </w:pPr>
      <w:r>
        <w:t xml:space="preserve">9.</w:t>
      </w:r>
      <w:r>
        <w:t xml:space="preserve"> </w:t>
      </w:r>
      <w:r>
        <w:t xml:space="preserve">biocidne proizvode, kot so opredeljeni v členu 3 Uredbe (EU) št. 528/2012 Evropskega parlamenta in Sveta z dne 22. maja 2012 o dostopnosti na trgu in uporabi biocidnih proizvodov, če prodaja v razsutem stanju ni izrecno vključena v dovoljenje za promet, ter biocidne proizvode, za katere se uporabljajo prehodni ukrepi iz člena 89 Uredbe (EU) št. 528/2012;</w:t>
      </w:r>
    </w:p>
    <w:p w14:paraId="01B95491" w14:textId="06AB1D9D" w:rsidR="005F5078" w:rsidRDefault="00731862">
      <w:pPr>
        <w:pStyle w:val="BodyText"/>
      </w:pPr>
      <w:r>
        <w:t xml:space="preserve">10.</w:t>
      </w:r>
      <w:r>
        <w:t xml:space="preserve"> </w:t>
      </w:r>
      <w:r>
        <w:t xml:space="preserve">snovi ali zmesi, katerih embalaža je opremljena z zapiralom, varnim za otroke, ali otipnim opozorilom za nevarnost v skladu s členom 35 Uredbe (ES) št. 1272/2008, ter tekoče detergente za tekstil, namenjene potrošnikom in pakirane v topljivi embalaži za enkratno uporabo v skladu z navedenim členom;</w:t>
      </w:r>
    </w:p>
    <w:p w14:paraId="6AA68867" w14:textId="2F278FE3" w:rsidR="005F5078" w:rsidRDefault="002E171A">
      <w:pPr>
        <w:pStyle w:val="BodyText"/>
      </w:pPr>
      <w:r>
        <w:t xml:space="preserve"> </w:t>
      </w:r>
      <w:r>
        <w:t xml:space="preserve">11.</w:t>
      </w:r>
      <w:r>
        <w:t xml:space="preserve"> </w:t>
      </w:r>
      <w:r>
        <w:t xml:space="preserve">električne baterije in akumulatorje;</w:t>
      </w:r>
    </w:p>
    <w:p w14:paraId="5233166B" w14:textId="60635F85" w:rsidR="005F5078" w:rsidRDefault="002E171A">
      <w:pPr>
        <w:pStyle w:val="BodyText"/>
      </w:pPr>
      <w:r>
        <w:t xml:space="preserve"> </w:t>
      </w:r>
      <w:r>
        <w:t xml:space="preserve">12.</w:t>
      </w:r>
      <w:r>
        <w:t xml:space="preserve"> </w:t>
      </w:r>
      <w:r>
        <w:t xml:space="preserve">v okviru kategorije proizvodov za osebno higieno za enkratno uporabo – tampone;</w:t>
      </w:r>
    </w:p>
    <w:p w14:paraId="0CEFEA4E" w14:textId="5F545DA9" w:rsidR="005F5078" w:rsidRDefault="00731862">
      <w:pPr>
        <w:pStyle w:val="BodyText"/>
      </w:pPr>
      <w:r>
        <w:t xml:space="preserve">13.</w:t>
      </w:r>
      <w:r>
        <w:t xml:space="preserve"> </w:t>
      </w:r>
      <w:r>
        <w:t xml:space="preserve">proizvode, katerih prodaja v razsutem stanju ne izpolnjuje javnozdravstvenih zahtev, določenih v uredbah in direktivah, sprejetih v skladu s Pogodbo o delovanju Evropske unije.</w:t>
      </w:r>
    </w:p>
    <w:p w14:paraId="6AFC673C" w14:textId="77777777" w:rsidR="005F5078" w:rsidRDefault="005F5078">
      <w:pPr>
        <w:pStyle w:val="BodyText"/>
      </w:pPr>
    </w:p>
    <w:p w14:paraId="70114BC6" w14:textId="429A0F43" w:rsidR="005F5078" w:rsidRDefault="00731862">
      <w:pPr>
        <w:pStyle w:val="BodyText"/>
        <w:jc w:val="center"/>
        <w:rPr>
          <w:i/>
        </w:rPr>
      </w:pPr>
      <w:r>
        <w:rPr>
          <w:i/>
        </w:rPr>
        <w:t xml:space="preserve">Pododdelek 4:</w:t>
      </w:r>
      <w:r>
        <w:rPr>
          <w:i/>
        </w:rPr>
        <w:t xml:space="preserve"> </w:t>
      </w:r>
      <w:r>
        <w:rPr>
          <w:i/>
        </w:rPr>
        <w:t xml:space="preserve">posebni pogoji glede prodaje proizvodov v razsutem stanju</w:t>
      </w:r>
    </w:p>
    <w:p w14:paraId="6294E92F" w14:textId="77777777" w:rsidR="005F5078" w:rsidRDefault="005F5078">
      <w:pPr>
        <w:pStyle w:val="BodyText"/>
        <w:jc w:val="center"/>
        <w:rPr>
          <w:b/>
        </w:rPr>
      </w:pPr>
    </w:p>
    <w:p w14:paraId="05C28C77" w14:textId="7C928E7E" w:rsidR="005F5078" w:rsidRDefault="00731862">
      <w:pPr>
        <w:pStyle w:val="BodyText"/>
      </w:pPr>
      <w:r>
        <w:rPr>
          <w:i/>
        </w:rPr>
        <w:t xml:space="preserve">Člen D. 120-8</w:t>
      </w:r>
      <w:r>
        <w:t xml:space="preserve"> </w:t>
      </w:r>
      <w:r>
        <w:t xml:space="preserve">–</w:t>
      </w:r>
      <w:r>
        <w:t xml:space="preserve">  </w:t>
      </w:r>
      <w:r>
        <w:t xml:space="preserve">Posebni pogoji, zlasti varnostni pogoji, ki se uporabljajo za prodajo proizvodov v razsutem stanju, se po potrebi določijo s skupno odredbo ministra za varstvo potrošnikov in ministra, pristojnega za zadevne proizvode.“.</w:t>
      </w:r>
    </w:p>
    <w:p w14:paraId="13936349" w14:textId="77777777" w:rsidR="005F5078" w:rsidRDefault="00731862">
      <w:pPr>
        <w:pStyle w:val="SNArticle"/>
      </w:pPr>
      <w:r>
        <w:t xml:space="preserve">Člen 2</w:t>
      </w:r>
    </w:p>
    <w:p w14:paraId="1854A7E3" w14:textId="77777777" w:rsidR="005F5078" w:rsidRDefault="00731862">
      <w:pPr>
        <w:pStyle w:val="SNArticle"/>
        <w:jc w:val="left"/>
        <w:rPr>
          <w:b w:val="0"/>
        </w:rPr>
      </w:pPr>
      <w:r>
        <w:rPr>
          <w:b w:val="0"/>
        </w:rPr>
        <w:t xml:space="preserve">Ta uredba začne veljati dne xx xx 2022.</w:t>
      </w:r>
    </w:p>
    <w:p w14:paraId="02B96412" w14:textId="7C8C3B6D" w:rsidR="005F5078" w:rsidRDefault="00731862">
      <w:pPr>
        <w:pStyle w:val="SNArticle"/>
      </w:pPr>
      <w:r>
        <w:rPr>
          <w:b w:val="0"/>
        </w:rPr>
        <w:t xml:space="preserve"> </w:t>
      </w:r>
      <w:r>
        <w:t xml:space="preserve">Člen 3</w:t>
      </w:r>
    </w:p>
    <w:p w14:paraId="1D40A749" w14:textId="77777777" w:rsidR="005F5078" w:rsidRDefault="00731862">
      <w:pPr>
        <w:pStyle w:val="BodyText"/>
      </w:pPr>
      <w:r>
        <w:t xml:space="preserve">Ministri za gospodarstvo, finance in industrijsko suverenost,</w:t>
      </w:r>
      <w:r>
        <w:t xml:space="preserve"> </w:t>
      </w:r>
      <w:r>
        <w:t xml:space="preserve">kmetijstvo in prehransko neodvisnost,</w:t>
      </w:r>
      <w:r>
        <w:t xml:space="preserve"> </w:t>
      </w:r>
      <w:r>
        <w:t xml:space="preserve">ekološki prehod in teritorialno kohezijo</w:t>
      </w:r>
      <w:r>
        <w:t xml:space="preserve"> </w:t>
      </w:r>
      <w:r>
        <w:t xml:space="preserve">ter zdravje in preventivne ukrepe so vsak v skladu s svojimi pristojnostmi odgovorni za izvajanje te uredbe, ki se objavi v </w:t>
      </w:r>
      <w:r>
        <w:rPr>
          <w:i/>
        </w:rPr>
        <w:t xml:space="preserve">Uradnem listu</w:t>
      </w:r>
      <w:r>
        <w:t xml:space="preserve"> Francoske republike.</w:t>
      </w:r>
    </w:p>
    <w:p w14:paraId="545E5D75" w14:textId="77777777" w:rsidR="00F66D41" w:rsidRDefault="00F66D41" w:rsidP="00F66D41">
      <w:pPr>
        <w:pStyle w:val="SNDate"/>
      </w:pPr>
      <w:r>
        <w:t xml:space="preserve">Dne</w:t>
      </w:r>
      <w:r>
        <w:t xml:space="preserve"> </w:t>
      </w:r>
    </w:p>
    <w:p w14:paraId="43343C5A" w14:textId="77777777" w:rsidR="00F66D41" w:rsidRDefault="00F66D41" w:rsidP="00F66D41">
      <w:pPr>
        <w:pStyle w:val="SNDate"/>
      </w:pPr>
      <w:r>
        <w:t xml:space="preserve">Élisabeth BORNE</w:t>
      </w:r>
    </w:p>
    <w:p w14:paraId="45FC2349" w14:textId="77777777" w:rsidR="00F66D41" w:rsidRDefault="00F66D41" w:rsidP="00F66D41">
      <w:pPr>
        <w:pStyle w:val="SNContreseing"/>
      </w:pPr>
      <w:r>
        <w:t xml:space="preserve">V imenu predsednice vlade:</w:t>
      </w:r>
      <w:r>
        <w:t xml:space="preserve"> </w:t>
      </w:r>
    </w:p>
    <w:p w14:paraId="74E27225" w14:textId="77777777" w:rsidR="00F66D41" w:rsidRDefault="00F66D41" w:rsidP="00F66D41">
      <w:pPr>
        <w:pStyle w:val="SNSignatureDroite"/>
      </w:pPr>
      <w:r>
        <w:t xml:space="preserve">minister za gospodarstvo, finance ter industrijsko in digitalno suverenost</w:t>
      </w:r>
    </w:p>
    <w:p w14:paraId="2E41F259" w14:textId="77777777" w:rsidR="00F66D41" w:rsidRDefault="00F66D41" w:rsidP="00F66D41">
      <w:pPr>
        <w:pStyle w:val="SNSignatureDroite"/>
      </w:pPr>
      <w:r>
        <w:t xml:space="preserve">Bruno LE MAIRE</w:t>
      </w:r>
    </w:p>
    <w:p w14:paraId="32FB1261" w14:textId="77777777" w:rsidR="00F66D41" w:rsidRDefault="00F66D41" w:rsidP="00F66D41">
      <w:pPr>
        <w:pStyle w:val="SNSignatureDroite"/>
      </w:pPr>
      <w:r>
        <w:t xml:space="preserve">minister za kmetijstvo in prehransko neodvisnost</w:t>
      </w:r>
      <w:r>
        <w:t xml:space="preserve"> </w:t>
      </w:r>
    </w:p>
    <w:p w14:paraId="64FCE91B" w14:textId="77777777" w:rsidR="005F5078" w:rsidRDefault="00F66D41" w:rsidP="00F66D41">
      <w:pPr>
        <w:pStyle w:val="SNSignatureDroite"/>
      </w:pPr>
      <w:r>
        <w:t xml:space="preserve">Marc FESNEAU</w:t>
      </w:r>
    </w:p>
    <w:p w14:paraId="558790CA" w14:textId="77777777" w:rsidR="00F66D41" w:rsidRDefault="00F66D41" w:rsidP="00F66D41">
      <w:pPr>
        <w:pStyle w:val="SNSignatureDroite"/>
      </w:pPr>
      <w:r>
        <w:t xml:space="preserve">minister za ekološki prehod in teritorialno kohezijo</w:t>
      </w:r>
    </w:p>
    <w:p w14:paraId="4CCA895F" w14:textId="77777777" w:rsidR="00F66D41" w:rsidRDefault="00F66D41" w:rsidP="00F66D41">
      <w:pPr>
        <w:pStyle w:val="SNContreseing"/>
        <w:jc w:val="right"/>
      </w:pPr>
      <w:r>
        <w:t xml:space="preserve">Christophe BÉCHU</w:t>
      </w:r>
    </w:p>
    <w:p w14:paraId="1104E23F" w14:textId="77777777" w:rsidR="00F66D41" w:rsidRPr="00F66D41" w:rsidRDefault="00F66D41" w:rsidP="00F66D41">
      <w:pPr>
        <w:pStyle w:val="SNSignatureGauche"/>
      </w:pPr>
    </w:p>
    <w:p w14:paraId="03685179" w14:textId="77777777" w:rsidR="00F66D41" w:rsidRDefault="00F66D41" w:rsidP="00F66D41">
      <w:pPr>
        <w:pStyle w:val="SNSignatureDroite"/>
      </w:pPr>
      <w:r>
        <w:t xml:space="preserve">minister za zdravje in preventivne ukrepe</w:t>
      </w:r>
    </w:p>
    <w:p w14:paraId="540A467A" w14:textId="77777777" w:rsidR="005F5078" w:rsidRDefault="00F66D41" w:rsidP="00F66D41">
      <w:pPr>
        <w:pStyle w:val="SNContreseing"/>
        <w:jc w:val="right"/>
      </w:pPr>
      <w:r>
        <w:t xml:space="preserve">François BRAUN</w:t>
      </w:r>
    </w:p>
    <w:p w14:paraId="293EA704" w14:textId="77777777" w:rsidR="00F66D41" w:rsidRPr="00F66D41" w:rsidRDefault="00F66D41" w:rsidP="00F66D41">
      <w:pPr>
        <w:pStyle w:val="SNSignatureGauche"/>
      </w:pPr>
    </w:p>
    <w:sectPr w:rsidR="00F66D41" w:rsidRPr="00F66D41">
      <w:pgSz w:w="11906" w:h="16838"/>
      <w:pgMar w:top="1134" w:right="1418" w:bottom="1418"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58B4" w14:textId="77777777" w:rsidR="006C37FB" w:rsidRDefault="006C37FB">
      <w:pPr>
        <w:spacing w:after="0" w:line="240" w:lineRule="auto"/>
      </w:pPr>
      <w:r>
        <w:separator/>
      </w:r>
    </w:p>
  </w:endnote>
  <w:endnote w:type="continuationSeparator" w:id="0">
    <w:p w14:paraId="05D2E9A9" w14:textId="77777777" w:rsidR="006C37FB" w:rsidRDefault="006C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3DA20" w14:textId="77777777" w:rsidR="006C37FB" w:rsidRDefault="006C37FB">
      <w:pPr>
        <w:spacing w:after="0" w:line="240" w:lineRule="auto"/>
      </w:pPr>
      <w:r>
        <w:separator/>
      </w:r>
    </w:p>
  </w:footnote>
  <w:footnote w:type="continuationSeparator" w:id="0">
    <w:p w14:paraId="5A47CC3F" w14:textId="77777777" w:rsidR="006C37FB" w:rsidRDefault="006C37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78"/>
    <w:rsid w:val="000B51D1"/>
    <w:rsid w:val="001C1031"/>
    <w:rsid w:val="002E171A"/>
    <w:rsid w:val="005C7EF3"/>
    <w:rsid w:val="005F5078"/>
    <w:rsid w:val="006C37FB"/>
    <w:rsid w:val="006E603D"/>
    <w:rsid w:val="00731862"/>
    <w:rsid w:val="009154B2"/>
    <w:rsid w:val="0093040D"/>
    <w:rsid w:val="00A040C9"/>
    <w:rsid w:val="00C9285A"/>
    <w:rsid w:val="00D52C12"/>
    <w:rsid w:val="00E03AB7"/>
    <w:rsid w:val="00E4701B"/>
    <w:rsid w:val="00F1433B"/>
    <w:rsid w:val="00F66D41"/>
    <w:rsid w:val="00FC0A78"/>
    <w:rsid w:val="00FF3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DE4FA"/>
  <w15:docId w15:val="{EA1D06FE-9AE1-4E77-B740-6894B8B6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sl-SI" w:eastAsia="fr-FR" w:bidi="ar-SA"/>
      </w:rPr>
    </w:rPrDefault>
    <w:pPrDefault>
      <w:pPr>
        <w:pBdr>
          <w:top w:val="none" w:sz="4" w:space="0" w:color="000000"/>
          <w:left w:val="none" w:sz="4" w:space="0" w:color="000000"/>
          <w:bottom w:val="none" w:sz="4" w:space="0" w:color="000000"/>
          <w:right w:val="none" w:sz="4" w:space="0" w:color="000000"/>
          <w:between w:val="none" w:sz="4" w:space="0" w:color="000000"/>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sz w:val="24"/>
      <w:szCs w:val="24"/>
    </w:rPr>
  </w:style>
  <w:style w:type="paragraph" w:styleId="Heading1">
    <w:name w:val="heading 1"/>
    <w:basedOn w:val="Normal"/>
    <w:next w:val="Normal"/>
    <w:link w:val="Heading1Char"/>
    <w:qFormat/>
    <w:pPr>
      <w:keepNext/>
      <w:spacing w:before="240"/>
      <w:jc w:val="center"/>
      <w:outlineLvl w:val="0"/>
    </w:pPr>
    <w:rPr>
      <w:rFonts w:cs="Arial"/>
      <w:bCs/>
      <w:caps/>
    </w:rPr>
  </w:style>
  <w:style w:type="paragraph" w:styleId="Heading2">
    <w:name w:val="heading 2"/>
    <w:basedOn w:val="Normal"/>
    <w:next w:val="Normal"/>
    <w:link w:val="Heading2Char"/>
    <w:qFormat/>
    <w:pPr>
      <w:keepNext/>
      <w:spacing w:before="240"/>
      <w:jc w:val="center"/>
      <w:outlineLvl w:val="1"/>
    </w:pPr>
    <w:rPr>
      <w:bCs/>
      <w:iCs/>
      <w:smallCaps/>
    </w:rPr>
  </w:style>
  <w:style w:type="paragraph" w:styleId="Heading3">
    <w:name w:val="heading 3"/>
    <w:basedOn w:val="Normal"/>
    <w:next w:val="Normal"/>
    <w:link w:val="Heading3Char"/>
    <w:qFormat/>
    <w:pPr>
      <w:keepNext/>
      <w:spacing w:before="120"/>
      <w:jc w:val="center"/>
      <w:outlineLvl w:val="2"/>
    </w:pPr>
    <w:rPr>
      <w:rFonts w:cs="Arial"/>
      <w:bCs/>
      <w:szCs w:val="26"/>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line="240" w:lineRule="auto"/>
    </w:p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character" w:customStyle="1" w:styleId="FooterChar1">
    <w:name w:val="Footer Char1"/>
    <w:link w:val="Footer"/>
    <w:uiPriority w:val="99"/>
  </w:style>
  <w:style w:type="table" w:styleId="TableGrid">
    <w:name w:val="Table Grid"/>
    <w:basedOn w:val="Table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pPr>
      <w:spacing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pPr>
      <w:spacing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pPr>
      <w:spacing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pPr>
      <w:spacing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pPr>
      <w:spacing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pPr>
      <w:spacing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pPr>
      <w:spacing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pPr>
      <w:spacing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3">
    <w:name w:val="Grid Table 3"/>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pPr>
      <w:spacing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pPr>
      <w:spacing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pPr>
      <w:spacing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pPr>
      <w:spacing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pPr>
      <w:spacing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pPr>
      <w:spacing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4">
    <w:name w:val="Grid Table 4"/>
    <w:basedOn w:val="Table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pPr>
      <w:spacing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pPr>
      <w:spacing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pPr>
      <w:spacing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pPr>
      <w:spacing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pPr>
      <w:spacing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pPr>
      <w:spacing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5Dark">
    <w:name w:val="Grid Table 5 Dark"/>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ridTable6Colorful">
    <w:name w:val="Grid Table 6 Colorful"/>
    <w:basedOn w:val="Table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pPr>
      <w:spacing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pPr>
      <w:spacing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pPr>
      <w:spacing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Table2">
    <w:name w:val="List Table 2"/>
    <w:basedOn w:val="Table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pPr>
      <w:spacing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pPr>
      <w:spacing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pPr>
      <w:spacing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pPr>
      <w:spacing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pPr>
      <w:spacing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pPr>
      <w:spacing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3">
    <w:name w:val="List Table 3"/>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pPr>
      <w:spacing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pPr>
      <w:spacing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pPr>
      <w:spacing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pPr>
      <w:spacing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pPr>
      <w:spacing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pPr>
      <w:spacing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pPr>
      <w:spacing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pPr>
      <w:spacing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5Dark">
    <w:name w:val="List Table 5 Dark"/>
    <w:basedOn w:val="Table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pPr>
      <w:spacing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pPr>
      <w:spacing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pPr>
      <w:spacing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pPr>
      <w:spacing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pPr>
      <w:spacing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pPr>
      <w:spacing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Table6Colorful">
    <w:name w:val="List Table 6 Colorful"/>
    <w:basedOn w:val="Table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pPr>
      <w:spacing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pPr>
      <w:spacing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pPr>
      <w:spacing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pPr>
      <w:spacing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pPr>
      <w:spacing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pPr>
      <w:spacing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pPr>
      <w:spacing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pPr>
      <w:spacing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pPr>
      <w:spacing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pPr>
      <w:spacing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SNTimbreCar">
    <w:name w:val="SNTimbre Car"/>
    <w:basedOn w:val="DefaultParagraphFont"/>
    <w:qFormat/>
    <w:rPr>
      <w:rFonts w:eastAsia="Lucida Sans Unicode"/>
      <w:sz w:val="24"/>
      <w:szCs w:val="24"/>
      <w:lang w:val="sl-SI" w:bidi="ar-SA"/>
    </w:rPr>
  </w:style>
  <w:style w:type="character" w:customStyle="1" w:styleId="SNDateCar">
    <w:name w:val="SNDate Car"/>
    <w:basedOn w:val="DefaultParagraphFont"/>
    <w:qFormat/>
    <w:rPr>
      <w:sz w:val="24"/>
      <w:szCs w:val="24"/>
      <w:lang w:val="sl-SI" w:eastAsia="fr-FR" w:bidi="ar-SA"/>
    </w:rPr>
  </w:style>
  <w:style w:type="character" w:customStyle="1" w:styleId="SNArticleCar">
    <w:name w:val="SNArticle Car"/>
    <w:basedOn w:val="DefaultParagraphFont"/>
    <w:qFormat/>
    <w:rPr>
      <w:b/>
      <w:sz w:val="24"/>
      <w:szCs w:val="24"/>
      <w:lang w:val="sl-SI" w:eastAsia="fr-FR" w:bidi="ar-SA"/>
    </w:rPr>
  </w:style>
  <w:style w:type="character" w:customStyle="1" w:styleId="SNenProjet">
    <w:name w:val="SNenProjet"/>
    <w:basedOn w:val="DefaultParagraphFont"/>
    <w:qFormat/>
  </w:style>
  <w:style w:type="character" w:styleId="CommentReference">
    <w:name w:val="annotation reference"/>
    <w:basedOn w:val="DefaultParagraphFont"/>
    <w:uiPriority w:val="99"/>
    <w:semiHidden/>
    <w:unhideWhenUsed/>
    <w:qFormat/>
    <w:rPr>
      <w:sz w:val="16"/>
      <w:szCs w:val="16"/>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BodyTextChar">
    <w:name w:val="Body Text Char"/>
    <w:basedOn w:val="DefaultParagraphFont"/>
    <w:link w:val="BodyText"/>
    <w:semiHidden/>
    <w:qFormat/>
    <w:rPr>
      <w:sz w:val="24"/>
      <w:szCs w:val="24"/>
    </w:rPr>
  </w:style>
  <w:style w:type="character" w:customStyle="1" w:styleId="LienInternet">
    <w:name w:val="Lien Internet"/>
    <w:basedOn w:val="DefaultParagraphFont"/>
    <w:uiPriority w:val="99"/>
    <w:unhideWhenUsed/>
    <w:rPr>
      <w:color w:val="0563C1"/>
      <w:u w:val="single"/>
    </w:rPr>
  </w:style>
  <w:style w:type="paragraph" w:styleId="Title">
    <w:name w:val="Title"/>
    <w:basedOn w:val="Normal"/>
    <w:next w:val="BodyText"/>
    <w:link w:val="TitleChar"/>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semiHidden/>
    <w:pPr>
      <w:spacing w:after="120"/>
      <w:jc w:val="both"/>
    </w:pPr>
  </w:style>
  <w:style w:type="paragraph" w:styleId="List">
    <w:name w:val="List"/>
    <w:basedOn w:val="BodyText"/>
    <w:rPr>
      <w:rFonts w:cs="Lucida Sans"/>
    </w:rPr>
  </w:style>
  <w:style w:type="paragraph" w:styleId="Caption">
    <w:name w:val="caption"/>
    <w:basedOn w:val="Normal"/>
    <w:qFormat/>
    <w:pPr>
      <w:spacing w:before="120" w:after="120"/>
    </w:pPr>
    <w:rPr>
      <w:rFonts w:cs="Lucida Sans"/>
      <w:i/>
      <w:iCs/>
    </w:rPr>
  </w:style>
  <w:style w:type="paragraph" w:customStyle="1" w:styleId="Index">
    <w:name w:val="Index"/>
    <w:basedOn w:val="Normal"/>
    <w:qFormat/>
    <w:rPr>
      <w:rFonts w:cs="Lucida Sans"/>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next w:val="SNtitre"/>
    <w:qFormat/>
    <w:pPr>
      <w:widowControl w:val="0"/>
      <w:spacing w:before="720" w:after="120"/>
      <w:jc w:val="center"/>
    </w:pPr>
    <w:rPr>
      <w:rFonts w:eastAsia="Lucida Sans Unicode"/>
      <w:b/>
      <w:bCs/>
    </w:rPr>
  </w:style>
  <w:style w:type="paragraph" w:customStyle="1" w:styleId="SNtitre">
    <w:name w:val="SNtitre"/>
    <w:basedOn w:val="Normal"/>
    <w:next w:val="SNNORCentr"/>
    <w:qFormat/>
    <w:pPr>
      <w:widowControl w:val="0"/>
      <w:spacing w:after="360"/>
      <w:jc w:val="center"/>
    </w:pPr>
    <w:rPr>
      <w:rFonts w:eastAsia="Lucida Sans Unicode"/>
      <w:b/>
    </w:rPr>
  </w:style>
  <w:style w:type="paragraph" w:customStyle="1" w:styleId="SNNORCentr">
    <w:name w:val="SNNOR+Centré"/>
    <w:next w:val="SNAutorit"/>
    <w:qFormat/>
    <w:pPr>
      <w:spacing w:after="200"/>
      <w:jc w:val="center"/>
    </w:pPr>
    <w:rPr>
      <w:bCs/>
      <w:sz w:val="24"/>
    </w:rPr>
  </w:style>
  <w:style w:type="paragraph" w:customStyle="1" w:styleId="SNAutorit">
    <w:name w:val="SNAutorité"/>
    <w:basedOn w:val="Normal"/>
    <w:qFormat/>
    <w:pPr>
      <w:spacing w:before="720" w:after="240"/>
      <w:ind w:firstLine="720"/>
    </w:pPr>
    <w:rPr>
      <w:b/>
    </w:rPr>
  </w:style>
  <w:style w:type="paragraph" w:customStyle="1" w:styleId="SNSignatureprnomnomDroite">
    <w:name w:val="SNSignature prénom+nom Droite"/>
    <w:basedOn w:val="SNSignatureDroite"/>
    <w:next w:val="SNSignatureGauche"/>
    <w:qFormat/>
    <w:pPr>
      <w:spacing w:before="0" w:after="120"/>
      <w:ind w:left="5041"/>
    </w:pPr>
  </w:style>
  <w:style w:type="paragraph" w:customStyle="1" w:styleId="SNSignatureDroite">
    <w:name w:val="SNSignatureDroite"/>
    <w:basedOn w:val="Normal"/>
    <w:next w:val="SNSignatureprnomnomDroite"/>
    <w:qFormat/>
    <w:pPr>
      <w:spacing w:before="120" w:after="1680"/>
      <w:ind w:left="5040"/>
      <w:jc w:val="right"/>
    </w:pPr>
    <w:rPr>
      <w:color w:val="000000"/>
    </w:r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next w:val="SNContreseing"/>
    <w:qFormat/>
    <w:pPr>
      <w:spacing w:before="480" w:after="2760"/>
      <w:ind w:firstLine="720"/>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next w:val="BodyText"/>
    <w:qFormat/>
    <w:pPr>
      <w:spacing w:before="240" w:after="24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BalloonText">
    <w:name w:val="Balloon Text"/>
    <w:basedOn w:val="Normal"/>
    <w:semiHidden/>
    <w:qFormat/>
    <w:rPr>
      <w:rFonts w:ascii="Tahoma" w:hAnsi="Tahoma" w:cs="Tahoma"/>
      <w:sz w:val="16"/>
      <w:szCs w:val="16"/>
    </w:rPr>
  </w:style>
  <w:style w:type="paragraph" w:customStyle="1" w:styleId="Titre1objet">
    <w:name w:val="Titre 1 objet"/>
    <w:basedOn w:val="Heading1"/>
    <w:qFormat/>
    <w:pPr>
      <w:spacing w:before="0" w:after="120"/>
    </w:pPr>
    <w:rPr>
      <w:b/>
    </w:rPr>
  </w:style>
  <w:style w:type="paragraph" w:customStyle="1" w:styleId="Titre2objet">
    <w:name w:val="Titre 2 objet"/>
    <w:basedOn w:val="Heading2"/>
    <w:next w:val="Normal"/>
    <w:qFormat/>
    <w:pPr>
      <w:spacing w:before="0" w:after="120"/>
    </w:pPr>
    <w:rPr>
      <w:b/>
    </w:rPr>
  </w:style>
  <w:style w:type="paragraph" w:customStyle="1" w:styleId="titre3objet">
    <w:name w:val="titre 3 objet"/>
    <w:basedOn w:val="Heading3"/>
    <w:next w:val="Normal"/>
    <w:qFormat/>
    <w:pPr>
      <w:spacing w:before="0" w:after="120"/>
    </w:pPr>
    <w:rPr>
      <w:b/>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ListParagraph">
    <w:name w:val="List Paragraph"/>
    <w:basedOn w:val="Normal"/>
    <w:uiPriority w:val="34"/>
    <w:qFormat/>
    <w:pPr>
      <w:ind w:left="720"/>
    </w:pPr>
    <w:rPr>
      <w:rFonts w:eastAsia="Calibri"/>
      <w:color w:val="000000"/>
    </w:rPr>
  </w:style>
  <w:style w:type="paragraph" w:customStyle="1" w:styleId="western">
    <w:name w:val="western"/>
    <w:basedOn w:val="Normal"/>
    <w:qFormat/>
    <w:pPr>
      <w:spacing w:beforeAutospacing="1" w:after="119"/>
      <w:jc w:val="both"/>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2595</Words>
  <Characters>14795</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REPUBLIQUE FRANCAISE</vt:lpstr>
    </vt:vector>
  </TitlesOfParts>
  <Company>SPM</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Camille Massy</dc:creator>
  <dc:description/>
  <cp:lastModifiedBy>Dimitris Dimitriadis</cp:lastModifiedBy>
  <cp:revision>5</cp:revision>
  <dcterms:created xsi:type="dcterms:W3CDTF">2022-11-08T16:03:00Z</dcterms:created>
  <dcterms:modified xsi:type="dcterms:W3CDTF">2022-11-23T08:30:00Z</dcterms:modified>
  <dc:language>fr-FR</dc:language>
</cp:coreProperties>
</file>