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EA3" w:rsidRPr="00D04EA3" w:rsidRDefault="00D04EA3" w:rsidP="00066D66">
      <w:pPr>
        <w:pStyle w:val="HeadingRunIn"/>
        <w:keepNext w:val="0"/>
        <w:widowControl w:val="0"/>
        <w:suppressAutoHyphens/>
        <w:spacing w:before="0" w:line="320" w:lineRule="atLeast"/>
        <w:rPr>
          <w:rFonts w:ascii="Times" w:hAnsi="Times" w:cs="Times"/>
          <w:b w:val="0"/>
          <w:w w:val="100"/>
        </w:rPr>
      </w:pPr>
      <w:r>
        <w:rPr>
          <w:rFonts w:ascii="Courier New" w:hAnsi="Courier New"/>
          <w:b w:val="0"/>
          <w:sz w:val="20"/>
        </w:rPr>
        <w:t>1. --</w:t>
      </w:r>
      <w:r w:rsidR="00C126D8">
        <w:rPr>
          <w:rFonts w:ascii="Courier New" w:hAnsi="Courier New"/>
          <w:b w:val="0"/>
          <w:sz w:val="20"/>
        </w:rPr>
        <w:t>-</w:t>
      </w:r>
      <w:bookmarkStart w:id="0" w:name="_GoBack"/>
      <w:bookmarkEnd w:id="0"/>
      <w:r>
        <w:rPr>
          <w:rFonts w:ascii="Courier New" w:hAnsi="Courier New"/>
          <w:b w:val="0"/>
          <w:sz w:val="20"/>
        </w:rPr>
        <w:t>---IND- 2020 0314 S-- SL- ------ 20201130</w:t>
      </w:r>
      <w:r>
        <w:rPr>
          <w:rFonts w:ascii="Calibri" w:hAnsi="Calibri"/>
          <w:b w:val="0"/>
          <w:sz w:val="20"/>
        </w:rPr>
        <w:t xml:space="preserve"> </w:t>
      </w:r>
      <w:r>
        <w:rPr>
          <w:rFonts w:ascii="Courier New" w:hAnsi="Courier New"/>
          <w:b w:val="0"/>
          <w:sz w:val="20"/>
        </w:rPr>
        <w:t>--- --- FINAL</w:t>
      </w:r>
    </w:p>
    <w:p w:rsidR="00066D66" w:rsidRDefault="00066D66" w:rsidP="00066D66">
      <w:pPr>
        <w:pStyle w:val="HeadingRunIn"/>
        <w:keepNext w:val="0"/>
        <w:widowControl w:val="0"/>
        <w:suppressAutoHyphens/>
        <w:spacing w:before="0" w:line="320" w:lineRule="atLeast"/>
        <w:rPr>
          <w:rFonts w:ascii="Times" w:hAnsi="Times" w:cs="Times"/>
          <w:w w:val="100"/>
        </w:rPr>
      </w:pPr>
      <w:r>
        <w:rPr>
          <w:rFonts w:ascii="Times" w:hAnsi="Times"/>
        </w:rPr>
        <w:t>SIFS 2020:2</w:t>
      </w:r>
    </w:p>
    <w:p w:rsidR="00066D66" w:rsidRDefault="00066D66" w:rsidP="00066D66">
      <w:pPr>
        <w:pStyle w:val="HeadingRunIn"/>
        <w:keepNext w:val="0"/>
        <w:widowControl w:val="0"/>
        <w:suppressAutoHyphens/>
        <w:spacing w:before="0" w:line="200" w:lineRule="atLeast"/>
        <w:rPr>
          <w:rFonts w:ascii="Times" w:hAnsi="Times" w:cs="Times"/>
          <w:b w:val="0"/>
          <w:bCs w:val="0"/>
          <w:w w:val="100"/>
          <w:sz w:val="17"/>
          <w:szCs w:val="17"/>
        </w:rPr>
      </w:pPr>
      <w:r>
        <w:rPr>
          <w:rFonts w:ascii="Times" w:hAnsi="Times"/>
          <w:b w:val="0"/>
          <w:sz w:val="17"/>
        </w:rPr>
        <w:t>Objavljeno</w:t>
      </w:r>
      <w:r>
        <w:rPr>
          <w:rFonts w:ascii="Times" w:hAnsi="Times"/>
          <w:b w:val="0"/>
          <w:sz w:val="17"/>
        </w:rPr>
        <w:br/>
        <w:t>1. oktobra 2020</w:t>
      </w:r>
    </w:p>
    <w:p w:rsidR="00D97284" w:rsidRDefault="00D97284"/>
    <w:p w:rsidR="00066D66" w:rsidRDefault="00066D66" w:rsidP="00066D66">
      <w:pPr>
        <w:pStyle w:val="HeadingRunIn"/>
        <w:keepNext w:val="0"/>
        <w:widowControl w:val="0"/>
        <w:suppressAutoHyphens/>
        <w:spacing w:before="0" w:line="240" w:lineRule="atLeast"/>
        <w:ind w:right="240"/>
        <w:rPr>
          <w:rFonts w:ascii="Times" w:hAnsi="Times" w:cs="Times"/>
          <w:w w:val="100"/>
          <w:sz w:val="26"/>
          <w:szCs w:val="26"/>
        </w:rPr>
      </w:pPr>
      <w:r>
        <w:rPr>
          <w:rFonts w:ascii="Times" w:hAnsi="Times"/>
          <w:sz w:val="26"/>
        </w:rPr>
        <w:t>Predpisi in splošni nasveti Švedskega urada za igre na srečo o omejitvah in prepovedi določenih vrst stav za preprečevanje manipuliranja športnih tekmovanj (vključno z dogovarjanjem o izidih tekem) in sporočanju domnevnega manipuliranja;</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sprejeti 14. septembra 2020.</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V skladu s prvim odstavkom oddelka 6 poglavja 16 in točko 2 oddelka 11 Odloka o igrah na srečo (2018:1475) Švedski urad za igre na srečo določa</w:t>
      </w:r>
      <w:r>
        <w:rPr>
          <w:rFonts w:ascii="Times" w:hAnsi="Times" w:cs="Times"/>
          <w:b w:val="0"/>
          <w:bCs w:val="0"/>
          <w:w w:val="100"/>
          <w:sz w:val="19"/>
          <w:szCs w:val="19"/>
          <w:vertAlign w:val="superscript"/>
          <w:lang w:val="sv-SE"/>
        </w:rPr>
        <w:footnoteReference w:id="1"/>
      </w:r>
      <w:r>
        <w:rPr>
          <w:rFonts w:ascii="Times" w:hAnsi="Times"/>
          <w:b w:val="0"/>
          <w:sz w:val="19"/>
        </w:rPr>
        <w:t xml:space="preserve"> naslednje in sprejema naslednje splošne nasvete.</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Poglavje 1 Področje uporabe in terminologija</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Oddelek 1</w:t>
      </w:r>
      <w:r>
        <w:rPr>
          <w:rFonts w:ascii="Times" w:hAnsi="Times"/>
          <w:b w:val="0"/>
          <w:sz w:val="19"/>
        </w:rPr>
        <w:t> Ti predpisi in splošni nasveti vsebujejo dopolnilne določbe k Zakonu o igrah na srečo (2018:1138) in Odloku o igrah na srečo (2018:1475). Predpisi se uporabljajo za stave na športe, ki se igrajo na Švedskem, za subjekte, ki imajo dovoljenje za organiziranje stav v skladu s poglavjem 8 Zakona o igrah na srečo.</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Oddelek 2</w:t>
      </w:r>
      <w:r>
        <w:rPr>
          <w:rFonts w:ascii="Times" w:hAnsi="Times"/>
          <w:b w:val="0"/>
          <w:sz w:val="19"/>
        </w:rPr>
        <w:t> Terminologija in nazivi, uporabljeni v teh predpisih, imajo enak pomen kot v Zakonu o igrah na srečo (2018:1138) in Odloku o igrah na srečo (2018:1475).</w:t>
      </w:r>
    </w:p>
    <w:p w:rsidR="00066D66" w:rsidRDefault="00066D66" w:rsidP="00066D66">
      <w:pPr>
        <w:pStyle w:val="HeadingRunIn"/>
        <w:keepNext w:val="0"/>
        <w:tabs>
          <w:tab w:val="left" w:pos="3060"/>
        </w:tabs>
        <w:spacing w:before="0" w:line="220" w:lineRule="atLeast"/>
        <w:ind w:firstLine="180"/>
        <w:jc w:val="both"/>
        <w:rPr>
          <w:rFonts w:ascii="Times" w:hAnsi="Times" w:cs="Times"/>
          <w:b w:val="0"/>
          <w:bCs w:val="0"/>
          <w:w w:val="100"/>
          <w:sz w:val="19"/>
          <w:szCs w:val="19"/>
        </w:rPr>
      </w:pPr>
      <w:r>
        <w:rPr>
          <w:rFonts w:ascii="Times" w:hAnsi="Times"/>
          <w:b w:val="0"/>
          <w:sz w:val="19"/>
        </w:rPr>
        <w:t>V teh predpisih in splošnih nasvetih šport pomeni sodelovanje posameznikov ali ekip na tekmovanju, ki je pogosto povezano s fizično aktivnostjo, in zahteva posedovanje veščin, rezultat pa je odvisen od veščin in sreče, pri čemer se veščine posameznikov razlikujejo in v veliki meri vplivajo na uspešnost ter so pogosto tekmovalne, npr., bandy, košarka, e-športi, nogomet, konjeniški dogodki, golf, hokej na ledu, avtomoto športi, smučanje, streljanje ali tenis.</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Poglavje 2 Prepoved stav na določene kazni in nastope mladoletnih oseb</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Oddelek 1</w:t>
      </w:r>
      <w:r>
        <w:rPr>
          <w:rFonts w:ascii="Times" w:hAnsi="Times"/>
          <w:b w:val="0"/>
          <w:sz w:val="19"/>
        </w:rPr>
        <w:t xml:space="preserve"> Stav na kazni za kršitve pravil v zvezi s tekmo, dirko ali turnirjem ni dovoljeno ponujati.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lastRenderedPageBreak/>
        <w:t>Splošni nasvet:</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kazni vključujejo rdeče ali rumene kartone, proste mete, proste strele, enajstmetrovke, izključitve, opozorila, diskvalifikacije itd.</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Oddelek 2</w:t>
      </w:r>
      <w:r>
        <w:rPr>
          <w:rFonts w:ascii="Times" w:hAnsi="Times"/>
          <w:b w:val="0"/>
          <w:sz w:val="19"/>
        </w:rPr>
        <w:t xml:space="preserve"> Stav na posamezni nastop udeleženca, ki je v času ponujanja stave mlajši od 18 let, na tekmi, dirki ali turnirju, ni dovoljeno ponujati.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Poglavje 3 Posebnosti glede omejitev in prepovedi v nogometnih stavah</w:t>
      </w:r>
    </w:p>
    <w:p w:rsidR="00066D66" w:rsidRDefault="00066D66" w:rsidP="008742B9">
      <w:pPr>
        <w:pStyle w:val="HeadingRunIn"/>
        <w:spacing w:before="100" w:line="220" w:lineRule="atLeast"/>
        <w:jc w:val="both"/>
        <w:rPr>
          <w:rFonts w:ascii="Times" w:hAnsi="Times" w:cs="Times"/>
          <w:b w:val="0"/>
          <w:bCs w:val="0"/>
          <w:w w:val="100"/>
          <w:sz w:val="19"/>
          <w:szCs w:val="19"/>
        </w:rPr>
      </w:pPr>
      <w:r>
        <w:rPr>
          <w:rFonts w:ascii="Times" w:hAnsi="Times"/>
          <w:sz w:val="19"/>
        </w:rPr>
        <w:t>Oddelek 1</w:t>
      </w:r>
      <w:r>
        <w:rPr>
          <w:rFonts w:ascii="Times" w:hAnsi="Times"/>
          <w:b w:val="0"/>
          <w:sz w:val="19"/>
        </w:rPr>
        <w:t xml:space="preserve"> Nogometne stave se z omejitvami, navedenimi v poglavjih 1 in 2, lahko ponujajo samo: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v štirih najvišjih ligah švedskega ligaškega sistema,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na tekmah med ekipami na mednarodni klubski ravni, kjer so vse ekipe del ene od štirih najvišjih ligaških ravni v zadevnih državah,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na tekmah švedskega pokala, kjer so ekipe del ene od štirih najvišjih ligaških ravni švedskega ligaškega sistema, in</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na tekmah, v katerih sodelujejo nacionalne ekipe U21 do nacionalnih ekip A.</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Stav na vadbene ali prijateljske tekme ni dovoljeno ponujati, razen v primerih tekem, v katerih sodelujejo nacionalne ekipe U21 do nacionalnih ekip A.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Splošni nasvet:</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 xml:space="preserve">na primer, tekme med ekipami na mednarodni klubski ravni so lahko tekme evropskih pokalov, ki se igrajo na Švedskem.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Poglavje 4 Sporočanje zabeleženega domnevnega manipuliranja športnih tekmovanj, ki so predmet stav</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Oddelek 1</w:t>
      </w:r>
      <w:r>
        <w:rPr>
          <w:rFonts w:ascii="Times" w:hAnsi="Times"/>
          <w:b w:val="0"/>
          <w:sz w:val="19"/>
        </w:rPr>
        <w:t> Imetniki dovoljenj v skladu s tretjim odstavkom oddelka 1 poglavja 8 Predpisov in splošnih nasvetov Švedskega urada za igre na srečo (LIFS 2018:8) o tehničnih zahtevah in akreditaciji organov za preverjanje, preskušanje in certificiranje dejavnosti iger na srečo najpozneje do 31. marca vsakega leta Švedskemu uradu za igre na srečo sporočijo zabeleženo domnevno manipuliranje športnih tekmovanj, ki so predmet stav, v prejšnjem letu.</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Vsako zabeleženo domnevno manipuliranje tekmovanja vključuje datum domnevnega manipuliranja in njegov namen.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Splošni nasvet:</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sporočanje zabeleženega domnevnega manipuliranja zadeva le tekmo, dirko ali turnir. Osebni podatki glede domnevnega manipuliranja se, v največji možni meri, v poročilo ne vključijo. Imetniki dovoljenj podatke o sumljivem manipuliranju tekmovanj stalno zbirajo.</w:t>
      </w:r>
    </w:p>
    <w:p w:rsidR="00066D66" w:rsidRDefault="00066D66" w:rsidP="00066D66">
      <w:pPr>
        <w:pStyle w:val="HeadingRunIn"/>
        <w:keepNext w:val="0"/>
        <w:pBdr>
          <w:top w:val="single" w:sz="8" w:space="0" w:color="auto"/>
        </w:pBdr>
        <w:spacing w:before="0" w:line="220" w:lineRule="atLeast"/>
        <w:ind w:firstLine="180"/>
        <w:jc w:val="both"/>
        <w:rPr>
          <w:rFonts w:ascii="Times" w:hAnsi="Times" w:cs="Times"/>
          <w:b w:val="0"/>
          <w:bCs w:val="0"/>
          <w:w w:val="100"/>
          <w:sz w:val="19"/>
          <w:szCs w:val="19"/>
        </w:rPr>
      </w:pPr>
      <w:r>
        <w:rPr>
          <w:rFonts w:ascii="Times" w:hAnsi="Times"/>
          <w:b w:val="0"/>
          <w:sz w:val="19"/>
        </w:rPr>
        <w:t>Ti predpisi in splošni nasveti začnejo veljati 1. januarja 2021.</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V imenu Švedskega urada za igre na srečo</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CAMILLA ROSENBERG</w:t>
      </w:r>
    </w:p>
    <w:p w:rsidR="00066D66" w:rsidRDefault="00066D66" w:rsidP="008742B9">
      <w:pPr>
        <w:pStyle w:val="HeadingRunIn"/>
        <w:keepNext w:val="0"/>
        <w:tabs>
          <w:tab w:val="left" w:pos="2940"/>
        </w:tabs>
        <w:spacing w:before="0" w:line="220" w:lineRule="atLeast"/>
        <w:jc w:val="center"/>
        <w:rPr>
          <w:rFonts w:ascii="Times" w:hAnsi="Times" w:cs="Times"/>
          <w:b w:val="0"/>
          <w:bCs w:val="0"/>
          <w:w w:val="100"/>
          <w:sz w:val="19"/>
          <w:szCs w:val="19"/>
        </w:rPr>
      </w:pPr>
      <w:r>
        <w:rPr>
          <w:rFonts w:ascii="Times" w:hAnsi="Times"/>
          <w:b w:val="0"/>
          <w:sz w:val="19"/>
        </w:rPr>
        <w:t>Johan Röhr</w:t>
      </w:r>
    </w:p>
    <w:sectPr w:rsidR="00066D66" w:rsidSect="00066D66">
      <w:headerReference w:type="default" r:id="rId9"/>
      <w:pgSz w:w="9356" w:h="13721"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FBE" w:rsidRDefault="00470FBE" w:rsidP="00066D66">
      <w:pPr>
        <w:spacing w:after="0" w:line="240" w:lineRule="auto"/>
      </w:pPr>
      <w:r>
        <w:separator/>
      </w:r>
    </w:p>
  </w:endnote>
  <w:endnote w:type="continuationSeparator" w:id="0">
    <w:p w:rsidR="00470FBE" w:rsidRDefault="00470FBE" w:rsidP="0006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FBE" w:rsidRDefault="00470FBE" w:rsidP="00066D66">
      <w:pPr>
        <w:spacing w:after="0" w:line="240" w:lineRule="auto"/>
      </w:pPr>
      <w:r>
        <w:separator/>
      </w:r>
    </w:p>
  </w:footnote>
  <w:footnote w:type="continuationSeparator" w:id="0">
    <w:p w:rsidR="00470FBE" w:rsidRDefault="00470FBE" w:rsidP="00066D66">
      <w:pPr>
        <w:spacing w:after="0" w:line="240" w:lineRule="auto"/>
      </w:pPr>
      <w:r>
        <w:continuationSeparator/>
      </w:r>
    </w:p>
  </w:footnote>
  <w:footnote w:id="1">
    <w:p w:rsidR="00066D66" w:rsidRPr="008742B9" w:rsidRDefault="00066D66" w:rsidP="00066D66">
      <w:pPr>
        <w:pStyle w:val="HeadingRunIn"/>
        <w:keepNext w:val="0"/>
        <w:widowControl w:val="0"/>
        <w:tabs>
          <w:tab w:val="left" w:pos="100"/>
        </w:tabs>
        <w:spacing w:before="0" w:line="160" w:lineRule="atLeast"/>
        <w:jc w:val="both"/>
        <w:rPr>
          <w:rFonts w:ascii="Times" w:hAnsi="Times" w:cs="Times"/>
          <w:b w:val="0"/>
          <w:bCs w:val="0"/>
          <w:sz w:val="17"/>
          <w:szCs w:val="17"/>
        </w:rPr>
      </w:pPr>
      <w:r>
        <w:rPr>
          <w:rFonts w:ascii="Times" w:hAnsi="Times" w:cs="Times"/>
          <w:b w:val="0"/>
          <w:bCs w:val="0"/>
          <w:sz w:val="17"/>
          <w:szCs w:val="17"/>
          <w:vertAlign w:val="superscript"/>
          <w:lang w:val="sv-SE"/>
        </w:rPr>
        <w:footnoteRef/>
      </w:r>
      <w:r>
        <w:rPr>
          <w:rFonts w:ascii="Times" w:hAnsi="Times"/>
          <w:b w:val="0"/>
          <w:sz w:val="17"/>
        </w:rPr>
        <w:t xml:space="preserve"> Glej Direktivo (EU) 2015/1535 Evropskega parlamenta in Sveta z dne 9. septembra 2015 o določitvi postopka za zbiranje informacij na področju tehničnih predpisov in pravil za storitve informacijske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D11" w:rsidRDefault="00470FBE">
    <w:pPr>
      <w:autoSpaceDE w:val="0"/>
      <w:autoSpaceDN w:val="0"/>
      <w:adjustRightInd w:val="0"/>
      <w:spacing w:after="0" w:line="240" w:lineRule="auto"/>
      <w:rPr>
        <w:rFonts w:ascii="Symbol" w:hAnsi="Symbo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1304"/>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D66"/>
    <w:rsid w:val="00066D66"/>
    <w:rsid w:val="002342A2"/>
    <w:rsid w:val="002B6792"/>
    <w:rsid w:val="00470FBE"/>
    <w:rsid w:val="008742B9"/>
    <w:rsid w:val="00C126D8"/>
    <w:rsid w:val="00CC2B55"/>
    <w:rsid w:val="00D04EA3"/>
    <w:rsid w:val="00D97284"/>
    <w:rsid w:val="00E32B38"/>
    <w:rsid w:val="00F8715B"/>
    <w:rsid w:val="00FA5A6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746"/>
  <w15:docId w15:val="{E706C9AF-C9E5-42D0-9B68-DAF7D671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RunIn">
    <w:name w:val="HeadingRunIn"/>
    <w:next w:val="Normal"/>
    <w:rsid w:val="00066D66"/>
    <w:pPr>
      <w:keepNext/>
      <w:autoSpaceDE w:val="0"/>
      <w:autoSpaceDN w:val="0"/>
      <w:adjustRightInd w:val="0"/>
      <w:spacing w:before="120" w:after="0" w:line="280" w:lineRule="atLeast"/>
    </w:pPr>
    <w:rPr>
      <w:rFonts w:ascii="Times New Roman" w:hAnsi="Times New Roman" w:cs="Times New Roman"/>
      <w:b/>
      <w:bCs/>
      <w:color w:val="000000"/>
      <w:w w:val="0"/>
      <w:sz w:val="24"/>
      <w:szCs w:val="24"/>
    </w:rPr>
  </w:style>
  <w:style w:type="paragraph" w:styleId="Header">
    <w:name w:val="header"/>
    <w:basedOn w:val="Normal"/>
    <w:link w:val="HeaderChar"/>
    <w:uiPriority w:val="99"/>
    <w:unhideWhenUsed/>
    <w:rsid w:val="00E32B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2B38"/>
  </w:style>
  <w:style w:type="paragraph" w:styleId="Footer">
    <w:name w:val="footer"/>
    <w:basedOn w:val="Normal"/>
    <w:link w:val="FooterChar"/>
    <w:uiPriority w:val="99"/>
    <w:unhideWhenUsed/>
    <w:rsid w:val="00E32B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BB8B8-7281-4125-9D08-F459F53451DA}">
  <ds:schemaRefs>
    <ds:schemaRef ds:uri="http://schemas.microsoft.com/sharepoint/v3/contenttype/forms"/>
  </ds:schemaRefs>
</ds:datastoreItem>
</file>

<file path=customXml/itemProps2.xml><?xml version="1.0" encoding="utf-8"?>
<ds:datastoreItem xmlns:ds="http://schemas.openxmlformats.org/officeDocument/2006/customXml" ds:itemID="{C2009100-FA1D-4B3E-A766-3F5A89490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42197A-D8AC-4B17-82B2-EE85EAECD7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3346</Characters>
  <Application>Microsoft Office Word</Application>
  <DocSecurity>0</DocSecurity>
  <Lines>27</Lines>
  <Paragraphs>7</Paragraphs>
  <ScaleCrop>false</ScaleCrop>
  <Company>Elanders</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Persson, Göran</dc:creator>
  <cp:keywords/>
  <dc:description/>
  <cp:lastModifiedBy>Ke, Tingting</cp:lastModifiedBy>
  <cp:revision>7</cp:revision>
  <dcterms:created xsi:type="dcterms:W3CDTF">2020-09-25T09:09:00Z</dcterms:created>
  <dcterms:modified xsi:type="dcterms:W3CDTF">2020-11-26T07:48:00Z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