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9292D" w14:textId="77777777" w:rsidR="00A2416E" w:rsidRDefault="00534832" w:rsidP="00470C80">
      <w:pPr>
        <w:spacing w:before="92" w:line="221" w:lineRule="auto"/>
        <w:ind w:left="403" w:right="2268"/>
        <w:rPr>
          <w:b/>
          <w:sz w:val="36"/>
        </w:rPr>
      </w:pPr>
      <w:bookmarkStart w:id="0" w:name="Inledande_bestämmelser_och_definitioner"/>
      <w:bookmarkEnd w:id="0"/>
      <w:r>
        <w:rPr>
          <w:b/>
          <w:sz w:val="36"/>
        </w:rPr>
        <w:t>Συλλογή νομοθεσίας της σουηδικής υπηρεσίας ενέργειας</w:t>
      </w:r>
    </w:p>
    <w:p w14:paraId="347D5EC4" w14:textId="77777777" w:rsidR="00A2416E" w:rsidRDefault="00440759" w:rsidP="00470C80">
      <w:pPr>
        <w:spacing w:before="148" w:line="262" w:lineRule="auto"/>
        <w:ind w:left="403" w:right="2948"/>
        <w:rPr>
          <w:sz w:val="16"/>
        </w:rPr>
      </w:pPr>
      <w:r>
        <w:pict w14:anchorId="18D320B1">
          <v:shape id="_x0000_s1028" style="position:absolute;left:0;text-align:left;margin-left:51pt;margin-top:29.9pt;width:380.35pt;height:.1pt;z-index:-251658240;mso-wrap-distance-left:0;mso-wrap-distance-right:0;mso-position-horizontal-relative:page" coordorigin="1020,598" coordsize="7607,0" path="m1020,598r7607,e" filled="f" strokeweight=".34994mm">
            <v:path arrowok="t"/>
            <w10:wrap type="topAndBottom" anchorx="page"/>
          </v:shape>
        </w:pict>
      </w:r>
      <w:r w:rsidR="00581354">
        <w:rPr>
          <w:sz w:val="16"/>
        </w:rPr>
        <w:t>Δημοσιεύθηκαν από: Rikard Janson (Επικεφαλής Νομικός Σύμβουλος) ISSN 1650-7703</w:t>
      </w:r>
    </w:p>
    <w:p w14:paraId="48A9609E" w14:textId="77777777" w:rsidR="00A2416E" w:rsidRDefault="00A2416E">
      <w:pPr>
        <w:pStyle w:val="Brdtext"/>
        <w:spacing w:before="1"/>
        <w:rPr>
          <w:sz w:val="13"/>
        </w:rPr>
      </w:pPr>
    </w:p>
    <w:p w14:paraId="24EC6EF5" w14:textId="77777777" w:rsidR="00A2416E" w:rsidRDefault="00A2416E">
      <w:pPr>
        <w:rPr>
          <w:sz w:val="13"/>
        </w:rPr>
        <w:sectPr w:rsidR="00A2416E">
          <w:type w:val="continuous"/>
          <w:pgSz w:w="9360" w:h="13720"/>
          <w:pgMar w:top="900" w:right="580" w:bottom="280" w:left="620" w:header="720" w:footer="720" w:gutter="0"/>
          <w:cols w:space="720"/>
        </w:sectPr>
      </w:pPr>
    </w:p>
    <w:p w14:paraId="1D697384" w14:textId="77777777" w:rsidR="00A2416E" w:rsidRDefault="00534832">
      <w:pPr>
        <w:pStyle w:val="Rubrik1"/>
        <w:spacing w:before="103" w:line="225" w:lineRule="auto"/>
        <w:ind w:left="400"/>
      </w:pPr>
      <w:r>
        <w:t>Κανονισμοί για την τροποποίηση των κανονισμών της σουηδικής υπηρεσίας ενέργειας (STEMFS 2017:3) για την υποβολή εκθέσεων και τον υπολογισμό σύμφωνα με τον νόμο για τα καύσιμα;</w:t>
      </w:r>
    </w:p>
    <w:p w14:paraId="71813F81" w14:textId="77777777" w:rsidR="00A2416E" w:rsidRDefault="00534832">
      <w:pPr>
        <w:pStyle w:val="Brdtext"/>
        <w:spacing w:before="188"/>
        <w:ind w:left="400"/>
        <w:jc w:val="both"/>
      </w:pPr>
      <w:r>
        <w:t>εγκρίθηκαν την 20ή Ιανουαρίου 2021.</w:t>
      </w:r>
    </w:p>
    <w:p w14:paraId="066E2CAE" w14:textId="77777777" w:rsidR="00A2416E" w:rsidRDefault="00A2416E">
      <w:pPr>
        <w:pStyle w:val="Brdtext"/>
        <w:spacing w:before="6"/>
        <w:rPr>
          <w:sz w:val="17"/>
        </w:rPr>
      </w:pPr>
    </w:p>
    <w:p w14:paraId="4BB4C994" w14:textId="77777777" w:rsidR="00A2416E" w:rsidRDefault="00534832">
      <w:pPr>
        <w:pStyle w:val="Brdtext"/>
        <w:spacing w:line="273" w:lineRule="auto"/>
        <w:ind w:left="400"/>
        <w:jc w:val="both"/>
      </w:pPr>
      <w:r>
        <w:t>Δυνάμει του άρθρου 13 του διατάγματος για τα καύσιμα (2011:346), η σουηδική υπηρεσία ενέργειας ορίζει</w:t>
      </w:r>
      <w:r>
        <w:rPr>
          <w:sz w:val="11"/>
        </w:rPr>
        <w:t xml:space="preserve">1 </w:t>
      </w:r>
      <w:r>
        <w:t>ότι οι κανονισμοί της υπηρεσίας για την υποβολή εκθέσεων και τον υπολογισμό σύμφωνα με τον νόμο για τα καύσιμα, τροποποιούνται και διατυπώνονται ως εξής:</w:t>
      </w:r>
    </w:p>
    <w:p w14:paraId="0D1B6701" w14:textId="776520A3" w:rsidR="00A2416E" w:rsidRPr="00470C80" w:rsidRDefault="00534832" w:rsidP="00CD432E">
      <w:pPr>
        <w:pStyle w:val="Brdtext"/>
        <w:spacing w:line="398" w:lineRule="auto"/>
        <w:ind w:left="403" w:right="1678"/>
        <w:jc w:val="both"/>
      </w:pPr>
      <w:r>
        <w:t>εισάγεται ένα νέο άρθρο – άρθρο 12α – και έξι άρθρα – άρθρα 2, 4-7, 12, 13 και 16 – τροποποιούνται και διατυπώνονται ως εξής.</w:t>
      </w:r>
    </w:p>
    <w:p w14:paraId="6F4B5BC4" w14:textId="77777777" w:rsidR="00A2416E" w:rsidRDefault="00534832">
      <w:pPr>
        <w:pStyle w:val="Rubrik2"/>
        <w:spacing w:before="0"/>
        <w:ind w:left="400"/>
        <w:jc w:val="both"/>
      </w:pPr>
      <w:r>
        <w:t>Προκαταρκτικές διατάξεις και ορισμοί</w:t>
      </w:r>
    </w:p>
    <w:p w14:paraId="390C5634" w14:textId="77777777" w:rsidR="00A2416E" w:rsidRDefault="00534832">
      <w:pPr>
        <w:pStyle w:val="Brdtext"/>
        <w:spacing w:before="140" w:line="273" w:lineRule="auto"/>
        <w:ind w:left="400"/>
        <w:jc w:val="both"/>
      </w:pPr>
      <w:r>
        <w:rPr>
          <w:b/>
        </w:rPr>
        <w:t xml:space="preserve">Άρθρο 2 </w:t>
      </w:r>
      <w:r>
        <w:t>Οι όροι και οι εκφράσεις στους παρόντες κανονισμούς χρησιμοποιούνται με τον ίδιο τρόπο που χρησιμοποιούνται στον νόμο για τα καύσιμα (2011:319) και στο διάταγμα για τα καύσιμα (2011:346). Οι παρακάτω όροι χρησιμοποιούνται με τον τρόπο που ορίζεται στο παρόν:</w:t>
      </w:r>
    </w:p>
    <w:p w14:paraId="2953E73A" w14:textId="77777777" w:rsidR="00A2416E" w:rsidRDefault="00534832">
      <w:pPr>
        <w:spacing w:before="3" w:line="364" w:lineRule="exact"/>
        <w:ind w:left="400" w:right="-11"/>
        <w:rPr>
          <w:sz w:val="19"/>
        </w:rPr>
      </w:pPr>
      <w:r>
        <w:rPr>
          <w:i/>
          <w:sz w:val="19"/>
        </w:rPr>
        <w:t>βιοσυστατικό</w:t>
      </w:r>
      <w:r>
        <w:rPr>
          <w:sz w:val="19"/>
        </w:rPr>
        <w:t xml:space="preserve">: συστατικό καυσίμου που παράγεται από βιομάζα, </w:t>
      </w:r>
      <w:r>
        <w:rPr>
          <w:i/>
          <w:sz w:val="19"/>
        </w:rPr>
        <w:t>ορυκτό συστατικό</w:t>
      </w:r>
      <w:r>
        <w:rPr>
          <w:sz w:val="19"/>
        </w:rPr>
        <w:t xml:space="preserve">: συστατικό καυσίμου ορυκτής προέλευσης, </w:t>
      </w:r>
      <w:r>
        <w:rPr>
          <w:i/>
          <w:sz w:val="19"/>
        </w:rPr>
        <w:t>τύπος καυσίμου</w:t>
      </w:r>
      <w:r>
        <w:rPr>
          <w:sz w:val="19"/>
        </w:rPr>
        <w:t>: καύσιμο που πληροί συγκεκριμένη ταξινόμηση σύμφωνα με</w:t>
      </w:r>
    </w:p>
    <w:p w14:paraId="12DA69D9" w14:textId="77777777" w:rsidR="00A2416E" w:rsidRDefault="00534832">
      <w:pPr>
        <w:pStyle w:val="Brdtext"/>
        <w:spacing w:line="273" w:lineRule="auto"/>
        <w:ind w:left="400"/>
        <w:jc w:val="both"/>
      </w:pPr>
      <w:r>
        <w:t>τα άρθρα 3–15 του νόμου για τα καύσιμα (2011:319) ή το οποίο πληροί ορισμένα εθνικά ή διεθνή πρότυπα για τα καύσιμα, οποιαδήποτε άλλα καύσιμα που δεν πληρούν ταξινομήσεις ή πρότυπα και η ηλεκτρική ενέργεια που χρησιμοποιείται ως καύσιμο,</w:t>
      </w:r>
    </w:p>
    <w:p w14:paraId="601B7223" w14:textId="77777777" w:rsidR="00A2416E" w:rsidRDefault="00534832">
      <w:pPr>
        <w:pStyle w:val="Brdtext"/>
        <w:spacing w:before="114" w:line="273" w:lineRule="auto"/>
        <w:ind w:left="400"/>
        <w:jc w:val="both"/>
      </w:pPr>
      <w:r>
        <w:rPr>
          <w:i/>
        </w:rPr>
        <w:t>προϊόν</w:t>
      </w:r>
      <w:r>
        <w:t>: προϊόν που διατίθεται στην αγορά του αντίστοιχου τύπου καυσίμου. Σε περιπτώσεις που ο προμηθευτής διαθέτει στην αγορά διάφορα προϊόντα καυσίμων που πληρούν την ίδια προδιαγραφή ή πρότυπο, τα διάφορα προϊόντα πρέπει να αναφέρονται ξεχωριστά με τις αντίστοιχες ονομασίες προϊόντων,</w:t>
      </w:r>
    </w:p>
    <w:p w14:paraId="17F68D6C" w14:textId="77777777" w:rsidR="00A2416E" w:rsidRDefault="00534832">
      <w:pPr>
        <w:pStyle w:val="Brdtext"/>
        <w:spacing w:before="118" w:line="273" w:lineRule="auto"/>
        <w:ind w:left="400"/>
        <w:jc w:val="both"/>
      </w:pPr>
      <w:r>
        <w:rPr>
          <w:i/>
        </w:rPr>
        <w:t xml:space="preserve">μείωση των εκπομπών κατά το πρώτο στάδιο: </w:t>
      </w:r>
      <w:r>
        <w:t>μέτρο για τη μείωση των εκπομπών αερίων του θερμοκηπίου που πραγματοποιείται προτού η πρώτη ύλη εισέλθει στο διυλιστήριο ή άλλη εγκατάσταση για την παραγωγή συστατικού ορυκτού καυσίμου.</w:t>
      </w:r>
    </w:p>
    <w:p w14:paraId="689C2081" w14:textId="77777777" w:rsidR="00A2416E" w:rsidRDefault="00534832">
      <w:pPr>
        <w:spacing w:before="107" w:line="225" w:lineRule="auto"/>
        <w:ind w:left="252" w:right="476"/>
        <w:rPr>
          <w:b/>
          <w:sz w:val="24"/>
        </w:rPr>
      </w:pPr>
      <w:r>
        <w:br w:type="column"/>
      </w:r>
      <w:r>
        <w:rPr>
          <w:b/>
          <w:sz w:val="24"/>
        </w:rPr>
        <w:t>STEMFS 2021:2</w:t>
      </w:r>
    </w:p>
    <w:p w14:paraId="054025C7" w14:textId="20DC4717" w:rsidR="00A2416E" w:rsidRDefault="00534832" w:rsidP="00470C80">
      <w:pPr>
        <w:spacing w:before="60" w:line="256" w:lineRule="auto"/>
        <w:ind w:left="252" w:right="101"/>
        <w:rPr>
          <w:sz w:val="17"/>
        </w:rPr>
        <w:sectPr w:rsidR="00A2416E">
          <w:type w:val="continuous"/>
          <w:pgSz w:w="9360" w:h="13720"/>
          <w:pgMar w:top="900" w:right="580" w:bottom="280" w:left="620" w:header="720" w:footer="720" w:gutter="0"/>
          <w:cols w:num="2" w:space="720" w:equalWidth="0">
            <w:col w:w="6411" w:space="40"/>
            <w:col w:w="1709"/>
          </w:cols>
        </w:sectPr>
      </w:pPr>
      <w:r>
        <w:rPr>
          <w:sz w:val="17"/>
        </w:rPr>
        <w:t>Δημοσιεύθηκε την 2α Φεβρουαρίου 2021</w:t>
      </w:r>
    </w:p>
    <w:p w14:paraId="6C53A6E7" w14:textId="77777777" w:rsidR="00A2416E" w:rsidRDefault="00A2416E">
      <w:pPr>
        <w:pStyle w:val="Brdtext"/>
        <w:spacing w:before="11"/>
        <w:rPr>
          <w:sz w:val="23"/>
        </w:rPr>
      </w:pPr>
    </w:p>
    <w:p w14:paraId="6036D87D" w14:textId="77777777" w:rsidR="00A2416E" w:rsidRDefault="00440759">
      <w:pPr>
        <w:pStyle w:val="Brdtext"/>
        <w:spacing w:line="20" w:lineRule="exact"/>
        <w:ind w:left="390"/>
        <w:rPr>
          <w:sz w:val="2"/>
        </w:rPr>
      </w:pPr>
      <w:r>
        <w:rPr>
          <w:sz w:val="2"/>
        </w:rPr>
      </w:r>
      <w:r>
        <w:rPr>
          <w:sz w:val="2"/>
        </w:rPr>
        <w:pict w14:anchorId="079D94F6">
          <v:group id="_x0000_s1026" style="width:1in;height:1pt;mso-position-horizontal-relative:char;mso-position-vertical-relative:line" coordsize="1440,20">
            <v:line id="_x0000_s1027" style="position:absolute" from="0,10" to="1440,10" strokeweight="1pt"/>
            <w10:anchorlock/>
          </v:group>
        </w:pict>
      </w:r>
    </w:p>
    <w:p w14:paraId="3F7164F9" w14:textId="106DD1F0" w:rsidR="00A2416E" w:rsidRPr="00CD432E" w:rsidRDefault="00534832" w:rsidP="00CD432E">
      <w:pPr>
        <w:spacing w:before="31"/>
        <w:ind w:left="400"/>
        <w:rPr>
          <w:sz w:val="17"/>
        </w:rPr>
      </w:pPr>
      <w:r>
        <w:rPr>
          <w:sz w:val="10"/>
        </w:rPr>
        <w:t xml:space="preserve">1 </w:t>
      </w:r>
      <w:r>
        <w:rPr>
          <w:sz w:val="17"/>
        </w:rPr>
        <w:t>Βλ. οδηγία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w:t>
      </w:r>
      <w:r>
        <w:rPr>
          <w:sz w:val="17"/>
        </w:rPr>
        <w:tab/>
      </w:r>
      <w:r w:rsidR="00CD432E">
        <w:rPr>
          <w:sz w:val="17"/>
          <w:lang w:val="sv-SE"/>
        </w:rPr>
        <w:t xml:space="preserve">                                                                </w:t>
      </w:r>
      <w:r>
        <w:rPr>
          <w:rFonts w:ascii="HelveticaNeueLT Std Cn" w:hAnsi="HelveticaNeueLT Std Cn"/>
          <w:sz w:val="20"/>
        </w:rPr>
        <w:t>1</w:t>
      </w:r>
    </w:p>
    <w:p w14:paraId="7C3B7287" w14:textId="77777777" w:rsidR="00A2416E" w:rsidRDefault="00A2416E">
      <w:pPr>
        <w:spacing w:line="222" w:lineRule="exact"/>
        <w:rPr>
          <w:rFonts w:ascii="HelveticaNeueLT Std Cn" w:hAnsi="HelveticaNeueLT Std Cn"/>
          <w:sz w:val="20"/>
        </w:rPr>
        <w:sectPr w:rsidR="00A2416E">
          <w:type w:val="continuous"/>
          <w:pgSz w:w="9360" w:h="13720"/>
          <w:pgMar w:top="900" w:right="580" w:bottom="280" w:left="620" w:header="720" w:footer="720" w:gutter="0"/>
          <w:cols w:space="720"/>
        </w:sectPr>
      </w:pPr>
    </w:p>
    <w:p w14:paraId="0FA5AF97" w14:textId="77777777" w:rsidR="00A2416E" w:rsidRDefault="00534832">
      <w:pPr>
        <w:pStyle w:val="Rubrik2"/>
        <w:spacing w:line="228" w:lineRule="auto"/>
        <w:ind w:right="19"/>
      </w:pPr>
      <w:bookmarkStart w:id="1" w:name="Rapportering"/>
      <w:bookmarkEnd w:id="1"/>
      <w:r>
        <w:lastRenderedPageBreak/>
        <w:t>STEMFS 2021:2</w:t>
      </w:r>
    </w:p>
    <w:p w14:paraId="624DE1C9" w14:textId="77777777" w:rsidR="00A2416E" w:rsidRDefault="00534832">
      <w:pPr>
        <w:spacing w:before="63"/>
        <w:ind w:left="117"/>
        <w:rPr>
          <w:b/>
          <w:sz w:val="21"/>
        </w:rPr>
      </w:pPr>
      <w:r>
        <w:br w:type="column"/>
      </w:r>
      <w:r>
        <w:rPr>
          <w:b/>
          <w:sz w:val="21"/>
        </w:rPr>
        <w:t>Υποβολή εκθέσεων</w:t>
      </w:r>
    </w:p>
    <w:p w14:paraId="60DBC31F" w14:textId="77777777" w:rsidR="00A2416E" w:rsidRDefault="00534832">
      <w:pPr>
        <w:pStyle w:val="Liststycke"/>
        <w:numPr>
          <w:ilvl w:val="0"/>
          <w:numId w:val="5"/>
        </w:numPr>
        <w:tabs>
          <w:tab w:val="left" w:pos="308"/>
        </w:tabs>
        <w:spacing w:before="141" w:line="273" w:lineRule="auto"/>
        <w:ind w:right="438" w:firstLine="0"/>
        <w:jc w:val="both"/>
        <w:rPr>
          <w:sz w:val="19"/>
        </w:rPr>
      </w:pPr>
      <w:r>
        <w:rPr>
          <w:b/>
          <w:sz w:val="19"/>
        </w:rPr>
        <w:t xml:space="preserve">Άρθρο </w:t>
      </w:r>
      <w:r>
        <w:rPr>
          <w:sz w:val="19"/>
        </w:rPr>
        <w:t>Η έκθεση εκπομπών περιλαμβάνει όλα τα προϊόντα καυσίμων που ο προμηθευτής καυσίμων έχει παραδώσει και για τα οποία κατέστη απαιτητός ο φόρος βάσει του κεφαλαίου 5 του νόμου περί φόρου ενέργειας (1994:1776) κατά τη διάρκεια του έτους στο οποίο αναφέρεται η έκθεση, αναφέροντας:</w:t>
      </w:r>
    </w:p>
    <w:p w14:paraId="69D953B3" w14:textId="77777777" w:rsidR="00A2416E" w:rsidRDefault="00534832">
      <w:pPr>
        <w:pStyle w:val="Liststycke"/>
        <w:numPr>
          <w:ilvl w:val="0"/>
          <w:numId w:val="4"/>
        </w:numPr>
        <w:tabs>
          <w:tab w:val="left" w:pos="316"/>
        </w:tabs>
        <w:spacing w:before="69"/>
        <w:rPr>
          <w:sz w:val="19"/>
        </w:rPr>
      </w:pPr>
      <w:r>
        <w:rPr>
          <w:sz w:val="19"/>
        </w:rPr>
        <w:t>την ποσότητα,</w:t>
      </w:r>
    </w:p>
    <w:p w14:paraId="516CF941" w14:textId="77777777" w:rsidR="00A2416E" w:rsidRDefault="00534832">
      <w:pPr>
        <w:pStyle w:val="Liststycke"/>
        <w:numPr>
          <w:ilvl w:val="0"/>
          <w:numId w:val="4"/>
        </w:numPr>
        <w:tabs>
          <w:tab w:val="left" w:pos="316"/>
        </w:tabs>
        <w:rPr>
          <w:sz w:val="19"/>
        </w:rPr>
      </w:pPr>
      <w:r>
        <w:rPr>
          <w:sz w:val="19"/>
        </w:rPr>
        <w:t>την κατώτερη θερμογόνο ικανότητα,</w:t>
      </w:r>
    </w:p>
    <w:p w14:paraId="5CA31CC9" w14:textId="77777777" w:rsidR="00A2416E" w:rsidRDefault="00534832">
      <w:pPr>
        <w:pStyle w:val="Liststycke"/>
        <w:numPr>
          <w:ilvl w:val="0"/>
          <w:numId w:val="4"/>
        </w:numPr>
        <w:tabs>
          <w:tab w:val="left" w:pos="316"/>
        </w:tabs>
        <w:rPr>
          <w:sz w:val="19"/>
        </w:rPr>
      </w:pPr>
      <w:r>
        <w:rPr>
          <w:sz w:val="19"/>
        </w:rPr>
        <w:t>την ενεργειακή πηγή της παρεχόμενης ηλεκτρικής ενέργειας σε περιπτώσεις όπου η ηλεκτρική ενέργεια έχει σήμανση προέλευσης.</w:t>
      </w:r>
    </w:p>
    <w:p w14:paraId="7894339E" w14:textId="77777777" w:rsidR="00A2416E" w:rsidRDefault="00A2416E">
      <w:pPr>
        <w:pStyle w:val="Brdtext"/>
        <w:spacing w:before="5"/>
        <w:rPr>
          <w:sz w:val="22"/>
        </w:rPr>
      </w:pPr>
    </w:p>
    <w:p w14:paraId="688D241D" w14:textId="77777777" w:rsidR="00A2416E" w:rsidRDefault="00534832">
      <w:pPr>
        <w:pStyle w:val="Liststycke"/>
        <w:numPr>
          <w:ilvl w:val="0"/>
          <w:numId w:val="5"/>
        </w:numPr>
        <w:tabs>
          <w:tab w:val="left" w:pos="277"/>
        </w:tabs>
        <w:spacing w:before="0" w:line="273" w:lineRule="auto"/>
        <w:ind w:right="438" w:firstLine="0"/>
        <w:rPr>
          <w:sz w:val="19"/>
        </w:rPr>
      </w:pPr>
      <w:r>
        <w:rPr>
          <w:b/>
          <w:sz w:val="19"/>
        </w:rPr>
        <w:t xml:space="preserve">Άρθρο </w:t>
      </w:r>
      <w:r>
        <w:rPr>
          <w:sz w:val="19"/>
        </w:rPr>
        <w:t> Η έκθεση εκπομπών περιλαμβάνει όλα τα ορυκτά συστατικά που περιλαμβάνονται στα προϊόντα καυσίμων που παρέχονται σύμφωνα με το άρθρο 4 αναφέροντας:</w:t>
      </w:r>
    </w:p>
    <w:p w14:paraId="09AF6626" w14:textId="77777777" w:rsidR="00A2416E" w:rsidRDefault="00534832">
      <w:pPr>
        <w:pStyle w:val="Liststycke"/>
        <w:numPr>
          <w:ilvl w:val="0"/>
          <w:numId w:val="3"/>
        </w:numPr>
        <w:tabs>
          <w:tab w:val="left" w:pos="316"/>
        </w:tabs>
        <w:spacing w:before="96"/>
        <w:rPr>
          <w:sz w:val="19"/>
        </w:rPr>
      </w:pPr>
      <w:r>
        <w:rPr>
          <w:sz w:val="19"/>
        </w:rPr>
        <w:t>τα προϊόντα στα οποία περιλαμβάνονται τα συστατικά,</w:t>
      </w:r>
    </w:p>
    <w:p w14:paraId="28EE6BB7" w14:textId="77777777" w:rsidR="00A2416E" w:rsidRDefault="00534832">
      <w:pPr>
        <w:pStyle w:val="Liststycke"/>
        <w:numPr>
          <w:ilvl w:val="0"/>
          <w:numId w:val="3"/>
        </w:numPr>
        <w:tabs>
          <w:tab w:val="left" w:pos="316"/>
        </w:tabs>
        <w:rPr>
          <w:sz w:val="19"/>
        </w:rPr>
      </w:pPr>
      <w:r>
        <w:rPr>
          <w:sz w:val="19"/>
        </w:rPr>
        <w:t>τους τύπους των ορυκτών συστατικών, κατανεμημένους ανά πηγή πρώτης ύλης και διεργασία σύμφωνα με το παράρτημα 1,</w:t>
      </w:r>
    </w:p>
    <w:p w14:paraId="5DA70FE3" w14:textId="77777777" w:rsidR="00A2416E" w:rsidRDefault="00534832">
      <w:pPr>
        <w:pStyle w:val="Liststycke"/>
        <w:numPr>
          <w:ilvl w:val="0"/>
          <w:numId w:val="3"/>
        </w:numPr>
        <w:tabs>
          <w:tab w:val="left" w:pos="316"/>
        </w:tabs>
        <w:rPr>
          <w:sz w:val="19"/>
        </w:rPr>
      </w:pPr>
      <w:r>
        <w:rPr>
          <w:sz w:val="19"/>
        </w:rPr>
        <w:t>την ποσότητα,</w:t>
      </w:r>
    </w:p>
    <w:p w14:paraId="6D197172" w14:textId="77777777" w:rsidR="00A2416E" w:rsidRDefault="00534832">
      <w:pPr>
        <w:pStyle w:val="Liststycke"/>
        <w:numPr>
          <w:ilvl w:val="0"/>
          <w:numId w:val="3"/>
        </w:numPr>
        <w:tabs>
          <w:tab w:val="left" w:pos="316"/>
        </w:tabs>
        <w:rPr>
          <w:sz w:val="19"/>
        </w:rPr>
      </w:pPr>
      <w:r>
        <w:rPr>
          <w:sz w:val="19"/>
        </w:rPr>
        <w:t>την κατώτερη θερμογόνο ικανότητα, και</w:t>
      </w:r>
    </w:p>
    <w:p w14:paraId="04221788" w14:textId="77777777" w:rsidR="00A2416E" w:rsidRDefault="00534832">
      <w:pPr>
        <w:pStyle w:val="Liststycke"/>
        <w:numPr>
          <w:ilvl w:val="0"/>
          <w:numId w:val="3"/>
        </w:numPr>
        <w:tabs>
          <w:tab w:val="left" w:pos="316"/>
        </w:tabs>
        <w:spacing w:before="69"/>
        <w:rPr>
          <w:sz w:val="19"/>
        </w:rPr>
      </w:pPr>
      <w:r>
        <w:rPr>
          <w:sz w:val="19"/>
        </w:rPr>
        <w:t>τη χώρα προέλευσης της πρώτης ύλης.</w:t>
      </w:r>
    </w:p>
    <w:p w14:paraId="2AED6C49" w14:textId="77777777" w:rsidR="00A2416E" w:rsidRDefault="00A2416E">
      <w:pPr>
        <w:pStyle w:val="Brdtext"/>
        <w:spacing w:before="5"/>
        <w:rPr>
          <w:sz w:val="22"/>
        </w:rPr>
      </w:pPr>
    </w:p>
    <w:p w14:paraId="716008FA" w14:textId="77777777" w:rsidR="00A2416E" w:rsidRDefault="00534832">
      <w:pPr>
        <w:pStyle w:val="Liststycke"/>
        <w:numPr>
          <w:ilvl w:val="0"/>
          <w:numId w:val="5"/>
        </w:numPr>
        <w:tabs>
          <w:tab w:val="left" w:pos="265"/>
        </w:tabs>
        <w:spacing w:before="0" w:line="273" w:lineRule="auto"/>
        <w:ind w:right="438" w:firstLine="0"/>
        <w:rPr>
          <w:sz w:val="19"/>
        </w:rPr>
      </w:pPr>
      <w:r>
        <w:rPr>
          <w:b/>
          <w:sz w:val="19"/>
        </w:rPr>
        <w:t xml:space="preserve">Άρθρο </w:t>
      </w:r>
      <w:r>
        <w:rPr>
          <w:sz w:val="19"/>
        </w:rPr>
        <w:t>Η έκθεση εκπομπών περιλαμβάνει όλα τα βιοσυστατικά που περιλαμβάνονται στα παρεχόμενα προϊόντα καυσίμων σύμφωνα με το άρθρο 4, αναφέροντας:</w:t>
      </w:r>
    </w:p>
    <w:p w14:paraId="0C456492" w14:textId="77777777" w:rsidR="00A2416E" w:rsidRDefault="00534832">
      <w:pPr>
        <w:pStyle w:val="Liststycke"/>
        <w:numPr>
          <w:ilvl w:val="0"/>
          <w:numId w:val="2"/>
        </w:numPr>
        <w:tabs>
          <w:tab w:val="left" w:pos="316"/>
        </w:tabs>
        <w:spacing w:before="67"/>
        <w:rPr>
          <w:sz w:val="19"/>
        </w:rPr>
      </w:pPr>
      <w:r>
        <w:rPr>
          <w:sz w:val="19"/>
        </w:rPr>
        <w:t>τα προϊόντα στα οποία περιλαμβάνονται τα βιοσυστατικά,</w:t>
      </w:r>
    </w:p>
    <w:p w14:paraId="5D2FF15B" w14:textId="77777777" w:rsidR="00A2416E" w:rsidRDefault="00534832">
      <w:pPr>
        <w:pStyle w:val="Liststycke"/>
        <w:numPr>
          <w:ilvl w:val="0"/>
          <w:numId w:val="2"/>
        </w:numPr>
        <w:tabs>
          <w:tab w:val="left" w:pos="316"/>
        </w:tabs>
        <w:rPr>
          <w:sz w:val="19"/>
        </w:rPr>
      </w:pPr>
      <w:r>
        <w:rPr>
          <w:sz w:val="19"/>
        </w:rPr>
        <w:t>τους τύπους των βιοσυστατικών,</w:t>
      </w:r>
    </w:p>
    <w:p w14:paraId="134B125E" w14:textId="77777777" w:rsidR="00A2416E" w:rsidRDefault="00534832">
      <w:pPr>
        <w:pStyle w:val="Liststycke"/>
        <w:numPr>
          <w:ilvl w:val="0"/>
          <w:numId w:val="2"/>
        </w:numPr>
        <w:tabs>
          <w:tab w:val="left" w:pos="316"/>
        </w:tabs>
        <w:rPr>
          <w:sz w:val="19"/>
        </w:rPr>
      </w:pPr>
      <w:r>
        <w:rPr>
          <w:sz w:val="19"/>
        </w:rPr>
        <w:t>την ποσότητα,</w:t>
      </w:r>
    </w:p>
    <w:p w14:paraId="420C5F9D" w14:textId="77777777" w:rsidR="00A2416E" w:rsidRDefault="00534832">
      <w:pPr>
        <w:pStyle w:val="Liststycke"/>
        <w:numPr>
          <w:ilvl w:val="0"/>
          <w:numId w:val="2"/>
        </w:numPr>
        <w:tabs>
          <w:tab w:val="left" w:pos="316"/>
        </w:tabs>
        <w:rPr>
          <w:sz w:val="19"/>
        </w:rPr>
      </w:pPr>
      <w:r>
        <w:rPr>
          <w:sz w:val="19"/>
        </w:rPr>
        <w:t>την κατώτερη θερμογόνο ικανότητα,</w:t>
      </w:r>
    </w:p>
    <w:p w14:paraId="6FBCDE1A" w14:textId="77777777" w:rsidR="00A2416E" w:rsidRDefault="00534832">
      <w:pPr>
        <w:pStyle w:val="Liststycke"/>
        <w:numPr>
          <w:ilvl w:val="0"/>
          <w:numId w:val="2"/>
        </w:numPr>
        <w:tabs>
          <w:tab w:val="left" w:pos="316"/>
        </w:tabs>
        <w:spacing w:before="69"/>
        <w:rPr>
          <w:sz w:val="19"/>
        </w:rPr>
      </w:pPr>
      <w:r>
        <w:rPr>
          <w:sz w:val="19"/>
        </w:rPr>
        <w:t>τις πρώτες ύλες,</w:t>
      </w:r>
    </w:p>
    <w:p w14:paraId="3BA18401" w14:textId="77777777" w:rsidR="00A2416E" w:rsidRDefault="00534832">
      <w:pPr>
        <w:pStyle w:val="Liststycke"/>
        <w:numPr>
          <w:ilvl w:val="0"/>
          <w:numId w:val="2"/>
        </w:numPr>
        <w:tabs>
          <w:tab w:val="left" w:pos="316"/>
        </w:tabs>
        <w:rPr>
          <w:sz w:val="19"/>
        </w:rPr>
      </w:pPr>
      <w:r>
        <w:rPr>
          <w:sz w:val="19"/>
        </w:rPr>
        <w:t>τη χώρα προέλευσης της πρώτης ύλης,</w:t>
      </w:r>
    </w:p>
    <w:p w14:paraId="3E51FE3E" w14:textId="77777777" w:rsidR="00A2416E" w:rsidRDefault="00534832">
      <w:pPr>
        <w:pStyle w:val="Liststycke"/>
        <w:numPr>
          <w:ilvl w:val="0"/>
          <w:numId w:val="2"/>
        </w:numPr>
        <w:tabs>
          <w:tab w:val="left" w:pos="316"/>
        </w:tabs>
        <w:spacing w:line="252" w:lineRule="auto"/>
        <w:ind w:right="438"/>
        <w:jc w:val="both"/>
        <w:rPr>
          <w:sz w:val="19"/>
        </w:rPr>
      </w:pPr>
      <w:r>
        <w:rPr>
          <w:sz w:val="19"/>
        </w:rPr>
        <w:t>αν τα βιοσυστατικά πληρούν τα κριτήρια βιωσιμότητας (2010:598) για τα βιοκαύσιμα και τα βιορευστά, και</w:t>
      </w:r>
    </w:p>
    <w:p w14:paraId="6A936F3B" w14:textId="77777777" w:rsidR="00A2416E" w:rsidRDefault="00534832">
      <w:pPr>
        <w:pStyle w:val="Liststycke"/>
        <w:numPr>
          <w:ilvl w:val="0"/>
          <w:numId w:val="2"/>
        </w:numPr>
        <w:tabs>
          <w:tab w:val="left" w:pos="316"/>
        </w:tabs>
        <w:spacing w:before="58"/>
        <w:jc w:val="both"/>
        <w:rPr>
          <w:sz w:val="19"/>
        </w:rPr>
      </w:pPr>
      <w:r>
        <w:rPr>
          <w:sz w:val="19"/>
        </w:rPr>
        <w:t>αν τα βιοσυστατικά έχουν χρησιμοποιηθεί σε αεροπορικά καύσιμα.</w:t>
      </w:r>
    </w:p>
    <w:p w14:paraId="351F1B0D" w14:textId="77777777" w:rsidR="00A2416E" w:rsidRDefault="00A2416E">
      <w:pPr>
        <w:pStyle w:val="Brdtext"/>
        <w:spacing w:before="6"/>
        <w:rPr>
          <w:sz w:val="22"/>
        </w:rPr>
      </w:pPr>
    </w:p>
    <w:p w14:paraId="055D9BCA" w14:textId="77777777" w:rsidR="00A2416E" w:rsidRDefault="00534832">
      <w:pPr>
        <w:pStyle w:val="Liststycke"/>
        <w:numPr>
          <w:ilvl w:val="0"/>
          <w:numId w:val="5"/>
        </w:numPr>
        <w:tabs>
          <w:tab w:val="left" w:pos="269"/>
        </w:tabs>
        <w:spacing w:before="0" w:line="273" w:lineRule="auto"/>
        <w:ind w:right="438" w:firstLine="0"/>
        <w:jc w:val="both"/>
        <w:rPr>
          <w:sz w:val="19"/>
        </w:rPr>
      </w:pPr>
      <w:r>
        <w:rPr>
          <w:b/>
          <w:sz w:val="19"/>
        </w:rPr>
        <w:t xml:space="preserve">Άρθρο </w:t>
      </w:r>
      <w:r>
        <w:rPr>
          <w:sz w:val="19"/>
        </w:rPr>
        <w:t>Εάν η χώρα προέλευσης βρίσκεται εκτός της Ευρωπαϊκής Ένωσης ή του ΕΟΧ, αλλά δεν υπάρχουν πληροφορίες σχετικά με το ποια χώρα είναι η χώρα προέλευσης, η έκθεση εκπομπών μπορεί να αναφέρει ότι δεν υπάρχουν πληροφορίες σχετικά με τη χώρα προέλευσης.</w:t>
      </w:r>
    </w:p>
    <w:p w14:paraId="732E5498" w14:textId="77777777" w:rsidR="00A2416E" w:rsidRDefault="00A2416E">
      <w:pPr>
        <w:spacing w:line="273" w:lineRule="auto"/>
        <w:jc w:val="both"/>
        <w:rPr>
          <w:sz w:val="19"/>
        </w:rPr>
        <w:sectPr w:rsidR="00A2416E">
          <w:pgSz w:w="9360" w:h="13720"/>
          <w:pgMar w:top="940" w:right="580" w:bottom="280" w:left="620" w:header="720" w:footer="720" w:gutter="0"/>
          <w:cols w:num="2" w:space="720" w:equalWidth="0">
            <w:col w:w="997" w:space="703"/>
            <w:col w:w="6460"/>
          </w:cols>
        </w:sectPr>
      </w:pPr>
    </w:p>
    <w:p w14:paraId="53703E9C" w14:textId="77777777" w:rsidR="00A2416E" w:rsidRDefault="00A2416E">
      <w:pPr>
        <w:pStyle w:val="Brdtext"/>
        <w:rPr>
          <w:sz w:val="20"/>
        </w:rPr>
      </w:pPr>
    </w:p>
    <w:p w14:paraId="141EB606" w14:textId="77777777" w:rsidR="00A2416E" w:rsidRDefault="00A2416E">
      <w:pPr>
        <w:pStyle w:val="Brdtext"/>
        <w:rPr>
          <w:sz w:val="20"/>
        </w:rPr>
      </w:pPr>
    </w:p>
    <w:p w14:paraId="7939C55D" w14:textId="77777777" w:rsidR="00A2416E" w:rsidRDefault="00A2416E">
      <w:pPr>
        <w:pStyle w:val="Brdtext"/>
        <w:rPr>
          <w:sz w:val="20"/>
        </w:rPr>
      </w:pPr>
    </w:p>
    <w:p w14:paraId="3855820A" w14:textId="77777777" w:rsidR="00A2416E" w:rsidRDefault="00A2416E">
      <w:pPr>
        <w:pStyle w:val="Brdtext"/>
        <w:rPr>
          <w:sz w:val="20"/>
        </w:rPr>
      </w:pPr>
    </w:p>
    <w:p w14:paraId="436A79D9" w14:textId="77777777" w:rsidR="00A2416E" w:rsidRDefault="00A2416E">
      <w:pPr>
        <w:pStyle w:val="Brdtext"/>
        <w:rPr>
          <w:sz w:val="20"/>
        </w:rPr>
      </w:pPr>
    </w:p>
    <w:p w14:paraId="66D146DB" w14:textId="77777777" w:rsidR="00A2416E" w:rsidRDefault="00A2416E">
      <w:pPr>
        <w:pStyle w:val="Brdtext"/>
        <w:rPr>
          <w:sz w:val="20"/>
        </w:rPr>
      </w:pPr>
    </w:p>
    <w:p w14:paraId="05983546" w14:textId="77777777" w:rsidR="00A2416E" w:rsidRDefault="00A2416E">
      <w:pPr>
        <w:pStyle w:val="Brdtext"/>
        <w:rPr>
          <w:sz w:val="20"/>
        </w:rPr>
      </w:pPr>
    </w:p>
    <w:p w14:paraId="3B407F9E" w14:textId="77777777" w:rsidR="00A2416E" w:rsidRDefault="00A2416E">
      <w:pPr>
        <w:pStyle w:val="Brdtext"/>
        <w:spacing w:before="8"/>
        <w:rPr>
          <w:sz w:val="26"/>
        </w:rPr>
      </w:pPr>
    </w:p>
    <w:p w14:paraId="346CAB4A" w14:textId="77777777" w:rsidR="00A2416E" w:rsidRDefault="00534832">
      <w:pPr>
        <w:pStyle w:val="Rubrik3"/>
        <w:spacing w:before="111"/>
      </w:pPr>
      <w:r>
        <w:t>2</w:t>
      </w:r>
    </w:p>
    <w:p w14:paraId="47F3F605" w14:textId="77777777" w:rsidR="00A2416E" w:rsidRDefault="00A2416E">
      <w:pPr>
        <w:sectPr w:rsidR="00A2416E">
          <w:type w:val="continuous"/>
          <w:pgSz w:w="9360" w:h="13720"/>
          <w:pgMar w:top="900" w:right="580" w:bottom="280" w:left="620" w:header="720" w:footer="720" w:gutter="0"/>
          <w:cols w:space="720"/>
        </w:sectPr>
      </w:pPr>
    </w:p>
    <w:p w14:paraId="75320A3C" w14:textId="77777777" w:rsidR="00A2416E" w:rsidRDefault="00534832">
      <w:pPr>
        <w:spacing w:before="63"/>
        <w:ind w:left="400"/>
        <w:jc w:val="both"/>
        <w:rPr>
          <w:b/>
          <w:sz w:val="21"/>
        </w:rPr>
      </w:pPr>
      <w:bookmarkStart w:id="2" w:name="Beräkning_av_växthusgasintensitet"/>
      <w:bookmarkEnd w:id="2"/>
      <w:r>
        <w:rPr>
          <w:b/>
          <w:sz w:val="21"/>
        </w:rPr>
        <w:lastRenderedPageBreak/>
        <w:t>Υπολογισμός της έντασης των εκπομπών αερίων του θερμοκηπίου</w:t>
      </w:r>
    </w:p>
    <w:p w14:paraId="04BEEB73" w14:textId="77777777" w:rsidR="00577B1A" w:rsidRDefault="00534832" w:rsidP="00577B1A">
      <w:pPr>
        <w:pStyle w:val="Brdtext"/>
        <w:spacing w:before="141" w:line="273" w:lineRule="auto"/>
        <w:ind w:left="400" w:right="238"/>
        <w:jc w:val="both"/>
        <w:rPr>
          <w:lang w:val="sv-SE"/>
        </w:rPr>
      </w:pPr>
      <w:r>
        <w:rPr>
          <w:b/>
        </w:rPr>
        <w:t xml:space="preserve">Άρθρο 12 </w:t>
      </w:r>
      <w:r>
        <w:t>Κατά τον υπολογισμό της μείωσης των εκπομπών αερίων θερμοκηπίου ενός προμηθευτή καυσίμων για τον σκοπό που αναφέρεται στο άρθρο 21 του νόμου για τα καύσιμα (2011:319), ο υπολογισμός της έντασης των εκπομπών αερίων του θερμοκηπίου πραγματοποιείται σύμφωνα με τον ακόλουθο τύπο:</w:t>
      </w:r>
      <w:r w:rsidR="00577B1A">
        <w:rPr>
          <w:lang w:val="sv-SE"/>
        </w:rPr>
        <w:t xml:space="preserve">   </w:t>
      </w:r>
    </w:p>
    <w:p w14:paraId="20759CD1" w14:textId="34E7775A" w:rsidR="00A2416E" w:rsidRDefault="00577B1A" w:rsidP="001851D5">
      <w:pPr>
        <w:pStyle w:val="Brdtext"/>
        <w:ind w:left="403" w:right="238"/>
        <w:jc w:val="both"/>
      </w:pPr>
      <w:r>
        <w:rPr>
          <w:lang w:val="sv-SE"/>
        </w:rPr>
        <w:t xml:space="preserve">                                              </w:t>
      </w:r>
      <w:r w:rsidR="001851D5">
        <w:rPr>
          <w:lang w:val="sv-SE"/>
        </w:rPr>
        <w:t xml:space="preserve">                             </w:t>
      </w:r>
      <w:r>
        <w:rPr>
          <w:lang w:val="sv-SE"/>
        </w:rPr>
        <w:t xml:space="preserve"> </w:t>
      </w:r>
      <w:r w:rsidR="00534832">
        <w:rPr>
          <w:color w:val="010102"/>
        </w:rPr>
        <w:t xml:space="preserve">∑ </w:t>
      </w:r>
      <w:r w:rsidR="00534832">
        <w:rPr>
          <w:color w:val="010102"/>
          <w:vertAlign w:val="subscript"/>
        </w:rPr>
        <w:t>x</w:t>
      </w:r>
      <w:r w:rsidR="00534832">
        <w:rPr>
          <w:color w:val="010102"/>
        </w:rPr>
        <w:t xml:space="preserve"> (GHGi</w:t>
      </w:r>
      <w:r w:rsidR="00534832">
        <w:rPr>
          <w:color w:val="010102"/>
          <w:vertAlign w:val="subscript"/>
        </w:rPr>
        <w:t>x</w:t>
      </w:r>
      <w:r w:rsidR="00534832">
        <w:rPr>
          <w:color w:val="010102"/>
        </w:rPr>
        <w:t>×AF×MJ</w:t>
      </w:r>
      <w:r w:rsidR="00534832">
        <w:rPr>
          <w:color w:val="010102"/>
          <w:vertAlign w:val="subscript"/>
        </w:rPr>
        <w:t>x</w:t>
      </w:r>
      <w:r w:rsidR="00534832">
        <w:rPr>
          <w:color w:val="010102"/>
        </w:rPr>
        <w:t>) – UER</w:t>
      </w:r>
    </w:p>
    <w:p w14:paraId="5B0DC3E8" w14:textId="77777777" w:rsidR="00A2416E" w:rsidRDefault="00534832">
      <w:pPr>
        <w:pStyle w:val="Brdtext"/>
        <w:spacing w:line="191" w:lineRule="exact"/>
        <w:ind w:left="400"/>
        <w:jc w:val="both"/>
      </w:pPr>
      <w:r>
        <w:rPr>
          <w:color w:val="010102"/>
        </w:rPr>
        <w:t>Ένταση εκπομπών αερίων του θερμοκηπίου</w:t>
      </w:r>
      <w:r>
        <w:rPr>
          <w:color w:val="010102"/>
          <w:vertAlign w:val="subscript"/>
        </w:rPr>
        <w:t>#</w:t>
      </w:r>
      <w:r>
        <w:rPr>
          <w:color w:val="010102"/>
        </w:rPr>
        <w:t xml:space="preserve"> = ––––––––––––––––––––––––</w:t>
      </w:r>
    </w:p>
    <w:p w14:paraId="3A218E26" w14:textId="77777777" w:rsidR="00A2416E" w:rsidRDefault="00534832" w:rsidP="00577B1A">
      <w:pPr>
        <w:pStyle w:val="Brdtext"/>
        <w:spacing w:line="217" w:lineRule="exact"/>
        <w:ind w:left="2121" w:right="-1418"/>
        <w:jc w:val="center"/>
      </w:pPr>
      <w:r>
        <w:rPr>
          <w:color w:val="010102"/>
        </w:rPr>
        <w:t xml:space="preserve">∑ </w:t>
      </w:r>
      <w:r>
        <w:rPr>
          <w:color w:val="010102"/>
          <w:vertAlign w:val="subscript"/>
        </w:rPr>
        <w:t>x</w:t>
      </w:r>
      <w:r>
        <w:rPr>
          <w:color w:val="010102"/>
        </w:rPr>
        <w:t xml:space="preserve"> MJ</w:t>
      </w:r>
      <w:r>
        <w:rPr>
          <w:color w:val="010102"/>
          <w:vertAlign w:val="subscript"/>
        </w:rPr>
        <w:t>x</w:t>
      </w:r>
    </w:p>
    <w:p w14:paraId="34570CBD" w14:textId="77777777" w:rsidR="00A2416E" w:rsidRDefault="00A2416E">
      <w:pPr>
        <w:pStyle w:val="Brdtext"/>
        <w:spacing w:before="4"/>
        <w:rPr>
          <w:sz w:val="15"/>
        </w:rPr>
      </w:pPr>
    </w:p>
    <w:tbl>
      <w:tblPr>
        <w:tblStyle w:val="TableNormal1"/>
        <w:tblW w:w="0" w:type="auto"/>
        <w:tblInd w:w="207" w:type="dxa"/>
        <w:tblLayout w:type="fixed"/>
        <w:tblLook w:val="01E0" w:firstRow="1" w:lastRow="1" w:firstColumn="1" w:lastColumn="1" w:noHBand="0" w:noVBand="0"/>
      </w:tblPr>
      <w:tblGrid>
        <w:gridCol w:w="800"/>
        <w:gridCol w:w="5497"/>
      </w:tblGrid>
      <w:tr w:rsidR="00A2416E" w14:paraId="4CFD6340" w14:textId="77777777">
        <w:trPr>
          <w:trHeight w:val="251"/>
        </w:trPr>
        <w:tc>
          <w:tcPr>
            <w:tcW w:w="800" w:type="dxa"/>
          </w:tcPr>
          <w:p w14:paraId="0A908CB3" w14:textId="07DFEC30" w:rsidR="00A2416E" w:rsidRDefault="00534832">
            <w:pPr>
              <w:pStyle w:val="TableParagraph"/>
              <w:spacing w:before="0" w:line="210" w:lineRule="exact"/>
              <w:ind w:left="200"/>
              <w:rPr>
                <w:sz w:val="19"/>
              </w:rPr>
            </w:pPr>
            <w:r>
              <w:rPr>
                <w:sz w:val="19"/>
              </w:rPr>
              <w:t>#</w:t>
            </w:r>
            <w:r>
              <w:rPr>
                <w:sz w:val="19"/>
              </w:rPr>
              <w:tab/>
            </w:r>
          </w:p>
        </w:tc>
        <w:tc>
          <w:tcPr>
            <w:tcW w:w="5497" w:type="dxa"/>
          </w:tcPr>
          <w:p w14:paraId="667260ED" w14:textId="7BAF1C5C" w:rsidR="00A2416E" w:rsidRDefault="00577B1A">
            <w:pPr>
              <w:pStyle w:val="TableParagraph"/>
              <w:spacing w:before="0" w:line="210" w:lineRule="exact"/>
              <w:ind w:left="85"/>
              <w:rPr>
                <w:sz w:val="19"/>
              </w:rPr>
            </w:pPr>
            <w:r>
              <w:rPr>
                <w:sz w:val="19"/>
              </w:rPr>
              <w:t>ταυτοποίηση προμηθευτή</w:t>
            </w:r>
          </w:p>
        </w:tc>
      </w:tr>
      <w:tr w:rsidR="00A2416E" w14:paraId="66C6F643" w14:textId="77777777">
        <w:trPr>
          <w:trHeight w:val="291"/>
        </w:trPr>
        <w:tc>
          <w:tcPr>
            <w:tcW w:w="800" w:type="dxa"/>
          </w:tcPr>
          <w:p w14:paraId="2FD57175" w14:textId="77777777" w:rsidR="00A2416E" w:rsidRDefault="00534832">
            <w:pPr>
              <w:pStyle w:val="TableParagraph"/>
              <w:spacing w:before="32"/>
              <w:ind w:left="200"/>
              <w:rPr>
                <w:i/>
                <w:sz w:val="19"/>
              </w:rPr>
            </w:pPr>
            <w:r>
              <w:rPr>
                <w:i/>
                <w:sz w:val="19"/>
              </w:rPr>
              <w:t>x</w:t>
            </w:r>
          </w:p>
        </w:tc>
        <w:tc>
          <w:tcPr>
            <w:tcW w:w="5497" w:type="dxa"/>
          </w:tcPr>
          <w:p w14:paraId="2A6E5BDD" w14:textId="77777777" w:rsidR="00A2416E" w:rsidRDefault="00534832">
            <w:pPr>
              <w:pStyle w:val="TableParagraph"/>
              <w:spacing w:before="32"/>
              <w:ind w:left="85"/>
              <w:rPr>
                <w:sz w:val="19"/>
              </w:rPr>
            </w:pPr>
            <w:r>
              <w:rPr>
                <w:sz w:val="19"/>
              </w:rPr>
              <w:t>καύσιμα τα οποία έχουν παραδοθεί και τα οποία πρέπει να αναφερθούν</w:t>
            </w:r>
          </w:p>
        </w:tc>
      </w:tr>
      <w:tr w:rsidR="00A2416E" w14:paraId="4EEEE19A" w14:textId="77777777">
        <w:trPr>
          <w:trHeight w:val="751"/>
        </w:trPr>
        <w:tc>
          <w:tcPr>
            <w:tcW w:w="800" w:type="dxa"/>
          </w:tcPr>
          <w:p w14:paraId="79E26564" w14:textId="77777777" w:rsidR="00A2416E" w:rsidRDefault="00534832">
            <w:pPr>
              <w:pStyle w:val="TableParagraph"/>
              <w:spacing w:before="32"/>
              <w:ind w:left="200"/>
              <w:rPr>
                <w:i/>
                <w:sz w:val="11"/>
              </w:rPr>
            </w:pPr>
            <w:r>
              <w:rPr>
                <w:i/>
                <w:sz w:val="19"/>
              </w:rPr>
              <w:t>GHGi</w:t>
            </w:r>
            <w:r>
              <w:rPr>
                <w:i/>
                <w:sz w:val="11"/>
              </w:rPr>
              <w:t>x</w:t>
            </w:r>
          </w:p>
        </w:tc>
        <w:tc>
          <w:tcPr>
            <w:tcW w:w="5497" w:type="dxa"/>
          </w:tcPr>
          <w:p w14:paraId="7D58B399" w14:textId="77777777" w:rsidR="00A2416E" w:rsidRDefault="00534832">
            <w:pPr>
              <w:pStyle w:val="TableParagraph"/>
              <w:spacing w:before="38" w:line="230" w:lineRule="auto"/>
              <w:ind w:left="85" w:right="198"/>
              <w:jc w:val="both"/>
              <w:rPr>
                <w:sz w:val="19"/>
              </w:rPr>
            </w:pPr>
            <w:r>
              <w:rPr>
                <w:sz w:val="19"/>
              </w:rPr>
              <w:t>είναι το άθροισμα των εκπομπών αερίων του θερμοκηπίου που εκφράζεται ως g CO</w:t>
            </w:r>
            <w:r>
              <w:rPr>
                <w:sz w:val="11"/>
              </w:rPr>
              <w:t>2</w:t>
            </w:r>
            <w:r>
              <w:rPr>
                <w:sz w:val="19"/>
              </w:rPr>
              <w:t>eq/MJ από όλα τα βιοσυστατικά και τα ορυκτά συστατικά που περιλαμβάνονται στα καύσιμα που έχουν παραδοθεί</w:t>
            </w:r>
          </w:p>
        </w:tc>
      </w:tr>
      <w:tr w:rsidR="00A2416E" w14:paraId="5FB64182" w14:textId="77777777">
        <w:trPr>
          <w:trHeight w:val="521"/>
        </w:trPr>
        <w:tc>
          <w:tcPr>
            <w:tcW w:w="800" w:type="dxa"/>
          </w:tcPr>
          <w:p w14:paraId="3D51B5E0" w14:textId="77777777" w:rsidR="00A2416E" w:rsidRDefault="00534832">
            <w:pPr>
              <w:pStyle w:val="TableParagraph"/>
              <w:spacing w:before="32"/>
              <w:ind w:left="200"/>
              <w:rPr>
                <w:i/>
                <w:sz w:val="11"/>
              </w:rPr>
            </w:pPr>
            <w:r>
              <w:rPr>
                <w:i/>
                <w:sz w:val="19"/>
              </w:rPr>
              <w:t>MJ</w:t>
            </w:r>
            <w:r>
              <w:rPr>
                <w:i/>
                <w:sz w:val="11"/>
              </w:rPr>
              <w:t>x</w:t>
            </w:r>
          </w:p>
        </w:tc>
        <w:tc>
          <w:tcPr>
            <w:tcW w:w="5497" w:type="dxa"/>
          </w:tcPr>
          <w:p w14:paraId="02BB1F8E" w14:textId="77777777" w:rsidR="00A2416E" w:rsidRDefault="00534832">
            <w:pPr>
              <w:pStyle w:val="TableParagraph"/>
              <w:spacing w:before="32" w:line="252" w:lineRule="auto"/>
              <w:ind w:left="85" w:right="170"/>
              <w:rPr>
                <w:sz w:val="19"/>
              </w:rPr>
            </w:pPr>
            <w:r>
              <w:rPr>
                <w:sz w:val="19"/>
              </w:rPr>
              <w:t>ενέργεια που περιλαμβάνεται σε ορυκτά συστατικά και βιοσυστατικά που περιλαμβάνονται σε καύσιμα που έχουν παραδοθεί, εκφραζόμενη ως MJ</w:t>
            </w:r>
          </w:p>
        </w:tc>
      </w:tr>
      <w:tr w:rsidR="00A2416E" w14:paraId="5072D8FC" w14:textId="77777777">
        <w:trPr>
          <w:trHeight w:val="521"/>
        </w:trPr>
        <w:tc>
          <w:tcPr>
            <w:tcW w:w="800" w:type="dxa"/>
          </w:tcPr>
          <w:p w14:paraId="6DFBF789" w14:textId="77777777" w:rsidR="00A2416E" w:rsidRDefault="00534832">
            <w:pPr>
              <w:pStyle w:val="TableParagraph"/>
              <w:spacing w:before="32"/>
              <w:ind w:left="200"/>
              <w:rPr>
                <w:i/>
                <w:sz w:val="19"/>
              </w:rPr>
            </w:pPr>
            <w:r>
              <w:rPr>
                <w:i/>
                <w:sz w:val="19"/>
              </w:rPr>
              <w:t>AF</w:t>
            </w:r>
          </w:p>
        </w:tc>
        <w:tc>
          <w:tcPr>
            <w:tcW w:w="5497" w:type="dxa"/>
          </w:tcPr>
          <w:p w14:paraId="76543568" w14:textId="77777777" w:rsidR="00A2416E" w:rsidRDefault="00534832">
            <w:pPr>
              <w:pStyle w:val="TableParagraph"/>
              <w:spacing w:before="32"/>
              <w:ind w:left="85"/>
              <w:rPr>
                <w:sz w:val="19"/>
              </w:rPr>
            </w:pPr>
            <w:r>
              <w:rPr>
                <w:sz w:val="19"/>
              </w:rPr>
              <w:t>οι διορθωτικοί συντελεστές για την απόδοση του συστήματος κίνησης σύμφωνα με τον πίνακα</w:t>
            </w:r>
          </w:p>
          <w:p w14:paraId="1791D3B1" w14:textId="77777777" w:rsidR="00A2416E" w:rsidRDefault="00534832">
            <w:pPr>
              <w:pStyle w:val="TableParagraph"/>
              <w:spacing w:before="12"/>
              <w:ind w:left="85"/>
              <w:rPr>
                <w:sz w:val="19"/>
              </w:rPr>
            </w:pPr>
            <w:r>
              <w:rPr>
                <w:sz w:val="19"/>
              </w:rPr>
              <w:t>παρακάτω</w:t>
            </w:r>
          </w:p>
        </w:tc>
      </w:tr>
      <w:tr w:rsidR="00A2416E" w14:paraId="690B8266" w14:textId="77777777">
        <w:trPr>
          <w:trHeight w:val="297"/>
        </w:trPr>
        <w:tc>
          <w:tcPr>
            <w:tcW w:w="800" w:type="dxa"/>
          </w:tcPr>
          <w:p w14:paraId="60FB116A" w14:textId="77777777" w:rsidR="00A2416E" w:rsidRDefault="00534832">
            <w:pPr>
              <w:pStyle w:val="TableParagraph"/>
              <w:spacing w:before="32"/>
              <w:ind w:left="200"/>
              <w:rPr>
                <w:i/>
                <w:sz w:val="19"/>
              </w:rPr>
            </w:pPr>
            <w:r>
              <w:rPr>
                <w:i/>
                <w:sz w:val="19"/>
              </w:rPr>
              <w:t>UER</w:t>
            </w:r>
          </w:p>
        </w:tc>
        <w:tc>
          <w:tcPr>
            <w:tcW w:w="5497" w:type="dxa"/>
          </w:tcPr>
          <w:p w14:paraId="1AD7EF7E" w14:textId="77777777" w:rsidR="00A2416E" w:rsidRDefault="00534832">
            <w:pPr>
              <w:pStyle w:val="TableParagraph"/>
              <w:spacing w:before="32" w:line="245" w:lineRule="exact"/>
              <w:ind w:left="85"/>
              <w:rPr>
                <w:sz w:val="19"/>
              </w:rPr>
            </w:pPr>
            <w:r>
              <w:rPr>
                <w:sz w:val="19"/>
              </w:rPr>
              <w:t>Μείωση των εκπομπών κατά το πρώτο στάδιο μετρούμενη ως g CO</w:t>
            </w:r>
            <w:r>
              <w:rPr>
                <w:sz w:val="11"/>
              </w:rPr>
              <w:t>2</w:t>
            </w:r>
            <w:r>
              <w:rPr>
                <w:sz w:val="19"/>
              </w:rPr>
              <w:t>eq</w:t>
            </w:r>
          </w:p>
        </w:tc>
      </w:tr>
    </w:tbl>
    <w:p w14:paraId="799663C9" w14:textId="77777777" w:rsidR="00A2416E" w:rsidRDefault="00534832">
      <w:pPr>
        <w:pStyle w:val="Brdtext"/>
        <w:spacing w:before="132"/>
        <w:ind w:left="400"/>
        <w:jc w:val="both"/>
      </w:pPr>
      <w:r>
        <w:t>Οι εκπομπές διορθώνονται για την απόδοση του συστήματος κίνησης και τις εκπομπές κατά το πρώτο στάδιο.</w:t>
      </w:r>
    </w:p>
    <w:p w14:paraId="197F02F8" w14:textId="77777777" w:rsidR="00A2416E" w:rsidRDefault="00A2416E">
      <w:pPr>
        <w:pStyle w:val="Brdtext"/>
        <w:rPr>
          <w:sz w:val="28"/>
        </w:rPr>
      </w:pPr>
    </w:p>
    <w:tbl>
      <w:tblPr>
        <w:tblStyle w:val="TableNormal1"/>
        <w:tblW w:w="5005" w:type="dxa"/>
        <w:tblInd w:w="426" w:type="dxa"/>
        <w:tblLayout w:type="fixed"/>
        <w:tblLook w:val="01E0" w:firstRow="1" w:lastRow="1" w:firstColumn="1" w:lastColumn="1" w:noHBand="0" w:noVBand="0"/>
      </w:tblPr>
      <w:tblGrid>
        <w:gridCol w:w="3349"/>
        <w:gridCol w:w="1656"/>
      </w:tblGrid>
      <w:tr w:rsidR="00A2416E" w14:paraId="28F08263" w14:textId="77777777" w:rsidTr="00965061">
        <w:trPr>
          <w:trHeight w:val="325"/>
        </w:trPr>
        <w:tc>
          <w:tcPr>
            <w:tcW w:w="3349" w:type="dxa"/>
            <w:tcBorders>
              <w:top w:val="single" w:sz="4" w:space="0" w:color="000000"/>
              <w:bottom w:val="single" w:sz="4" w:space="0" w:color="000000"/>
            </w:tcBorders>
          </w:tcPr>
          <w:p w14:paraId="38A19BC4" w14:textId="77777777" w:rsidR="00A2416E" w:rsidRDefault="00534832">
            <w:pPr>
              <w:pStyle w:val="TableParagraph"/>
              <w:spacing w:before="67"/>
              <w:ind w:left="0"/>
              <w:rPr>
                <w:b/>
                <w:sz w:val="16"/>
              </w:rPr>
            </w:pPr>
            <w:r>
              <w:rPr>
                <w:b/>
                <w:sz w:val="16"/>
              </w:rPr>
              <w:t>Κύριος τομέας χρήσης</w:t>
            </w:r>
          </w:p>
        </w:tc>
        <w:tc>
          <w:tcPr>
            <w:tcW w:w="1656" w:type="dxa"/>
            <w:tcBorders>
              <w:top w:val="single" w:sz="4" w:space="0" w:color="000000"/>
              <w:bottom w:val="single" w:sz="4" w:space="0" w:color="000000"/>
            </w:tcBorders>
          </w:tcPr>
          <w:p w14:paraId="2AE18678" w14:textId="77777777" w:rsidR="00A2416E" w:rsidRDefault="00534832" w:rsidP="001851D5">
            <w:pPr>
              <w:pStyle w:val="TableParagraph"/>
              <w:spacing w:before="67"/>
              <w:ind w:left="227" w:right="-1191"/>
              <w:rPr>
                <w:b/>
                <w:sz w:val="16"/>
              </w:rPr>
            </w:pPr>
            <w:r>
              <w:rPr>
                <w:b/>
                <w:sz w:val="16"/>
              </w:rPr>
              <w:t>Συντελεστής απόδοσης</w:t>
            </w:r>
          </w:p>
        </w:tc>
      </w:tr>
      <w:tr w:rsidR="00A2416E" w14:paraId="63DF21ED" w14:textId="77777777" w:rsidTr="00965061">
        <w:trPr>
          <w:trHeight w:val="295"/>
        </w:trPr>
        <w:tc>
          <w:tcPr>
            <w:tcW w:w="3349" w:type="dxa"/>
            <w:tcBorders>
              <w:top w:val="single" w:sz="4" w:space="0" w:color="000000"/>
            </w:tcBorders>
          </w:tcPr>
          <w:p w14:paraId="2DC6CCCF" w14:textId="77777777" w:rsidR="00A2416E" w:rsidRDefault="00534832">
            <w:pPr>
              <w:pStyle w:val="TableParagraph"/>
              <w:spacing w:before="72"/>
              <w:ind w:left="0"/>
              <w:rPr>
                <w:sz w:val="17"/>
              </w:rPr>
            </w:pPr>
            <w:r>
              <w:rPr>
                <w:sz w:val="17"/>
              </w:rPr>
              <w:t>Κινητήρες εσωτερικής καύσης</w:t>
            </w:r>
          </w:p>
        </w:tc>
        <w:tc>
          <w:tcPr>
            <w:tcW w:w="1656" w:type="dxa"/>
            <w:tcBorders>
              <w:top w:val="single" w:sz="4" w:space="0" w:color="000000"/>
            </w:tcBorders>
          </w:tcPr>
          <w:p w14:paraId="3EABE78F" w14:textId="42543CEB" w:rsidR="00A2416E" w:rsidRDefault="001851D5" w:rsidP="001851D5">
            <w:pPr>
              <w:pStyle w:val="TableParagraph"/>
              <w:spacing w:before="72"/>
              <w:ind w:left="0"/>
              <w:rPr>
                <w:sz w:val="17"/>
              </w:rPr>
            </w:pPr>
            <w:r>
              <w:rPr>
                <w:sz w:val="17"/>
                <w:lang w:val="sv-SE"/>
              </w:rPr>
              <w:t xml:space="preserve">        </w:t>
            </w:r>
            <w:r w:rsidR="00534832">
              <w:rPr>
                <w:sz w:val="17"/>
              </w:rPr>
              <w:t>1</w:t>
            </w:r>
          </w:p>
        </w:tc>
      </w:tr>
      <w:tr w:rsidR="00A2416E" w14:paraId="17A28BEE" w14:textId="77777777" w:rsidTr="00965061">
        <w:trPr>
          <w:trHeight w:val="242"/>
        </w:trPr>
        <w:tc>
          <w:tcPr>
            <w:tcW w:w="3349" w:type="dxa"/>
          </w:tcPr>
          <w:p w14:paraId="02257E28" w14:textId="77777777" w:rsidR="00A2416E" w:rsidRDefault="00534832">
            <w:pPr>
              <w:pStyle w:val="TableParagraph"/>
              <w:spacing w:before="20"/>
              <w:ind w:left="0"/>
              <w:rPr>
                <w:sz w:val="17"/>
              </w:rPr>
            </w:pPr>
            <w:r>
              <w:rPr>
                <w:sz w:val="17"/>
              </w:rPr>
              <w:t>Ηλεκτρικά συστήματα με συσσωρευτή</w:t>
            </w:r>
          </w:p>
        </w:tc>
        <w:tc>
          <w:tcPr>
            <w:tcW w:w="1656" w:type="dxa"/>
          </w:tcPr>
          <w:p w14:paraId="73657E13" w14:textId="3E7A4EC3" w:rsidR="00A2416E" w:rsidRDefault="001851D5" w:rsidP="001851D5">
            <w:pPr>
              <w:pStyle w:val="TableParagraph"/>
              <w:spacing w:before="20"/>
              <w:ind w:left="0"/>
              <w:rPr>
                <w:sz w:val="17"/>
              </w:rPr>
            </w:pPr>
            <w:r>
              <w:rPr>
                <w:sz w:val="17"/>
                <w:lang w:val="sv-SE"/>
              </w:rPr>
              <w:t xml:space="preserve">        </w:t>
            </w:r>
            <w:r w:rsidR="00534832">
              <w:rPr>
                <w:sz w:val="17"/>
              </w:rPr>
              <w:t>0,4</w:t>
            </w:r>
          </w:p>
        </w:tc>
      </w:tr>
      <w:tr w:rsidR="00A2416E" w14:paraId="320937A7" w14:textId="77777777" w:rsidTr="00965061">
        <w:trPr>
          <w:trHeight w:val="287"/>
        </w:trPr>
        <w:tc>
          <w:tcPr>
            <w:tcW w:w="3349" w:type="dxa"/>
            <w:tcBorders>
              <w:bottom w:val="single" w:sz="4" w:space="0" w:color="000000"/>
            </w:tcBorders>
          </w:tcPr>
          <w:p w14:paraId="51DED897" w14:textId="75E74C23" w:rsidR="00A2416E" w:rsidRDefault="00534832" w:rsidP="001851D5">
            <w:pPr>
              <w:pStyle w:val="TableParagraph"/>
              <w:spacing w:before="20"/>
              <w:ind w:left="-567"/>
              <w:rPr>
                <w:sz w:val="17"/>
              </w:rPr>
            </w:pPr>
            <w:r>
              <w:rPr>
                <w:sz w:val="17"/>
              </w:rPr>
              <w:t>Ηλεκτρ</w:t>
            </w:r>
            <w:r w:rsidR="00965061">
              <w:rPr>
                <w:sz w:val="17"/>
                <w:lang w:val="sv-SE"/>
              </w:rPr>
              <w:t xml:space="preserve"> </w:t>
            </w:r>
            <w:r w:rsidR="003326E8">
              <w:rPr>
                <w:sz w:val="17"/>
                <w:lang w:val="sv-SE"/>
              </w:rPr>
              <w:t>r</w:t>
            </w:r>
            <w:r>
              <w:rPr>
                <w:sz w:val="17"/>
              </w:rPr>
              <w:t>οκίνητο σύστημα κυψέλης καυσίμου</w:t>
            </w:r>
            <w:r w:rsidR="001851D5">
              <w:rPr>
                <w:sz w:val="17"/>
                <w:lang w:val="sv-SE"/>
              </w:rPr>
              <w:t xml:space="preserve"> </w:t>
            </w:r>
            <w:r>
              <w:rPr>
                <w:sz w:val="17"/>
              </w:rPr>
              <w:t>υδρογόνου</w:t>
            </w:r>
          </w:p>
        </w:tc>
        <w:tc>
          <w:tcPr>
            <w:tcW w:w="1656" w:type="dxa"/>
            <w:tcBorders>
              <w:bottom w:val="single" w:sz="4" w:space="0" w:color="000000"/>
            </w:tcBorders>
          </w:tcPr>
          <w:p w14:paraId="6D27FC5C" w14:textId="34B1E933" w:rsidR="00A2416E" w:rsidRDefault="001851D5" w:rsidP="001851D5">
            <w:pPr>
              <w:pStyle w:val="TableParagraph"/>
              <w:spacing w:before="20"/>
              <w:rPr>
                <w:sz w:val="17"/>
              </w:rPr>
            </w:pPr>
            <w:r>
              <w:rPr>
                <w:sz w:val="17"/>
                <w:lang w:val="sv-SE"/>
              </w:rPr>
              <w:t xml:space="preserve">     </w:t>
            </w:r>
            <w:r w:rsidR="00534832">
              <w:rPr>
                <w:sz w:val="17"/>
              </w:rPr>
              <w:t>0,4</w:t>
            </w:r>
          </w:p>
        </w:tc>
      </w:tr>
    </w:tbl>
    <w:p w14:paraId="37BD531B" w14:textId="77777777" w:rsidR="00A2416E" w:rsidRDefault="00534832" w:rsidP="001279C3">
      <w:pPr>
        <w:pStyle w:val="Brdtext"/>
        <w:spacing w:before="1" w:line="274" w:lineRule="auto"/>
        <w:ind w:left="397" w:right="57"/>
        <w:jc w:val="both"/>
      </w:pPr>
      <w:r>
        <w:rPr>
          <w:b/>
        </w:rPr>
        <w:t xml:space="preserve">Άρθρο 12α </w:t>
      </w:r>
      <w:r>
        <w:t>Ως βάση για τις περιβαλλοντικές πληροφορίες, ένας προμηθευτής καυσίμων υπολογίζει την ένταση των εκπομπών αερίων του θερμοκηπίου για προϊόντα που διατίθενται στην αγορά σύμφωνα με τον ακόλουθο τύπο:</w:t>
      </w:r>
    </w:p>
    <w:p w14:paraId="752A0082" w14:textId="77777777" w:rsidR="00A2416E" w:rsidRDefault="00534832">
      <w:pPr>
        <w:pStyle w:val="Brdtext"/>
        <w:spacing w:before="177" w:line="170" w:lineRule="auto"/>
        <w:ind w:left="400" w:right="3425" w:firstLine="808"/>
      </w:pPr>
      <w:r>
        <w:rPr>
          <w:color w:val="010102"/>
        </w:rPr>
        <w:t xml:space="preserve">∑ </w:t>
      </w:r>
      <w:r>
        <w:rPr>
          <w:color w:val="010102"/>
          <w:sz w:val="12"/>
        </w:rPr>
        <w:t xml:space="preserve">x </w:t>
      </w:r>
      <w:r>
        <w:rPr>
          <w:color w:val="010102"/>
        </w:rPr>
        <w:t>(GHGi</w:t>
      </w:r>
      <w:r>
        <w:rPr>
          <w:color w:val="010102"/>
          <w:sz w:val="12"/>
        </w:rPr>
        <w:t xml:space="preserve">x </w:t>
      </w:r>
      <w:r>
        <w:rPr>
          <w:color w:val="010102"/>
        </w:rPr>
        <w:t>× MJ</w:t>
      </w:r>
      <w:r>
        <w:rPr>
          <w:color w:val="010102"/>
          <w:sz w:val="12"/>
        </w:rPr>
        <w:t>x</w:t>
      </w:r>
      <w:r>
        <w:rPr>
          <w:color w:val="010102"/>
        </w:rPr>
        <w:t>) GHGi</w:t>
      </w:r>
      <w:r>
        <w:rPr>
          <w:color w:val="010102"/>
          <w:sz w:val="11"/>
        </w:rPr>
        <w:t xml:space="preserve">a </w:t>
      </w:r>
      <w:r>
        <w:rPr>
          <w:color w:val="010102"/>
        </w:rPr>
        <w:t>= ––––––––––––––––</w:t>
      </w:r>
    </w:p>
    <w:p w14:paraId="676262ED" w14:textId="77777777" w:rsidR="00A2416E" w:rsidRDefault="00534832">
      <w:pPr>
        <w:spacing w:line="201" w:lineRule="auto"/>
        <w:ind w:left="1610"/>
        <w:rPr>
          <w:sz w:val="12"/>
        </w:rPr>
      </w:pPr>
      <w:r>
        <w:rPr>
          <w:color w:val="010102"/>
          <w:sz w:val="19"/>
        </w:rPr>
        <w:t xml:space="preserve">∑ </w:t>
      </w:r>
      <w:r>
        <w:rPr>
          <w:color w:val="010102"/>
          <w:sz w:val="12"/>
        </w:rPr>
        <w:t xml:space="preserve">x </w:t>
      </w:r>
      <w:r>
        <w:rPr>
          <w:color w:val="010102"/>
          <w:sz w:val="19"/>
        </w:rPr>
        <w:t>MJ</w:t>
      </w:r>
      <w:r>
        <w:rPr>
          <w:color w:val="010102"/>
          <w:sz w:val="12"/>
        </w:rPr>
        <w:t>x</w:t>
      </w:r>
    </w:p>
    <w:p w14:paraId="447A06EC" w14:textId="77777777" w:rsidR="00A2416E" w:rsidRDefault="00534832">
      <w:pPr>
        <w:pStyle w:val="Rubrik2"/>
        <w:spacing w:line="228" w:lineRule="auto"/>
        <w:ind w:left="200" w:right="134"/>
      </w:pPr>
      <w:r>
        <w:br w:type="column"/>
      </w:r>
      <w:r>
        <w:t>STEMFS 2021:2</w:t>
      </w:r>
    </w:p>
    <w:p w14:paraId="186869FF" w14:textId="77777777" w:rsidR="00A2416E" w:rsidRDefault="00A2416E">
      <w:pPr>
        <w:spacing w:line="228" w:lineRule="auto"/>
        <w:sectPr w:rsidR="00A2416E">
          <w:pgSz w:w="9360" w:h="13720"/>
          <w:pgMar w:top="940" w:right="580" w:bottom="280" w:left="620" w:header="720" w:footer="720" w:gutter="0"/>
          <w:cols w:num="2" w:space="720" w:equalWidth="0">
            <w:col w:w="6538" w:space="427"/>
            <w:col w:w="1195"/>
          </w:cols>
        </w:sectPr>
      </w:pPr>
    </w:p>
    <w:p w14:paraId="78B72271" w14:textId="77777777" w:rsidR="00A2416E" w:rsidRDefault="00534832">
      <w:pPr>
        <w:pStyle w:val="Brdtext"/>
        <w:spacing w:before="129" w:after="58"/>
        <w:ind w:left="400"/>
      </w:pPr>
      <w:r>
        <w:t>Όπου:</w:t>
      </w:r>
    </w:p>
    <w:tbl>
      <w:tblPr>
        <w:tblStyle w:val="TableNormal1"/>
        <w:tblW w:w="0" w:type="auto"/>
        <w:tblInd w:w="207" w:type="dxa"/>
        <w:tblLayout w:type="fixed"/>
        <w:tblLook w:val="01E0" w:firstRow="1" w:lastRow="1" w:firstColumn="1" w:lastColumn="1" w:noHBand="0" w:noVBand="0"/>
      </w:tblPr>
      <w:tblGrid>
        <w:gridCol w:w="777"/>
        <w:gridCol w:w="5495"/>
      </w:tblGrid>
      <w:tr w:rsidR="00A2416E" w14:paraId="595F037B" w14:textId="77777777">
        <w:trPr>
          <w:trHeight w:val="242"/>
        </w:trPr>
        <w:tc>
          <w:tcPr>
            <w:tcW w:w="777" w:type="dxa"/>
          </w:tcPr>
          <w:p w14:paraId="24B13BD8" w14:textId="77777777" w:rsidR="00A2416E" w:rsidRDefault="00534832">
            <w:pPr>
              <w:pStyle w:val="TableParagraph"/>
              <w:spacing w:before="0" w:line="211" w:lineRule="exact"/>
              <w:ind w:left="200"/>
              <w:rPr>
                <w:i/>
                <w:sz w:val="19"/>
              </w:rPr>
            </w:pPr>
            <w:r>
              <w:rPr>
                <w:i/>
                <w:sz w:val="19"/>
              </w:rPr>
              <w:t>α</w:t>
            </w:r>
          </w:p>
        </w:tc>
        <w:tc>
          <w:tcPr>
            <w:tcW w:w="5495" w:type="dxa"/>
          </w:tcPr>
          <w:p w14:paraId="3E518B6F" w14:textId="77777777" w:rsidR="00A2416E" w:rsidRDefault="00534832">
            <w:pPr>
              <w:pStyle w:val="TableParagraph"/>
              <w:spacing w:before="0" w:line="210" w:lineRule="exact"/>
              <w:ind w:left="57"/>
              <w:rPr>
                <w:sz w:val="19"/>
              </w:rPr>
            </w:pPr>
            <w:r>
              <w:rPr>
                <w:sz w:val="19"/>
              </w:rPr>
              <w:t>προϊόντα καυσίμων που έχουν παραδοθεί και τα οποία πρέπει να αναφερθούν</w:t>
            </w:r>
          </w:p>
        </w:tc>
      </w:tr>
      <w:tr w:rsidR="00A2416E" w14:paraId="32F5B9EE" w14:textId="77777777">
        <w:trPr>
          <w:trHeight w:val="273"/>
        </w:trPr>
        <w:tc>
          <w:tcPr>
            <w:tcW w:w="777" w:type="dxa"/>
          </w:tcPr>
          <w:p w14:paraId="2D155D93" w14:textId="77777777" w:rsidR="00A2416E" w:rsidRDefault="00534832">
            <w:pPr>
              <w:pStyle w:val="TableParagraph"/>
              <w:spacing w:before="23"/>
              <w:ind w:left="200"/>
              <w:rPr>
                <w:i/>
                <w:sz w:val="19"/>
              </w:rPr>
            </w:pPr>
            <w:r>
              <w:rPr>
                <w:i/>
                <w:sz w:val="19"/>
              </w:rPr>
              <w:t>x</w:t>
            </w:r>
          </w:p>
        </w:tc>
        <w:tc>
          <w:tcPr>
            <w:tcW w:w="5495" w:type="dxa"/>
          </w:tcPr>
          <w:p w14:paraId="27B3ACB7" w14:textId="77777777" w:rsidR="00A2416E" w:rsidRDefault="00534832">
            <w:pPr>
              <w:pStyle w:val="TableParagraph"/>
              <w:spacing w:before="23"/>
              <w:ind w:left="57"/>
              <w:rPr>
                <w:sz w:val="19"/>
              </w:rPr>
            </w:pPr>
            <w:r>
              <w:rPr>
                <w:sz w:val="19"/>
              </w:rPr>
              <w:t>συστατικά του προϊόντος που πρέπει να αναφέρονται</w:t>
            </w:r>
          </w:p>
        </w:tc>
      </w:tr>
      <w:tr w:rsidR="00A2416E" w14:paraId="64FD007D" w14:textId="77777777">
        <w:trPr>
          <w:trHeight w:val="526"/>
        </w:trPr>
        <w:tc>
          <w:tcPr>
            <w:tcW w:w="777" w:type="dxa"/>
          </w:tcPr>
          <w:p w14:paraId="17EAA3F3" w14:textId="77777777" w:rsidR="00A2416E" w:rsidRDefault="00534832">
            <w:pPr>
              <w:pStyle w:val="TableParagraph"/>
              <w:spacing w:before="23"/>
              <w:ind w:left="200"/>
              <w:rPr>
                <w:i/>
                <w:sz w:val="11"/>
              </w:rPr>
            </w:pPr>
            <w:r>
              <w:rPr>
                <w:i/>
                <w:sz w:val="19"/>
              </w:rPr>
              <w:t>GHGi</w:t>
            </w:r>
            <w:r>
              <w:rPr>
                <w:i/>
                <w:sz w:val="11"/>
              </w:rPr>
              <w:t>x</w:t>
            </w:r>
          </w:p>
        </w:tc>
        <w:tc>
          <w:tcPr>
            <w:tcW w:w="5495" w:type="dxa"/>
          </w:tcPr>
          <w:p w14:paraId="1FA05581" w14:textId="77777777" w:rsidR="00A2416E" w:rsidRDefault="00534832">
            <w:pPr>
              <w:pStyle w:val="TableParagraph"/>
              <w:spacing w:before="17" w:line="230" w:lineRule="exact"/>
              <w:ind w:left="57"/>
              <w:rPr>
                <w:sz w:val="19"/>
              </w:rPr>
            </w:pPr>
            <w:r>
              <w:rPr>
                <w:sz w:val="19"/>
              </w:rPr>
              <w:t>η ένταση των εκπομπών αερίων του θερμοκηπίου για τα αντίστοιχα συστατικά που περιλαμβάνονται στο προϊόν α, εκφραζόμενη ως g CO</w:t>
            </w:r>
            <w:r>
              <w:rPr>
                <w:sz w:val="11"/>
              </w:rPr>
              <w:t>2</w:t>
            </w:r>
            <w:r>
              <w:rPr>
                <w:sz w:val="19"/>
              </w:rPr>
              <w:t>eq/MJ</w:t>
            </w:r>
          </w:p>
        </w:tc>
      </w:tr>
      <w:tr w:rsidR="00A2416E" w14:paraId="473B90F4" w14:textId="77777777">
        <w:trPr>
          <w:trHeight w:val="480"/>
        </w:trPr>
        <w:tc>
          <w:tcPr>
            <w:tcW w:w="777" w:type="dxa"/>
          </w:tcPr>
          <w:p w14:paraId="5908B850" w14:textId="77777777" w:rsidR="00A2416E" w:rsidRDefault="00534832">
            <w:pPr>
              <w:pStyle w:val="TableParagraph"/>
              <w:spacing w:before="0"/>
              <w:ind w:left="200"/>
              <w:rPr>
                <w:i/>
                <w:sz w:val="11"/>
              </w:rPr>
            </w:pPr>
            <w:r>
              <w:rPr>
                <w:i/>
                <w:sz w:val="19"/>
              </w:rPr>
              <w:t>MJ</w:t>
            </w:r>
            <w:r>
              <w:rPr>
                <w:i/>
                <w:sz w:val="11"/>
              </w:rPr>
              <w:t>x</w:t>
            </w:r>
          </w:p>
        </w:tc>
        <w:tc>
          <w:tcPr>
            <w:tcW w:w="5495" w:type="dxa"/>
          </w:tcPr>
          <w:p w14:paraId="3E93CD66" w14:textId="77777777" w:rsidR="00A2416E" w:rsidRDefault="00534832">
            <w:pPr>
              <w:pStyle w:val="TableParagraph"/>
              <w:spacing w:before="0" w:line="252" w:lineRule="auto"/>
              <w:ind w:left="57"/>
              <w:rPr>
                <w:sz w:val="19"/>
              </w:rPr>
            </w:pPr>
            <w:r>
              <w:rPr>
                <w:sz w:val="19"/>
              </w:rPr>
              <w:t>η ενέργεια που περιλαμβάνεται στα συστατικά που περιλαμβάνονται στο προϊόν α, εκφραζόμενη ως MJ</w:t>
            </w:r>
          </w:p>
        </w:tc>
      </w:tr>
      <w:tr w:rsidR="00A2416E" w14:paraId="245B7179" w14:textId="77777777">
        <w:trPr>
          <w:trHeight w:val="702"/>
        </w:trPr>
        <w:tc>
          <w:tcPr>
            <w:tcW w:w="777" w:type="dxa"/>
          </w:tcPr>
          <w:p w14:paraId="5334C4BE" w14:textId="77777777" w:rsidR="00A2416E" w:rsidRDefault="00534832">
            <w:pPr>
              <w:pStyle w:val="TableParagraph"/>
              <w:spacing w:before="23"/>
              <w:ind w:left="200"/>
              <w:rPr>
                <w:i/>
                <w:sz w:val="11"/>
              </w:rPr>
            </w:pPr>
            <w:r>
              <w:rPr>
                <w:i/>
                <w:sz w:val="19"/>
              </w:rPr>
              <w:t>GHGi</w:t>
            </w:r>
            <w:r>
              <w:rPr>
                <w:i/>
                <w:sz w:val="11"/>
              </w:rPr>
              <w:t>a</w:t>
            </w:r>
          </w:p>
        </w:tc>
        <w:tc>
          <w:tcPr>
            <w:tcW w:w="5495" w:type="dxa"/>
          </w:tcPr>
          <w:p w14:paraId="2A6CA0A4" w14:textId="77777777" w:rsidR="00A2416E" w:rsidRDefault="00534832">
            <w:pPr>
              <w:pStyle w:val="TableParagraph"/>
              <w:spacing w:before="17" w:line="230" w:lineRule="exact"/>
              <w:ind w:left="57" w:right="197"/>
              <w:jc w:val="both"/>
              <w:rPr>
                <w:sz w:val="19"/>
              </w:rPr>
            </w:pPr>
            <w:r>
              <w:rPr>
                <w:sz w:val="19"/>
              </w:rPr>
              <w:t>εκπομπές αερίων του θερμοκηπίου εκφραζόμενες ως g CO</w:t>
            </w:r>
            <w:r>
              <w:rPr>
                <w:sz w:val="11"/>
              </w:rPr>
              <w:t>2</w:t>
            </w:r>
            <w:r>
              <w:rPr>
                <w:sz w:val="19"/>
              </w:rPr>
              <w:t>eq/MJ από όλα τα βιοσυστατικά και τα ορυκτά συστατικά που περιλαμβάνονται στο προϊόν που έχει παραδοθεί.</w:t>
            </w:r>
          </w:p>
        </w:tc>
      </w:tr>
    </w:tbl>
    <w:p w14:paraId="5772BB0F" w14:textId="4AAD7A30" w:rsidR="00A2416E" w:rsidRDefault="001279C3" w:rsidP="001279C3">
      <w:pPr>
        <w:pStyle w:val="Rubrik3"/>
        <w:ind w:left="0" w:right="155"/>
      </w:pPr>
      <w:r>
        <w:rPr>
          <w:lang w:val="sv-SE"/>
        </w:rPr>
        <w:t xml:space="preserve">                                                                                                                                            </w:t>
      </w:r>
      <w:r w:rsidR="00534832">
        <w:t>3</w:t>
      </w:r>
    </w:p>
    <w:p w14:paraId="677F036A" w14:textId="77777777" w:rsidR="00A2416E" w:rsidRDefault="00A2416E">
      <w:pPr>
        <w:jc w:val="right"/>
        <w:sectPr w:rsidR="00A2416E">
          <w:type w:val="continuous"/>
          <w:pgSz w:w="9360" w:h="13720"/>
          <w:pgMar w:top="900" w:right="580" w:bottom="280" w:left="620" w:header="720" w:footer="720" w:gutter="0"/>
          <w:cols w:space="720"/>
        </w:sectPr>
      </w:pPr>
    </w:p>
    <w:p w14:paraId="0EB2F8F7" w14:textId="77777777" w:rsidR="00A2416E" w:rsidRDefault="00534832">
      <w:pPr>
        <w:spacing w:before="73" w:line="228" w:lineRule="auto"/>
        <w:ind w:left="117" w:right="19"/>
        <w:rPr>
          <w:b/>
          <w:sz w:val="21"/>
        </w:rPr>
      </w:pPr>
      <w:bookmarkStart w:id="3" w:name="Utsläppsminskning_i_tidigare_led"/>
      <w:bookmarkStart w:id="4" w:name="Ikraftträdandebestämmelser"/>
      <w:bookmarkEnd w:id="3"/>
      <w:bookmarkEnd w:id="4"/>
      <w:r>
        <w:rPr>
          <w:b/>
          <w:sz w:val="21"/>
        </w:rPr>
        <w:lastRenderedPageBreak/>
        <w:t>STEMFS 2021:2</w:t>
      </w:r>
    </w:p>
    <w:p w14:paraId="0305CE16" w14:textId="77777777" w:rsidR="00A2416E" w:rsidRDefault="00534832">
      <w:pPr>
        <w:pStyle w:val="Brdtext"/>
        <w:spacing w:before="72" w:line="273" w:lineRule="auto"/>
        <w:ind w:left="117" w:right="381"/>
        <w:jc w:val="both"/>
      </w:pPr>
      <w:r>
        <w:br w:type="column"/>
      </w:r>
      <w:r>
        <w:rPr>
          <w:b/>
        </w:rPr>
        <w:t xml:space="preserve">Άρθρο 13 </w:t>
      </w:r>
      <w:r>
        <w:t>Στους υπολογισμούς που προβλέπονται στο άρθρο 12, ένας προμηθευτής καυσίμων υπολογίζει τις εκπομπές αερίων του θερμοκηπίου από ορυκτά συστατικά σύμφωνα με τις σταθμισμένες κανονικές τιμές που προβλέπονται στο παράρτημα 1.</w:t>
      </w:r>
    </w:p>
    <w:p w14:paraId="10BFD7DE" w14:textId="77777777" w:rsidR="00A2416E" w:rsidRDefault="00534832">
      <w:pPr>
        <w:pStyle w:val="Brdtext"/>
        <w:spacing w:before="115" w:line="273" w:lineRule="auto"/>
        <w:ind w:left="117" w:right="381"/>
        <w:jc w:val="both"/>
      </w:pPr>
      <w:r>
        <w:t>Στους υπολογισμούς που προβλέπονται στο άρθρο 12α, ένας προμηθευτής καυσίμου υπολογίζει τις εκπομπές αερίων του θερμοκηπίου από ορυκτά συστατικά σύμφωνα με τις κανονικές τιμές για τη συγκεκριμένη πηγή πρώτων υλών που προβλέπεται στο παράρτημα 1.</w:t>
      </w:r>
    </w:p>
    <w:p w14:paraId="2AC92A22" w14:textId="77777777" w:rsidR="00A2416E" w:rsidRDefault="00A2416E">
      <w:pPr>
        <w:pStyle w:val="Brdtext"/>
        <w:spacing w:before="5"/>
        <w:rPr>
          <w:sz w:val="26"/>
        </w:rPr>
      </w:pPr>
    </w:p>
    <w:p w14:paraId="0262139A" w14:textId="77777777" w:rsidR="00A2416E" w:rsidRDefault="00534832">
      <w:pPr>
        <w:pStyle w:val="Rubrik2"/>
        <w:spacing w:before="0"/>
      </w:pPr>
      <w:r>
        <w:t>Μείωση των εκπομπών κατά το πρώτο στάδιο</w:t>
      </w:r>
    </w:p>
    <w:p w14:paraId="0796A5BC" w14:textId="77777777" w:rsidR="00A2416E" w:rsidRDefault="00534832">
      <w:pPr>
        <w:pStyle w:val="Brdtext"/>
        <w:spacing w:before="141" w:line="273" w:lineRule="auto"/>
        <w:ind w:left="117" w:right="380"/>
        <w:jc w:val="both"/>
      </w:pPr>
      <w:r>
        <w:rPr>
          <w:b/>
        </w:rPr>
        <w:t xml:space="preserve">Άρθρο 16 </w:t>
      </w:r>
      <w:r>
        <w:t>Προκειμένου ένας προμηθευτής καυσίμων να πιστωθεί με μια μείωση των εκπομπών κατά το πρώτο στάδιο κατά τον υπολογισμό της έντασης των εκπομπών αερίων του θερμοκηπίου βάσει του άρθρου 12, ο προμηθευτής καυσίμου οφείλει να αναφέρει τα ακόλουθα στη Σουηδική Υπηρεσία Ενέργειας:</w:t>
      </w:r>
    </w:p>
    <w:p w14:paraId="3960C5E9" w14:textId="77777777" w:rsidR="00A2416E" w:rsidRDefault="00534832">
      <w:pPr>
        <w:pStyle w:val="Liststycke"/>
        <w:numPr>
          <w:ilvl w:val="0"/>
          <w:numId w:val="1"/>
        </w:numPr>
        <w:tabs>
          <w:tab w:val="left" w:pos="316"/>
        </w:tabs>
        <w:jc w:val="both"/>
        <w:rPr>
          <w:sz w:val="19"/>
        </w:rPr>
      </w:pPr>
      <w:r>
        <w:rPr>
          <w:sz w:val="19"/>
        </w:rPr>
        <w:t>την ημερομηνία έναρξης του έργου, η οποία πρέπει να είναι μεταγενέστερη της 1ης Ιανουαρίου 2011,</w:t>
      </w:r>
    </w:p>
    <w:p w14:paraId="50955759" w14:textId="77777777" w:rsidR="00A2416E" w:rsidRDefault="00534832">
      <w:pPr>
        <w:pStyle w:val="Liststycke"/>
        <w:numPr>
          <w:ilvl w:val="0"/>
          <w:numId w:val="1"/>
        </w:numPr>
        <w:tabs>
          <w:tab w:val="left" w:pos="316"/>
        </w:tabs>
        <w:jc w:val="both"/>
        <w:rPr>
          <w:sz w:val="19"/>
        </w:rPr>
      </w:pPr>
      <w:r>
        <w:rPr>
          <w:sz w:val="19"/>
        </w:rPr>
        <w:t>την ετήσια μείωση των εκπομπών ως g CO</w:t>
      </w:r>
      <w:r>
        <w:rPr>
          <w:sz w:val="11"/>
        </w:rPr>
        <w:t>2</w:t>
      </w:r>
      <w:r>
        <w:rPr>
          <w:sz w:val="19"/>
        </w:rPr>
        <w:t>eq,</w:t>
      </w:r>
    </w:p>
    <w:p w14:paraId="0C44C87A" w14:textId="77777777" w:rsidR="00A2416E" w:rsidRDefault="00534832">
      <w:pPr>
        <w:pStyle w:val="Liststycke"/>
        <w:numPr>
          <w:ilvl w:val="0"/>
          <w:numId w:val="1"/>
        </w:numPr>
        <w:tabs>
          <w:tab w:val="left" w:pos="316"/>
        </w:tabs>
        <w:spacing w:before="25"/>
        <w:jc w:val="both"/>
        <w:rPr>
          <w:sz w:val="19"/>
        </w:rPr>
      </w:pPr>
      <w:r>
        <w:rPr>
          <w:sz w:val="19"/>
        </w:rPr>
        <w:t>την περίοδο κατά την οποία πραγματοποιήθηκε η υποτιθέμενη μείωση,</w:t>
      </w:r>
    </w:p>
    <w:p w14:paraId="45CBAD50" w14:textId="77777777" w:rsidR="00A2416E" w:rsidRDefault="00534832">
      <w:pPr>
        <w:pStyle w:val="Liststycke"/>
        <w:numPr>
          <w:ilvl w:val="0"/>
          <w:numId w:val="1"/>
        </w:numPr>
        <w:tabs>
          <w:tab w:val="left" w:pos="316"/>
        </w:tabs>
        <w:spacing w:line="252" w:lineRule="auto"/>
        <w:ind w:right="381"/>
        <w:jc w:val="both"/>
        <w:rPr>
          <w:sz w:val="19"/>
        </w:rPr>
      </w:pPr>
      <w:r>
        <w:rPr>
          <w:sz w:val="19"/>
        </w:rPr>
        <w:t>τη γεωγραφική θέση του έργου που βρίσκεται πλησιέστερα στην πηγή εκπομπών, όπως συντεταγμένες γεωγραφικού πλάτους και γεωγραφικού μήκους σε μοίρες στρογγυλοποιημένες στο τέταρτο δεκαδικό ψηφίο,</w:t>
      </w:r>
    </w:p>
    <w:p w14:paraId="31C4AA5C" w14:textId="77777777" w:rsidR="00A2416E" w:rsidRDefault="00534832">
      <w:pPr>
        <w:pStyle w:val="Liststycke"/>
        <w:numPr>
          <w:ilvl w:val="0"/>
          <w:numId w:val="1"/>
        </w:numPr>
        <w:tabs>
          <w:tab w:val="left" w:pos="316"/>
        </w:tabs>
        <w:spacing w:before="65" w:line="230" w:lineRule="auto"/>
        <w:ind w:right="382"/>
        <w:jc w:val="both"/>
        <w:rPr>
          <w:sz w:val="19"/>
        </w:rPr>
      </w:pPr>
      <w:r>
        <w:rPr>
          <w:sz w:val="19"/>
        </w:rPr>
        <w:t>το ελάχιστο πρότυπο για τις ετήσιες εκπομπές πριν από τη θέσπιση των μέτρων μείωσης και τις ετήσιες εκπομπές μετά την εφαρμογή των μέτρων μείωσης ως CO</w:t>
      </w:r>
      <w:r>
        <w:rPr>
          <w:sz w:val="11"/>
        </w:rPr>
        <w:t>2</w:t>
      </w:r>
      <w:r>
        <w:rPr>
          <w:sz w:val="19"/>
        </w:rPr>
        <w:t>eq/MJ για την παραγόμενη πρώτη ύλη,</w:t>
      </w:r>
    </w:p>
    <w:p w14:paraId="60C84C29" w14:textId="77777777" w:rsidR="00A2416E" w:rsidRDefault="00534832">
      <w:pPr>
        <w:pStyle w:val="Liststycke"/>
        <w:numPr>
          <w:ilvl w:val="0"/>
          <w:numId w:val="1"/>
        </w:numPr>
        <w:tabs>
          <w:tab w:val="left" w:pos="316"/>
        </w:tabs>
        <w:jc w:val="both"/>
        <w:rPr>
          <w:sz w:val="19"/>
        </w:rPr>
      </w:pPr>
      <w:r>
        <w:rPr>
          <w:sz w:val="19"/>
        </w:rPr>
        <w:t>έναν μη επαναχρησιμοποιούμενο αριθμό πιστοποιητικού που προσδιορίζει μοναδικά το σύστημα και</w:t>
      </w:r>
    </w:p>
    <w:p w14:paraId="7F1E9855" w14:textId="77777777" w:rsidR="00A2416E" w:rsidRDefault="00534832">
      <w:pPr>
        <w:pStyle w:val="Brdtext"/>
        <w:spacing w:before="12"/>
        <w:ind w:left="315"/>
        <w:jc w:val="both"/>
      </w:pPr>
      <w:r>
        <w:t>τις απαιτούμενες μειώσεις αερίων θερμοκηπίου,</w:t>
      </w:r>
    </w:p>
    <w:p w14:paraId="53C6F41B" w14:textId="77777777" w:rsidR="00A2416E" w:rsidRDefault="00534832">
      <w:pPr>
        <w:pStyle w:val="Liststycke"/>
        <w:numPr>
          <w:ilvl w:val="0"/>
          <w:numId w:val="1"/>
        </w:numPr>
        <w:tabs>
          <w:tab w:val="left" w:pos="316"/>
        </w:tabs>
        <w:jc w:val="both"/>
        <w:rPr>
          <w:sz w:val="19"/>
        </w:rPr>
      </w:pPr>
      <w:r>
        <w:rPr>
          <w:sz w:val="19"/>
        </w:rPr>
        <w:t>έναν μη επαναχρησιμοποιούμενο αριθμό που προσδιορίζει μοναδικά τη μέθοδο υπολογισμού και</w:t>
      </w:r>
    </w:p>
    <w:p w14:paraId="128F9A23" w14:textId="77777777" w:rsidR="00A2416E" w:rsidRDefault="00534832">
      <w:pPr>
        <w:pStyle w:val="Brdtext"/>
        <w:spacing w:before="11"/>
        <w:ind w:left="315"/>
        <w:jc w:val="both"/>
      </w:pPr>
      <w:r>
        <w:t>το σχετιζόμενο σύστημα.</w:t>
      </w:r>
    </w:p>
    <w:p w14:paraId="2A18DA87" w14:textId="77777777" w:rsidR="00A2416E" w:rsidRDefault="00A2416E">
      <w:pPr>
        <w:pStyle w:val="Brdtext"/>
        <w:rPr>
          <w:sz w:val="29"/>
        </w:rPr>
      </w:pPr>
    </w:p>
    <w:p w14:paraId="16842E29" w14:textId="77777777" w:rsidR="00A2416E" w:rsidRDefault="00534832">
      <w:pPr>
        <w:pStyle w:val="Rubrik2"/>
        <w:spacing w:before="0"/>
      </w:pPr>
      <w:r>
        <w:t>Διατάξεις έναρξης ισχύος</w:t>
      </w:r>
    </w:p>
    <w:p w14:paraId="67EB8873" w14:textId="77777777" w:rsidR="00A2416E" w:rsidRDefault="00534832" w:rsidP="00ED2D5D">
      <w:pPr>
        <w:pStyle w:val="Brdtext"/>
        <w:spacing w:before="140" w:line="461" w:lineRule="auto"/>
        <w:ind w:left="119" w:right="794"/>
      </w:pPr>
      <w:r>
        <w:t>Οι παρόντες κανονισμοί τίθενται σε ισχύ την 24η Φεβρουαρίου 2021. Εξ ονόματος της σουηδικής υπηρεσίας ενέργειας</w:t>
      </w:r>
    </w:p>
    <w:p w14:paraId="51DE8E66" w14:textId="77777777" w:rsidR="00A2416E" w:rsidRDefault="00A2416E">
      <w:pPr>
        <w:spacing w:line="460" w:lineRule="auto"/>
        <w:sectPr w:rsidR="00A2416E">
          <w:pgSz w:w="9360" w:h="13720"/>
          <w:pgMar w:top="940" w:right="580" w:bottom="280" w:left="620" w:header="720" w:footer="720" w:gutter="0"/>
          <w:cols w:num="2" w:space="720" w:equalWidth="0">
            <w:col w:w="997" w:space="703"/>
            <w:col w:w="6460"/>
          </w:cols>
        </w:sectPr>
      </w:pPr>
    </w:p>
    <w:p w14:paraId="6209CB19" w14:textId="77777777" w:rsidR="00A2416E" w:rsidRDefault="00A2416E">
      <w:pPr>
        <w:pStyle w:val="Brdtext"/>
        <w:spacing w:before="8"/>
        <w:rPr>
          <w:sz w:val="28"/>
        </w:rPr>
      </w:pPr>
    </w:p>
    <w:p w14:paraId="2CC17B70" w14:textId="77777777" w:rsidR="00A2416E" w:rsidRDefault="00534832">
      <w:pPr>
        <w:pStyle w:val="Brdtext"/>
        <w:spacing w:before="92"/>
        <w:ind w:left="1817"/>
      </w:pPr>
      <w:r>
        <w:t>Robert Andrén</w:t>
      </w:r>
    </w:p>
    <w:p w14:paraId="15A94D1C" w14:textId="77777777" w:rsidR="00A2416E" w:rsidRDefault="00A2416E">
      <w:pPr>
        <w:pStyle w:val="Brdtext"/>
        <w:spacing w:before="6"/>
        <w:rPr>
          <w:sz w:val="17"/>
        </w:rPr>
      </w:pPr>
    </w:p>
    <w:p w14:paraId="1AFFE159" w14:textId="77777777" w:rsidR="00A2416E" w:rsidRDefault="00534832">
      <w:pPr>
        <w:pStyle w:val="Brdtext"/>
        <w:ind w:left="3265" w:right="2636"/>
        <w:jc w:val="center"/>
      </w:pPr>
      <w:r>
        <w:t>Ulf Jonson</w:t>
      </w:r>
    </w:p>
    <w:p w14:paraId="6574D352" w14:textId="77777777" w:rsidR="00A2416E" w:rsidRDefault="00A2416E">
      <w:pPr>
        <w:pStyle w:val="Brdtext"/>
        <w:rPr>
          <w:sz w:val="20"/>
        </w:rPr>
      </w:pPr>
    </w:p>
    <w:p w14:paraId="4DDBCF46" w14:textId="77777777" w:rsidR="00A2416E" w:rsidRDefault="00A2416E">
      <w:pPr>
        <w:pStyle w:val="Brdtext"/>
        <w:rPr>
          <w:sz w:val="20"/>
        </w:rPr>
      </w:pPr>
    </w:p>
    <w:p w14:paraId="04AB8C25" w14:textId="77777777" w:rsidR="00A2416E" w:rsidRDefault="00A2416E">
      <w:pPr>
        <w:pStyle w:val="Brdtext"/>
        <w:rPr>
          <w:sz w:val="20"/>
        </w:rPr>
      </w:pPr>
    </w:p>
    <w:p w14:paraId="442C2781" w14:textId="77777777" w:rsidR="00A2416E" w:rsidRDefault="00A2416E">
      <w:pPr>
        <w:pStyle w:val="Brdtext"/>
        <w:rPr>
          <w:sz w:val="20"/>
        </w:rPr>
      </w:pPr>
    </w:p>
    <w:p w14:paraId="6CF46550" w14:textId="77777777" w:rsidR="00A2416E" w:rsidRDefault="00A2416E">
      <w:pPr>
        <w:pStyle w:val="Brdtext"/>
        <w:rPr>
          <w:sz w:val="20"/>
        </w:rPr>
      </w:pPr>
    </w:p>
    <w:p w14:paraId="247B32BC" w14:textId="77777777" w:rsidR="00A2416E" w:rsidRDefault="00534832" w:rsidP="00ED2D5D">
      <w:pPr>
        <w:pStyle w:val="Rubrik3"/>
        <w:spacing w:before="112"/>
        <w:ind w:left="0"/>
      </w:pPr>
      <w:r>
        <w:t>4</w:t>
      </w:r>
    </w:p>
    <w:p w14:paraId="25560BB9" w14:textId="77777777" w:rsidR="00A2416E" w:rsidRDefault="00A2416E">
      <w:pPr>
        <w:sectPr w:rsidR="00A2416E">
          <w:type w:val="continuous"/>
          <w:pgSz w:w="9360" w:h="13720"/>
          <w:pgMar w:top="900" w:right="580" w:bottom="280" w:left="620" w:header="720" w:footer="720" w:gutter="0"/>
          <w:cols w:space="720"/>
        </w:sectPr>
      </w:pPr>
    </w:p>
    <w:p w14:paraId="710C7F3D" w14:textId="77777777" w:rsidR="00A2416E" w:rsidRDefault="00534832">
      <w:pPr>
        <w:spacing w:before="71"/>
        <w:ind w:right="38"/>
        <w:jc w:val="right"/>
        <w:rPr>
          <w:b/>
          <w:sz w:val="26"/>
        </w:rPr>
      </w:pPr>
      <w:bookmarkStart w:id="5" w:name="Bilaga_1"/>
      <w:bookmarkStart w:id="6" w:name="Genomsnittliga_normalvärden_för_växthusg"/>
      <w:bookmarkEnd w:id="5"/>
      <w:bookmarkEnd w:id="6"/>
      <w:r>
        <w:rPr>
          <w:b/>
          <w:sz w:val="26"/>
        </w:rPr>
        <w:lastRenderedPageBreak/>
        <w:t>Παράρτημα 1</w:t>
      </w:r>
    </w:p>
    <w:p w14:paraId="077A287F" w14:textId="77777777" w:rsidR="00A2416E" w:rsidRDefault="00A2416E">
      <w:pPr>
        <w:pStyle w:val="Brdtext"/>
        <w:spacing w:before="6"/>
        <w:rPr>
          <w:b/>
          <w:sz w:val="28"/>
        </w:rPr>
      </w:pPr>
    </w:p>
    <w:p w14:paraId="747041D0" w14:textId="77777777" w:rsidR="00A2416E" w:rsidRDefault="00534832">
      <w:pPr>
        <w:spacing w:line="228" w:lineRule="auto"/>
        <w:ind w:left="400"/>
        <w:rPr>
          <w:b/>
        </w:rPr>
      </w:pPr>
      <w:r>
        <w:rPr>
          <w:b/>
        </w:rPr>
        <w:t>Μέση κανονική ένταση εκπομπών αερίων θερμοκηπίου κύκλου ζωής για τα συστατικά ορυκτών καυσίμων</w:t>
      </w:r>
    </w:p>
    <w:p w14:paraId="1199B2D0" w14:textId="77777777" w:rsidR="00A2416E" w:rsidRDefault="00534832">
      <w:pPr>
        <w:pStyle w:val="Rubrik2"/>
        <w:spacing w:before="93" w:line="228" w:lineRule="auto"/>
        <w:ind w:left="400" w:right="134"/>
      </w:pPr>
      <w:r>
        <w:br w:type="column"/>
      </w:r>
      <w:r>
        <w:t>STEMFS 2021:2</w:t>
      </w:r>
    </w:p>
    <w:p w14:paraId="506D9EEB" w14:textId="77777777" w:rsidR="00A2416E" w:rsidRDefault="00A2416E">
      <w:pPr>
        <w:spacing w:line="228" w:lineRule="auto"/>
        <w:sectPr w:rsidR="00A2416E">
          <w:pgSz w:w="9360" w:h="13720"/>
          <w:pgMar w:top="920" w:right="580" w:bottom="280" w:left="620" w:header="720" w:footer="720" w:gutter="0"/>
          <w:cols w:num="2" w:space="720" w:equalWidth="0">
            <w:col w:w="6337" w:space="428"/>
            <w:col w:w="1395"/>
          </w:cols>
        </w:sectPr>
      </w:pPr>
    </w:p>
    <w:p w14:paraId="1876708B" w14:textId="77777777" w:rsidR="00A2416E" w:rsidRDefault="00A2416E">
      <w:pPr>
        <w:pStyle w:val="Brdtext"/>
        <w:spacing w:before="9"/>
        <w:rPr>
          <w:b/>
          <w:sz w:val="17"/>
        </w:rPr>
      </w:pPr>
    </w:p>
    <w:tbl>
      <w:tblPr>
        <w:tblStyle w:val="TableNormal1"/>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2"/>
        <w:gridCol w:w="1881"/>
        <w:gridCol w:w="1361"/>
        <w:gridCol w:w="1574"/>
      </w:tblGrid>
      <w:tr w:rsidR="00A2416E" w14:paraId="13BAB754" w14:textId="77777777" w:rsidTr="00440759">
        <w:trPr>
          <w:trHeight w:val="895"/>
        </w:trPr>
        <w:tc>
          <w:tcPr>
            <w:tcW w:w="2152" w:type="dxa"/>
            <w:tcBorders>
              <w:left w:val="nil"/>
              <w:right w:val="single" w:sz="6" w:space="0" w:color="000000"/>
            </w:tcBorders>
          </w:tcPr>
          <w:p w14:paraId="12C84FCD" w14:textId="77777777" w:rsidR="00A2416E" w:rsidRDefault="00534832">
            <w:pPr>
              <w:pStyle w:val="TableParagraph"/>
              <w:spacing w:before="67"/>
              <w:ind w:left="7"/>
              <w:rPr>
                <w:b/>
                <w:sz w:val="16"/>
              </w:rPr>
            </w:pPr>
            <w:r>
              <w:rPr>
                <w:b/>
                <w:sz w:val="16"/>
              </w:rPr>
              <w:t>Πηγή και επεξεργασία πρώτων υλών</w:t>
            </w:r>
          </w:p>
        </w:tc>
        <w:tc>
          <w:tcPr>
            <w:tcW w:w="1881" w:type="dxa"/>
            <w:tcBorders>
              <w:left w:val="single" w:sz="6" w:space="0" w:color="000000"/>
              <w:right w:val="single" w:sz="6" w:space="0" w:color="000000"/>
            </w:tcBorders>
          </w:tcPr>
          <w:p w14:paraId="29AA3401" w14:textId="77777777" w:rsidR="00A2416E" w:rsidRDefault="00534832">
            <w:pPr>
              <w:pStyle w:val="TableParagraph"/>
              <w:spacing w:before="67" w:line="247" w:lineRule="auto"/>
              <w:ind w:right="113"/>
              <w:rPr>
                <w:b/>
                <w:sz w:val="16"/>
              </w:rPr>
            </w:pPr>
            <w:r>
              <w:rPr>
                <w:b/>
                <w:sz w:val="16"/>
              </w:rPr>
              <w:t>Καύσιμα που διατίθενται στην αγορά</w:t>
            </w:r>
          </w:p>
        </w:tc>
        <w:tc>
          <w:tcPr>
            <w:tcW w:w="1361" w:type="dxa"/>
            <w:tcBorders>
              <w:left w:val="single" w:sz="6" w:space="0" w:color="000000"/>
              <w:right w:val="single" w:sz="6" w:space="0" w:color="000000"/>
            </w:tcBorders>
          </w:tcPr>
          <w:p w14:paraId="0199DD9D" w14:textId="77777777" w:rsidR="00A2416E" w:rsidRDefault="00534832" w:rsidP="00440759">
            <w:pPr>
              <w:pStyle w:val="TableParagraph"/>
              <w:spacing w:before="67" w:line="247" w:lineRule="auto"/>
              <w:ind w:left="113"/>
              <w:rPr>
                <w:b/>
                <w:sz w:val="16"/>
              </w:rPr>
            </w:pPr>
            <w:r>
              <w:rPr>
                <w:b/>
                <w:sz w:val="16"/>
              </w:rPr>
              <w:t>Ένταση εκπομπών αερίων θερμοκηπίου κύκλου ζωής (gCO</w:t>
            </w:r>
            <w:r>
              <w:rPr>
                <w:b/>
                <w:sz w:val="9"/>
              </w:rPr>
              <w:t>2</w:t>
            </w:r>
            <w:r>
              <w:rPr>
                <w:b/>
                <w:sz w:val="16"/>
              </w:rPr>
              <w:t>eq/MJ)</w:t>
            </w:r>
          </w:p>
        </w:tc>
        <w:tc>
          <w:tcPr>
            <w:tcW w:w="1574" w:type="dxa"/>
            <w:tcBorders>
              <w:left w:val="single" w:sz="6" w:space="0" w:color="000000"/>
              <w:right w:val="nil"/>
            </w:tcBorders>
          </w:tcPr>
          <w:p w14:paraId="06D77BF2" w14:textId="77777777" w:rsidR="00A2416E" w:rsidRDefault="00534832" w:rsidP="00440759">
            <w:pPr>
              <w:pStyle w:val="TableParagraph"/>
              <w:spacing w:before="67" w:line="247" w:lineRule="auto"/>
              <w:ind w:left="113"/>
              <w:rPr>
                <w:b/>
                <w:sz w:val="16"/>
              </w:rPr>
            </w:pPr>
            <w:r>
              <w:rPr>
                <w:b/>
                <w:sz w:val="16"/>
              </w:rPr>
              <w:t>Σταθμισμένη ένταση εκπομπών αερίων του θερμοκηπίου κύκλου ζωής (gCO</w:t>
            </w:r>
            <w:r>
              <w:rPr>
                <w:b/>
                <w:sz w:val="9"/>
              </w:rPr>
              <w:t>2</w:t>
            </w:r>
            <w:r>
              <w:rPr>
                <w:b/>
                <w:sz w:val="16"/>
              </w:rPr>
              <w:t>eq/MJ)</w:t>
            </w:r>
          </w:p>
        </w:tc>
      </w:tr>
      <w:tr w:rsidR="00A2416E" w14:paraId="3873426A" w14:textId="77777777" w:rsidTr="00440759">
        <w:trPr>
          <w:trHeight w:val="280"/>
        </w:trPr>
        <w:tc>
          <w:tcPr>
            <w:tcW w:w="2152" w:type="dxa"/>
            <w:tcBorders>
              <w:left w:val="nil"/>
              <w:bottom w:val="single" w:sz="6" w:space="0" w:color="000000"/>
              <w:right w:val="single" w:sz="6" w:space="0" w:color="000000"/>
            </w:tcBorders>
          </w:tcPr>
          <w:p w14:paraId="7D17CA45" w14:textId="77777777" w:rsidR="00A2416E" w:rsidRDefault="00534832">
            <w:pPr>
              <w:pStyle w:val="TableParagraph"/>
              <w:spacing w:before="44"/>
              <w:ind w:left="7"/>
              <w:rPr>
                <w:sz w:val="10"/>
              </w:rPr>
            </w:pPr>
            <w:r>
              <w:rPr>
                <w:sz w:val="17"/>
              </w:rPr>
              <w:t>Συμβατικό αργό πετρέλαιο</w:t>
            </w:r>
            <w:r>
              <w:rPr>
                <w:sz w:val="10"/>
              </w:rPr>
              <w:t>1</w:t>
            </w:r>
          </w:p>
        </w:tc>
        <w:tc>
          <w:tcPr>
            <w:tcW w:w="1881" w:type="dxa"/>
            <w:vMerge w:val="restart"/>
            <w:tcBorders>
              <w:left w:val="single" w:sz="6" w:space="0" w:color="000000"/>
              <w:bottom w:val="single" w:sz="6" w:space="0" w:color="000000"/>
              <w:right w:val="single" w:sz="6" w:space="0" w:color="000000"/>
            </w:tcBorders>
          </w:tcPr>
          <w:p w14:paraId="14B7BCD5" w14:textId="77777777" w:rsidR="00A2416E" w:rsidRDefault="00534832">
            <w:pPr>
              <w:pStyle w:val="TableParagraph"/>
              <w:spacing w:before="44"/>
              <w:rPr>
                <w:sz w:val="17"/>
              </w:rPr>
            </w:pPr>
            <w:r>
              <w:rPr>
                <w:sz w:val="17"/>
              </w:rPr>
              <w:t>Βενζίνη</w:t>
            </w:r>
          </w:p>
        </w:tc>
        <w:tc>
          <w:tcPr>
            <w:tcW w:w="1361" w:type="dxa"/>
            <w:tcBorders>
              <w:left w:val="single" w:sz="6" w:space="0" w:color="000000"/>
              <w:bottom w:val="single" w:sz="6" w:space="0" w:color="000000"/>
              <w:right w:val="single" w:sz="6" w:space="0" w:color="000000"/>
            </w:tcBorders>
          </w:tcPr>
          <w:p w14:paraId="67D3E7B5" w14:textId="77777777" w:rsidR="00A2416E" w:rsidRDefault="00534832">
            <w:pPr>
              <w:pStyle w:val="TableParagraph"/>
              <w:spacing w:before="44"/>
              <w:rPr>
                <w:sz w:val="17"/>
              </w:rPr>
            </w:pPr>
            <w:r>
              <w:rPr>
                <w:sz w:val="17"/>
              </w:rPr>
              <w:t>93.2</w:t>
            </w:r>
          </w:p>
        </w:tc>
        <w:tc>
          <w:tcPr>
            <w:tcW w:w="1574" w:type="dxa"/>
            <w:tcBorders>
              <w:left w:val="single" w:sz="6" w:space="0" w:color="000000"/>
              <w:bottom w:val="single" w:sz="6" w:space="0" w:color="000000"/>
              <w:right w:val="nil"/>
            </w:tcBorders>
          </w:tcPr>
          <w:p w14:paraId="476CEAA9" w14:textId="77777777" w:rsidR="00A2416E" w:rsidRDefault="00534832">
            <w:pPr>
              <w:pStyle w:val="TableParagraph"/>
              <w:spacing w:before="44"/>
              <w:rPr>
                <w:sz w:val="17"/>
              </w:rPr>
            </w:pPr>
            <w:r>
              <w:rPr>
                <w:sz w:val="17"/>
              </w:rPr>
              <w:t>93.3</w:t>
            </w:r>
          </w:p>
        </w:tc>
      </w:tr>
      <w:tr w:rsidR="00A2416E" w14:paraId="73B9A7AC" w14:textId="77777777" w:rsidTr="00440759">
        <w:trPr>
          <w:trHeight w:val="272"/>
        </w:trPr>
        <w:tc>
          <w:tcPr>
            <w:tcW w:w="2152" w:type="dxa"/>
            <w:tcBorders>
              <w:top w:val="single" w:sz="6" w:space="0" w:color="000000"/>
              <w:left w:val="nil"/>
              <w:bottom w:val="single" w:sz="6" w:space="0" w:color="000000"/>
              <w:right w:val="single" w:sz="6" w:space="0" w:color="000000"/>
            </w:tcBorders>
          </w:tcPr>
          <w:p w14:paraId="38C7C15D" w14:textId="77777777" w:rsidR="00A2416E" w:rsidRDefault="00534832">
            <w:pPr>
              <w:pStyle w:val="TableParagraph"/>
              <w:ind w:left="7"/>
              <w:rPr>
                <w:sz w:val="17"/>
              </w:rPr>
            </w:pPr>
            <w:r>
              <w:rPr>
                <w:sz w:val="17"/>
              </w:rPr>
              <w:t>Υγροποιημένο φυσικό αέριο</w:t>
            </w:r>
          </w:p>
        </w:tc>
        <w:tc>
          <w:tcPr>
            <w:tcW w:w="1881" w:type="dxa"/>
            <w:vMerge/>
            <w:tcBorders>
              <w:top w:val="nil"/>
              <w:left w:val="single" w:sz="6" w:space="0" w:color="000000"/>
              <w:bottom w:val="single" w:sz="6" w:space="0" w:color="000000"/>
              <w:right w:val="single" w:sz="6" w:space="0" w:color="000000"/>
            </w:tcBorders>
          </w:tcPr>
          <w:p w14:paraId="6251D2FE" w14:textId="77777777" w:rsidR="00A2416E" w:rsidRDefault="00A2416E">
            <w:pPr>
              <w:rPr>
                <w:sz w:val="2"/>
                <w:szCs w:val="2"/>
              </w:rPr>
            </w:pPr>
          </w:p>
        </w:tc>
        <w:tc>
          <w:tcPr>
            <w:tcW w:w="1361" w:type="dxa"/>
            <w:tcBorders>
              <w:top w:val="single" w:sz="6" w:space="0" w:color="000000"/>
              <w:left w:val="single" w:sz="6" w:space="0" w:color="000000"/>
              <w:bottom w:val="single" w:sz="6" w:space="0" w:color="000000"/>
              <w:right w:val="single" w:sz="6" w:space="0" w:color="000000"/>
            </w:tcBorders>
          </w:tcPr>
          <w:p w14:paraId="78183BAD" w14:textId="77777777" w:rsidR="00A2416E" w:rsidRDefault="00534832">
            <w:pPr>
              <w:pStyle w:val="TableParagraph"/>
              <w:rPr>
                <w:sz w:val="17"/>
              </w:rPr>
            </w:pPr>
            <w:r>
              <w:rPr>
                <w:sz w:val="17"/>
              </w:rPr>
              <w:t>94.3</w:t>
            </w:r>
          </w:p>
        </w:tc>
        <w:tc>
          <w:tcPr>
            <w:tcW w:w="1574" w:type="dxa"/>
            <w:tcBorders>
              <w:top w:val="single" w:sz="6" w:space="0" w:color="000000"/>
              <w:left w:val="single" w:sz="6" w:space="0" w:color="000000"/>
              <w:bottom w:val="single" w:sz="6" w:space="0" w:color="000000"/>
              <w:right w:val="nil"/>
            </w:tcBorders>
          </w:tcPr>
          <w:p w14:paraId="54B66125" w14:textId="77777777" w:rsidR="00A2416E" w:rsidRDefault="00A2416E">
            <w:pPr>
              <w:pStyle w:val="TableParagraph"/>
              <w:spacing w:before="0"/>
              <w:ind w:left="0"/>
              <w:rPr>
                <w:sz w:val="16"/>
              </w:rPr>
            </w:pPr>
          </w:p>
        </w:tc>
      </w:tr>
      <w:tr w:rsidR="00A2416E" w14:paraId="4BAF8354" w14:textId="77777777" w:rsidTr="00440759">
        <w:trPr>
          <w:trHeight w:val="462"/>
        </w:trPr>
        <w:tc>
          <w:tcPr>
            <w:tcW w:w="2152" w:type="dxa"/>
            <w:tcBorders>
              <w:top w:val="single" w:sz="6" w:space="0" w:color="000000"/>
              <w:left w:val="nil"/>
              <w:bottom w:val="single" w:sz="6" w:space="0" w:color="000000"/>
              <w:right w:val="single" w:sz="6" w:space="0" w:color="000000"/>
            </w:tcBorders>
          </w:tcPr>
          <w:p w14:paraId="34626C85" w14:textId="77777777" w:rsidR="00A2416E" w:rsidRDefault="00534832">
            <w:pPr>
              <w:pStyle w:val="TableParagraph"/>
              <w:spacing w:before="41" w:line="232" w:lineRule="auto"/>
              <w:ind w:left="7" w:right="396"/>
              <w:rPr>
                <w:sz w:val="17"/>
              </w:rPr>
            </w:pPr>
            <w:r>
              <w:rPr>
                <w:sz w:val="17"/>
              </w:rPr>
              <w:t>Συνθετικό έλαιο που λαμβάνεται από άνθρακα</w:t>
            </w:r>
          </w:p>
        </w:tc>
        <w:tc>
          <w:tcPr>
            <w:tcW w:w="1881" w:type="dxa"/>
            <w:vMerge/>
            <w:tcBorders>
              <w:top w:val="nil"/>
              <w:left w:val="single" w:sz="6" w:space="0" w:color="000000"/>
              <w:bottom w:val="single" w:sz="6" w:space="0" w:color="000000"/>
              <w:right w:val="single" w:sz="6" w:space="0" w:color="000000"/>
            </w:tcBorders>
          </w:tcPr>
          <w:p w14:paraId="3EE9E7AF" w14:textId="77777777" w:rsidR="00A2416E" w:rsidRDefault="00A2416E">
            <w:pPr>
              <w:rPr>
                <w:sz w:val="2"/>
                <w:szCs w:val="2"/>
              </w:rPr>
            </w:pPr>
          </w:p>
        </w:tc>
        <w:tc>
          <w:tcPr>
            <w:tcW w:w="1361" w:type="dxa"/>
            <w:tcBorders>
              <w:top w:val="single" w:sz="6" w:space="0" w:color="000000"/>
              <w:left w:val="single" w:sz="6" w:space="0" w:color="000000"/>
              <w:bottom w:val="single" w:sz="6" w:space="0" w:color="000000"/>
              <w:right w:val="single" w:sz="6" w:space="0" w:color="000000"/>
            </w:tcBorders>
          </w:tcPr>
          <w:p w14:paraId="2E69F559" w14:textId="77777777" w:rsidR="00A2416E" w:rsidRDefault="00534832">
            <w:pPr>
              <w:pStyle w:val="TableParagraph"/>
              <w:rPr>
                <w:sz w:val="17"/>
              </w:rPr>
            </w:pPr>
            <w:r>
              <w:rPr>
                <w:sz w:val="17"/>
              </w:rPr>
              <w:t>172</w:t>
            </w:r>
          </w:p>
        </w:tc>
        <w:tc>
          <w:tcPr>
            <w:tcW w:w="1574" w:type="dxa"/>
            <w:tcBorders>
              <w:top w:val="single" w:sz="6" w:space="0" w:color="000000"/>
              <w:left w:val="single" w:sz="6" w:space="0" w:color="000000"/>
              <w:bottom w:val="single" w:sz="6" w:space="0" w:color="000000"/>
              <w:right w:val="nil"/>
            </w:tcBorders>
          </w:tcPr>
          <w:p w14:paraId="31F629D4" w14:textId="77777777" w:rsidR="00A2416E" w:rsidRDefault="00A2416E">
            <w:pPr>
              <w:pStyle w:val="TableParagraph"/>
              <w:spacing w:before="0"/>
              <w:ind w:left="0"/>
              <w:rPr>
                <w:sz w:val="16"/>
              </w:rPr>
            </w:pPr>
          </w:p>
        </w:tc>
      </w:tr>
      <w:tr w:rsidR="00A2416E" w14:paraId="12BEE648" w14:textId="77777777" w:rsidTr="00440759">
        <w:trPr>
          <w:trHeight w:val="272"/>
        </w:trPr>
        <w:tc>
          <w:tcPr>
            <w:tcW w:w="2152" w:type="dxa"/>
            <w:tcBorders>
              <w:top w:val="single" w:sz="6" w:space="0" w:color="000000"/>
              <w:left w:val="nil"/>
              <w:bottom w:val="single" w:sz="6" w:space="0" w:color="000000"/>
              <w:right w:val="single" w:sz="6" w:space="0" w:color="000000"/>
            </w:tcBorders>
          </w:tcPr>
          <w:p w14:paraId="274E1B23" w14:textId="77777777" w:rsidR="00A2416E" w:rsidRDefault="00534832">
            <w:pPr>
              <w:pStyle w:val="TableParagraph"/>
              <w:ind w:left="7"/>
              <w:rPr>
                <w:sz w:val="10"/>
              </w:rPr>
            </w:pPr>
            <w:r>
              <w:rPr>
                <w:sz w:val="17"/>
              </w:rPr>
              <w:t>Φυσική άσφαλτος</w:t>
            </w:r>
            <w:r>
              <w:rPr>
                <w:sz w:val="10"/>
              </w:rPr>
              <w:t>2</w:t>
            </w:r>
          </w:p>
        </w:tc>
        <w:tc>
          <w:tcPr>
            <w:tcW w:w="1881" w:type="dxa"/>
            <w:vMerge/>
            <w:tcBorders>
              <w:top w:val="nil"/>
              <w:left w:val="single" w:sz="6" w:space="0" w:color="000000"/>
              <w:bottom w:val="single" w:sz="6" w:space="0" w:color="000000"/>
              <w:right w:val="single" w:sz="6" w:space="0" w:color="000000"/>
            </w:tcBorders>
          </w:tcPr>
          <w:p w14:paraId="7A73DD96" w14:textId="77777777" w:rsidR="00A2416E" w:rsidRDefault="00A2416E">
            <w:pPr>
              <w:rPr>
                <w:sz w:val="2"/>
                <w:szCs w:val="2"/>
              </w:rPr>
            </w:pPr>
          </w:p>
        </w:tc>
        <w:tc>
          <w:tcPr>
            <w:tcW w:w="1361" w:type="dxa"/>
            <w:tcBorders>
              <w:top w:val="single" w:sz="6" w:space="0" w:color="000000"/>
              <w:left w:val="single" w:sz="6" w:space="0" w:color="000000"/>
              <w:bottom w:val="single" w:sz="6" w:space="0" w:color="000000"/>
              <w:right w:val="single" w:sz="6" w:space="0" w:color="000000"/>
            </w:tcBorders>
          </w:tcPr>
          <w:p w14:paraId="4A08B575" w14:textId="77777777" w:rsidR="00A2416E" w:rsidRDefault="00534832">
            <w:pPr>
              <w:pStyle w:val="TableParagraph"/>
              <w:rPr>
                <w:sz w:val="17"/>
              </w:rPr>
            </w:pPr>
            <w:r>
              <w:rPr>
                <w:sz w:val="17"/>
              </w:rPr>
              <w:t>107</w:t>
            </w:r>
          </w:p>
        </w:tc>
        <w:tc>
          <w:tcPr>
            <w:tcW w:w="1574" w:type="dxa"/>
            <w:tcBorders>
              <w:top w:val="single" w:sz="6" w:space="0" w:color="000000"/>
              <w:left w:val="single" w:sz="6" w:space="0" w:color="000000"/>
              <w:bottom w:val="single" w:sz="6" w:space="0" w:color="000000"/>
              <w:right w:val="nil"/>
            </w:tcBorders>
          </w:tcPr>
          <w:p w14:paraId="4B262DFB" w14:textId="77777777" w:rsidR="00A2416E" w:rsidRDefault="00A2416E">
            <w:pPr>
              <w:pStyle w:val="TableParagraph"/>
              <w:spacing w:before="0"/>
              <w:ind w:left="0"/>
              <w:rPr>
                <w:sz w:val="16"/>
              </w:rPr>
            </w:pPr>
          </w:p>
        </w:tc>
      </w:tr>
      <w:tr w:rsidR="00A2416E" w14:paraId="417E91C6" w14:textId="77777777" w:rsidTr="00440759">
        <w:trPr>
          <w:trHeight w:val="272"/>
        </w:trPr>
        <w:tc>
          <w:tcPr>
            <w:tcW w:w="2152" w:type="dxa"/>
            <w:tcBorders>
              <w:top w:val="single" w:sz="6" w:space="0" w:color="000000"/>
              <w:left w:val="nil"/>
              <w:bottom w:val="single" w:sz="6" w:space="0" w:color="000000"/>
              <w:right w:val="single" w:sz="6" w:space="0" w:color="000000"/>
            </w:tcBorders>
          </w:tcPr>
          <w:p w14:paraId="40950171" w14:textId="77777777" w:rsidR="00A2416E" w:rsidRDefault="00534832">
            <w:pPr>
              <w:pStyle w:val="TableParagraph"/>
              <w:ind w:left="7"/>
              <w:rPr>
                <w:sz w:val="10"/>
              </w:rPr>
            </w:pPr>
            <w:r>
              <w:rPr>
                <w:sz w:val="17"/>
              </w:rPr>
              <w:t>Σχιστολιθικό πετρέλαιο</w:t>
            </w:r>
            <w:r>
              <w:rPr>
                <w:sz w:val="10"/>
              </w:rPr>
              <w:t>3</w:t>
            </w:r>
          </w:p>
        </w:tc>
        <w:tc>
          <w:tcPr>
            <w:tcW w:w="1881" w:type="dxa"/>
            <w:vMerge/>
            <w:tcBorders>
              <w:top w:val="nil"/>
              <w:left w:val="single" w:sz="6" w:space="0" w:color="000000"/>
              <w:bottom w:val="single" w:sz="6" w:space="0" w:color="000000"/>
              <w:right w:val="single" w:sz="6" w:space="0" w:color="000000"/>
            </w:tcBorders>
          </w:tcPr>
          <w:p w14:paraId="2F65291D" w14:textId="77777777" w:rsidR="00A2416E" w:rsidRDefault="00A2416E">
            <w:pPr>
              <w:rPr>
                <w:sz w:val="2"/>
                <w:szCs w:val="2"/>
              </w:rPr>
            </w:pPr>
          </w:p>
        </w:tc>
        <w:tc>
          <w:tcPr>
            <w:tcW w:w="1361" w:type="dxa"/>
            <w:tcBorders>
              <w:top w:val="single" w:sz="6" w:space="0" w:color="000000"/>
              <w:left w:val="single" w:sz="6" w:space="0" w:color="000000"/>
              <w:bottom w:val="single" w:sz="6" w:space="0" w:color="000000"/>
              <w:right w:val="single" w:sz="6" w:space="0" w:color="000000"/>
            </w:tcBorders>
          </w:tcPr>
          <w:p w14:paraId="56E707F0" w14:textId="77777777" w:rsidR="00A2416E" w:rsidRDefault="00534832">
            <w:pPr>
              <w:pStyle w:val="TableParagraph"/>
              <w:rPr>
                <w:sz w:val="17"/>
              </w:rPr>
            </w:pPr>
            <w:r>
              <w:rPr>
                <w:sz w:val="17"/>
              </w:rPr>
              <w:t>131.3</w:t>
            </w:r>
          </w:p>
        </w:tc>
        <w:tc>
          <w:tcPr>
            <w:tcW w:w="1574" w:type="dxa"/>
            <w:tcBorders>
              <w:top w:val="single" w:sz="6" w:space="0" w:color="000000"/>
              <w:left w:val="single" w:sz="6" w:space="0" w:color="000000"/>
              <w:bottom w:val="single" w:sz="6" w:space="0" w:color="000000"/>
              <w:right w:val="nil"/>
            </w:tcBorders>
          </w:tcPr>
          <w:p w14:paraId="78286A2F" w14:textId="77777777" w:rsidR="00A2416E" w:rsidRDefault="00A2416E">
            <w:pPr>
              <w:pStyle w:val="TableParagraph"/>
              <w:spacing w:before="0"/>
              <w:ind w:left="0"/>
              <w:rPr>
                <w:sz w:val="16"/>
              </w:rPr>
            </w:pPr>
          </w:p>
        </w:tc>
      </w:tr>
      <w:tr w:rsidR="00A2416E" w14:paraId="7B1F697D" w14:textId="77777777" w:rsidTr="00440759">
        <w:trPr>
          <w:trHeight w:val="272"/>
        </w:trPr>
        <w:tc>
          <w:tcPr>
            <w:tcW w:w="2152" w:type="dxa"/>
            <w:tcBorders>
              <w:top w:val="single" w:sz="6" w:space="0" w:color="000000"/>
              <w:left w:val="nil"/>
              <w:bottom w:val="single" w:sz="6" w:space="0" w:color="000000"/>
              <w:right w:val="single" w:sz="6" w:space="0" w:color="000000"/>
            </w:tcBorders>
          </w:tcPr>
          <w:p w14:paraId="2FAB26C8" w14:textId="77777777" w:rsidR="00A2416E" w:rsidRDefault="00534832">
            <w:pPr>
              <w:pStyle w:val="TableParagraph"/>
              <w:ind w:left="7"/>
              <w:rPr>
                <w:sz w:val="10"/>
              </w:rPr>
            </w:pPr>
            <w:r>
              <w:rPr>
                <w:sz w:val="17"/>
              </w:rPr>
              <w:t>Συμβατικό αργό πετρέλαιο</w:t>
            </w:r>
            <w:r>
              <w:rPr>
                <w:sz w:val="10"/>
              </w:rPr>
              <w:t>1</w:t>
            </w:r>
          </w:p>
        </w:tc>
        <w:tc>
          <w:tcPr>
            <w:tcW w:w="1881" w:type="dxa"/>
            <w:vMerge w:val="restart"/>
            <w:tcBorders>
              <w:top w:val="single" w:sz="6" w:space="0" w:color="000000"/>
              <w:left w:val="single" w:sz="6" w:space="0" w:color="000000"/>
              <w:bottom w:val="single" w:sz="6" w:space="0" w:color="000000"/>
              <w:right w:val="single" w:sz="6" w:space="0" w:color="000000"/>
            </w:tcBorders>
          </w:tcPr>
          <w:p w14:paraId="53FB95EE" w14:textId="77777777" w:rsidR="00A2416E" w:rsidRDefault="00534832">
            <w:pPr>
              <w:pStyle w:val="TableParagraph"/>
              <w:rPr>
                <w:sz w:val="17"/>
              </w:rPr>
            </w:pPr>
            <w:r>
              <w:rPr>
                <w:sz w:val="17"/>
              </w:rPr>
              <w:t>Ντίζελ ή πετρέλαιο εσωτερικής καύσης</w:t>
            </w:r>
          </w:p>
        </w:tc>
        <w:tc>
          <w:tcPr>
            <w:tcW w:w="1361" w:type="dxa"/>
            <w:tcBorders>
              <w:top w:val="single" w:sz="6" w:space="0" w:color="000000"/>
              <w:left w:val="single" w:sz="6" w:space="0" w:color="000000"/>
              <w:bottom w:val="single" w:sz="6" w:space="0" w:color="000000"/>
              <w:right w:val="single" w:sz="6" w:space="0" w:color="000000"/>
            </w:tcBorders>
          </w:tcPr>
          <w:p w14:paraId="75B3AC0A" w14:textId="77777777" w:rsidR="00A2416E" w:rsidRDefault="00534832">
            <w:pPr>
              <w:pStyle w:val="TableParagraph"/>
              <w:rPr>
                <w:sz w:val="17"/>
              </w:rPr>
            </w:pPr>
            <w:r>
              <w:rPr>
                <w:sz w:val="17"/>
              </w:rPr>
              <w:t>95</w:t>
            </w:r>
          </w:p>
        </w:tc>
        <w:tc>
          <w:tcPr>
            <w:tcW w:w="1574" w:type="dxa"/>
            <w:tcBorders>
              <w:top w:val="single" w:sz="6" w:space="0" w:color="000000"/>
              <w:left w:val="single" w:sz="6" w:space="0" w:color="000000"/>
              <w:bottom w:val="single" w:sz="6" w:space="0" w:color="000000"/>
              <w:right w:val="nil"/>
            </w:tcBorders>
          </w:tcPr>
          <w:p w14:paraId="08DC0102" w14:textId="77777777" w:rsidR="00A2416E" w:rsidRDefault="00534832">
            <w:pPr>
              <w:pStyle w:val="TableParagraph"/>
              <w:rPr>
                <w:sz w:val="17"/>
              </w:rPr>
            </w:pPr>
            <w:r>
              <w:rPr>
                <w:sz w:val="17"/>
              </w:rPr>
              <w:t>95.1</w:t>
            </w:r>
          </w:p>
        </w:tc>
      </w:tr>
      <w:tr w:rsidR="00A2416E" w14:paraId="45915519" w14:textId="77777777" w:rsidTr="00440759">
        <w:trPr>
          <w:trHeight w:val="272"/>
        </w:trPr>
        <w:tc>
          <w:tcPr>
            <w:tcW w:w="2152" w:type="dxa"/>
            <w:tcBorders>
              <w:top w:val="single" w:sz="6" w:space="0" w:color="000000"/>
              <w:left w:val="nil"/>
              <w:bottom w:val="single" w:sz="6" w:space="0" w:color="000000"/>
              <w:right w:val="single" w:sz="6" w:space="0" w:color="000000"/>
            </w:tcBorders>
          </w:tcPr>
          <w:p w14:paraId="7F1ED059" w14:textId="77777777" w:rsidR="00A2416E" w:rsidRDefault="00534832">
            <w:pPr>
              <w:pStyle w:val="TableParagraph"/>
              <w:ind w:left="7"/>
              <w:rPr>
                <w:sz w:val="17"/>
              </w:rPr>
            </w:pPr>
            <w:r>
              <w:rPr>
                <w:sz w:val="17"/>
              </w:rPr>
              <w:t>Υγροποιημένο φυσικό αέριο</w:t>
            </w:r>
          </w:p>
        </w:tc>
        <w:tc>
          <w:tcPr>
            <w:tcW w:w="1881" w:type="dxa"/>
            <w:vMerge/>
            <w:tcBorders>
              <w:top w:val="nil"/>
              <w:left w:val="single" w:sz="6" w:space="0" w:color="000000"/>
              <w:bottom w:val="single" w:sz="6" w:space="0" w:color="000000"/>
              <w:right w:val="single" w:sz="6" w:space="0" w:color="000000"/>
            </w:tcBorders>
          </w:tcPr>
          <w:p w14:paraId="5C2BF4EB" w14:textId="77777777" w:rsidR="00A2416E" w:rsidRDefault="00A2416E">
            <w:pPr>
              <w:rPr>
                <w:sz w:val="2"/>
                <w:szCs w:val="2"/>
              </w:rPr>
            </w:pPr>
          </w:p>
        </w:tc>
        <w:tc>
          <w:tcPr>
            <w:tcW w:w="1361" w:type="dxa"/>
            <w:tcBorders>
              <w:top w:val="single" w:sz="6" w:space="0" w:color="000000"/>
              <w:left w:val="single" w:sz="6" w:space="0" w:color="000000"/>
              <w:bottom w:val="single" w:sz="6" w:space="0" w:color="000000"/>
              <w:right w:val="single" w:sz="6" w:space="0" w:color="000000"/>
            </w:tcBorders>
          </w:tcPr>
          <w:p w14:paraId="1D5FCEB0" w14:textId="77777777" w:rsidR="00A2416E" w:rsidRDefault="00534832">
            <w:pPr>
              <w:pStyle w:val="TableParagraph"/>
              <w:rPr>
                <w:sz w:val="17"/>
              </w:rPr>
            </w:pPr>
            <w:r>
              <w:rPr>
                <w:sz w:val="17"/>
              </w:rPr>
              <w:t>94.3</w:t>
            </w:r>
          </w:p>
        </w:tc>
        <w:tc>
          <w:tcPr>
            <w:tcW w:w="1574" w:type="dxa"/>
            <w:tcBorders>
              <w:top w:val="single" w:sz="6" w:space="0" w:color="000000"/>
              <w:left w:val="single" w:sz="6" w:space="0" w:color="000000"/>
              <w:bottom w:val="single" w:sz="6" w:space="0" w:color="000000"/>
              <w:right w:val="nil"/>
            </w:tcBorders>
          </w:tcPr>
          <w:p w14:paraId="7F88FE51" w14:textId="77777777" w:rsidR="00A2416E" w:rsidRDefault="00A2416E">
            <w:pPr>
              <w:pStyle w:val="TableParagraph"/>
              <w:spacing w:before="0"/>
              <w:ind w:left="0"/>
              <w:rPr>
                <w:sz w:val="16"/>
              </w:rPr>
            </w:pPr>
          </w:p>
        </w:tc>
      </w:tr>
      <w:tr w:rsidR="00A2416E" w14:paraId="4428360F" w14:textId="77777777" w:rsidTr="00440759">
        <w:trPr>
          <w:trHeight w:val="462"/>
        </w:trPr>
        <w:tc>
          <w:tcPr>
            <w:tcW w:w="2152" w:type="dxa"/>
            <w:tcBorders>
              <w:top w:val="single" w:sz="6" w:space="0" w:color="000000"/>
              <w:left w:val="nil"/>
              <w:bottom w:val="single" w:sz="6" w:space="0" w:color="000000"/>
              <w:right w:val="single" w:sz="6" w:space="0" w:color="000000"/>
            </w:tcBorders>
          </w:tcPr>
          <w:p w14:paraId="737A7AAB" w14:textId="77777777" w:rsidR="00A2416E" w:rsidRDefault="00534832">
            <w:pPr>
              <w:pStyle w:val="TableParagraph"/>
              <w:spacing w:before="41" w:line="232" w:lineRule="auto"/>
              <w:ind w:left="7" w:right="396"/>
              <w:rPr>
                <w:sz w:val="17"/>
              </w:rPr>
            </w:pPr>
            <w:r>
              <w:rPr>
                <w:sz w:val="17"/>
              </w:rPr>
              <w:t>Συνθετικό έλαιο που λαμβάνεται από άνθρακα</w:t>
            </w:r>
          </w:p>
        </w:tc>
        <w:tc>
          <w:tcPr>
            <w:tcW w:w="1881" w:type="dxa"/>
            <w:vMerge/>
            <w:tcBorders>
              <w:top w:val="nil"/>
              <w:left w:val="single" w:sz="6" w:space="0" w:color="000000"/>
              <w:bottom w:val="single" w:sz="6" w:space="0" w:color="000000"/>
              <w:right w:val="single" w:sz="6" w:space="0" w:color="000000"/>
            </w:tcBorders>
          </w:tcPr>
          <w:p w14:paraId="3CC0E31D" w14:textId="77777777" w:rsidR="00A2416E" w:rsidRDefault="00A2416E">
            <w:pPr>
              <w:rPr>
                <w:sz w:val="2"/>
                <w:szCs w:val="2"/>
              </w:rPr>
            </w:pPr>
          </w:p>
        </w:tc>
        <w:tc>
          <w:tcPr>
            <w:tcW w:w="1361" w:type="dxa"/>
            <w:tcBorders>
              <w:top w:val="single" w:sz="6" w:space="0" w:color="000000"/>
              <w:left w:val="single" w:sz="6" w:space="0" w:color="000000"/>
              <w:bottom w:val="single" w:sz="6" w:space="0" w:color="000000"/>
              <w:right w:val="single" w:sz="6" w:space="0" w:color="000000"/>
            </w:tcBorders>
          </w:tcPr>
          <w:p w14:paraId="4ED5A614" w14:textId="77777777" w:rsidR="00A2416E" w:rsidRDefault="00534832">
            <w:pPr>
              <w:pStyle w:val="TableParagraph"/>
              <w:rPr>
                <w:sz w:val="17"/>
              </w:rPr>
            </w:pPr>
            <w:r>
              <w:rPr>
                <w:sz w:val="17"/>
              </w:rPr>
              <w:t>172</w:t>
            </w:r>
          </w:p>
        </w:tc>
        <w:tc>
          <w:tcPr>
            <w:tcW w:w="1574" w:type="dxa"/>
            <w:tcBorders>
              <w:top w:val="single" w:sz="6" w:space="0" w:color="000000"/>
              <w:left w:val="single" w:sz="6" w:space="0" w:color="000000"/>
              <w:bottom w:val="single" w:sz="6" w:space="0" w:color="000000"/>
              <w:right w:val="nil"/>
            </w:tcBorders>
          </w:tcPr>
          <w:p w14:paraId="75511F3C" w14:textId="77777777" w:rsidR="00A2416E" w:rsidRDefault="00A2416E">
            <w:pPr>
              <w:pStyle w:val="TableParagraph"/>
              <w:spacing w:before="0"/>
              <w:ind w:left="0"/>
              <w:rPr>
                <w:sz w:val="16"/>
              </w:rPr>
            </w:pPr>
          </w:p>
        </w:tc>
      </w:tr>
      <w:tr w:rsidR="00A2416E" w14:paraId="70AAD108" w14:textId="77777777" w:rsidTr="00440759">
        <w:trPr>
          <w:trHeight w:val="272"/>
        </w:trPr>
        <w:tc>
          <w:tcPr>
            <w:tcW w:w="2152" w:type="dxa"/>
            <w:tcBorders>
              <w:top w:val="single" w:sz="6" w:space="0" w:color="000000"/>
              <w:left w:val="nil"/>
              <w:bottom w:val="single" w:sz="6" w:space="0" w:color="000000"/>
              <w:right w:val="single" w:sz="6" w:space="0" w:color="000000"/>
            </w:tcBorders>
          </w:tcPr>
          <w:p w14:paraId="55AEC1A1" w14:textId="77777777" w:rsidR="00A2416E" w:rsidRDefault="00534832">
            <w:pPr>
              <w:pStyle w:val="TableParagraph"/>
              <w:ind w:left="7"/>
              <w:rPr>
                <w:sz w:val="10"/>
              </w:rPr>
            </w:pPr>
            <w:r>
              <w:rPr>
                <w:sz w:val="17"/>
              </w:rPr>
              <w:t>Φυσική άσφαλτος</w:t>
            </w:r>
            <w:r>
              <w:rPr>
                <w:sz w:val="10"/>
              </w:rPr>
              <w:t>2</w:t>
            </w:r>
          </w:p>
        </w:tc>
        <w:tc>
          <w:tcPr>
            <w:tcW w:w="1881" w:type="dxa"/>
            <w:vMerge/>
            <w:tcBorders>
              <w:top w:val="nil"/>
              <w:left w:val="single" w:sz="6" w:space="0" w:color="000000"/>
              <w:bottom w:val="single" w:sz="6" w:space="0" w:color="000000"/>
              <w:right w:val="single" w:sz="6" w:space="0" w:color="000000"/>
            </w:tcBorders>
          </w:tcPr>
          <w:p w14:paraId="2C4711B6" w14:textId="77777777" w:rsidR="00A2416E" w:rsidRDefault="00A2416E">
            <w:pPr>
              <w:rPr>
                <w:sz w:val="2"/>
                <w:szCs w:val="2"/>
              </w:rPr>
            </w:pPr>
          </w:p>
        </w:tc>
        <w:tc>
          <w:tcPr>
            <w:tcW w:w="1361" w:type="dxa"/>
            <w:tcBorders>
              <w:top w:val="single" w:sz="6" w:space="0" w:color="000000"/>
              <w:left w:val="single" w:sz="6" w:space="0" w:color="000000"/>
              <w:bottom w:val="single" w:sz="6" w:space="0" w:color="000000"/>
              <w:right w:val="single" w:sz="6" w:space="0" w:color="000000"/>
            </w:tcBorders>
          </w:tcPr>
          <w:p w14:paraId="3D7F2CE3" w14:textId="77777777" w:rsidR="00A2416E" w:rsidRDefault="00534832">
            <w:pPr>
              <w:pStyle w:val="TableParagraph"/>
              <w:rPr>
                <w:sz w:val="17"/>
              </w:rPr>
            </w:pPr>
            <w:r>
              <w:rPr>
                <w:sz w:val="17"/>
              </w:rPr>
              <w:t>108,5</w:t>
            </w:r>
          </w:p>
        </w:tc>
        <w:tc>
          <w:tcPr>
            <w:tcW w:w="1574" w:type="dxa"/>
            <w:tcBorders>
              <w:top w:val="single" w:sz="6" w:space="0" w:color="000000"/>
              <w:left w:val="single" w:sz="6" w:space="0" w:color="000000"/>
              <w:bottom w:val="single" w:sz="6" w:space="0" w:color="000000"/>
              <w:right w:val="nil"/>
            </w:tcBorders>
          </w:tcPr>
          <w:p w14:paraId="52E9DC07" w14:textId="77777777" w:rsidR="00A2416E" w:rsidRDefault="00A2416E">
            <w:pPr>
              <w:pStyle w:val="TableParagraph"/>
              <w:spacing w:before="0"/>
              <w:ind w:left="0"/>
              <w:rPr>
                <w:sz w:val="16"/>
              </w:rPr>
            </w:pPr>
          </w:p>
        </w:tc>
      </w:tr>
      <w:tr w:rsidR="00A2416E" w14:paraId="676BFD6A" w14:textId="77777777" w:rsidTr="00440759">
        <w:trPr>
          <w:trHeight w:val="272"/>
        </w:trPr>
        <w:tc>
          <w:tcPr>
            <w:tcW w:w="2152" w:type="dxa"/>
            <w:tcBorders>
              <w:top w:val="single" w:sz="6" w:space="0" w:color="000000"/>
              <w:left w:val="nil"/>
              <w:bottom w:val="single" w:sz="6" w:space="0" w:color="000000"/>
              <w:right w:val="single" w:sz="6" w:space="0" w:color="000000"/>
            </w:tcBorders>
          </w:tcPr>
          <w:p w14:paraId="64220D99" w14:textId="77777777" w:rsidR="00A2416E" w:rsidRDefault="00534832">
            <w:pPr>
              <w:pStyle w:val="TableParagraph"/>
              <w:ind w:left="7"/>
              <w:rPr>
                <w:sz w:val="10"/>
              </w:rPr>
            </w:pPr>
            <w:r>
              <w:rPr>
                <w:sz w:val="17"/>
              </w:rPr>
              <w:t>Σχιστολιθικό πετρέλαιο</w:t>
            </w:r>
            <w:r>
              <w:rPr>
                <w:sz w:val="10"/>
              </w:rPr>
              <w:t>3</w:t>
            </w:r>
          </w:p>
        </w:tc>
        <w:tc>
          <w:tcPr>
            <w:tcW w:w="1881" w:type="dxa"/>
            <w:vMerge/>
            <w:tcBorders>
              <w:top w:val="nil"/>
              <w:left w:val="single" w:sz="6" w:space="0" w:color="000000"/>
              <w:bottom w:val="single" w:sz="6" w:space="0" w:color="000000"/>
              <w:right w:val="single" w:sz="6" w:space="0" w:color="000000"/>
            </w:tcBorders>
          </w:tcPr>
          <w:p w14:paraId="0970A3CA" w14:textId="77777777" w:rsidR="00A2416E" w:rsidRDefault="00A2416E">
            <w:pPr>
              <w:rPr>
                <w:sz w:val="2"/>
                <w:szCs w:val="2"/>
              </w:rPr>
            </w:pPr>
          </w:p>
        </w:tc>
        <w:tc>
          <w:tcPr>
            <w:tcW w:w="1361" w:type="dxa"/>
            <w:tcBorders>
              <w:top w:val="single" w:sz="6" w:space="0" w:color="000000"/>
              <w:left w:val="single" w:sz="6" w:space="0" w:color="000000"/>
              <w:bottom w:val="single" w:sz="6" w:space="0" w:color="000000"/>
              <w:right w:val="single" w:sz="6" w:space="0" w:color="000000"/>
            </w:tcBorders>
          </w:tcPr>
          <w:p w14:paraId="414843DD" w14:textId="77777777" w:rsidR="00A2416E" w:rsidRDefault="00534832">
            <w:pPr>
              <w:pStyle w:val="TableParagraph"/>
              <w:rPr>
                <w:sz w:val="17"/>
              </w:rPr>
            </w:pPr>
            <w:r>
              <w:rPr>
                <w:sz w:val="17"/>
              </w:rPr>
              <w:t>133.7</w:t>
            </w:r>
          </w:p>
        </w:tc>
        <w:tc>
          <w:tcPr>
            <w:tcW w:w="1574" w:type="dxa"/>
            <w:tcBorders>
              <w:top w:val="single" w:sz="6" w:space="0" w:color="000000"/>
              <w:left w:val="single" w:sz="6" w:space="0" w:color="000000"/>
              <w:bottom w:val="single" w:sz="6" w:space="0" w:color="000000"/>
              <w:right w:val="nil"/>
            </w:tcBorders>
          </w:tcPr>
          <w:p w14:paraId="0C605A11" w14:textId="77777777" w:rsidR="00A2416E" w:rsidRDefault="00A2416E">
            <w:pPr>
              <w:pStyle w:val="TableParagraph"/>
              <w:spacing w:before="0"/>
              <w:ind w:left="0"/>
              <w:rPr>
                <w:sz w:val="16"/>
              </w:rPr>
            </w:pPr>
          </w:p>
        </w:tc>
      </w:tr>
      <w:tr w:rsidR="00A2416E" w14:paraId="6EFD38CA" w14:textId="77777777" w:rsidTr="00440759">
        <w:trPr>
          <w:trHeight w:val="462"/>
        </w:trPr>
        <w:tc>
          <w:tcPr>
            <w:tcW w:w="2152" w:type="dxa"/>
            <w:tcBorders>
              <w:top w:val="single" w:sz="6" w:space="0" w:color="000000"/>
              <w:left w:val="nil"/>
              <w:bottom w:val="single" w:sz="6" w:space="0" w:color="000000"/>
              <w:right w:val="single" w:sz="6" w:space="0" w:color="000000"/>
            </w:tcBorders>
          </w:tcPr>
          <w:p w14:paraId="34E5B109" w14:textId="77777777" w:rsidR="00A2416E" w:rsidRDefault="00534832">
            <w:pPr>
              <w:pStyle w:val="TableParagraph"/>
              <w:ind w:left="7"/>
              <w:rPr>
                <w:sz w:val="17"/>
              </w:rPr>
            </w:pPr>
            <w:r>
              <w:rPr>
                <w:sz w:val="17"/>
              </w:rPr>
              <w:t>Όλες οι πηγές ορυκτών</w:t>
            </w:r>
          </w:p>
        </w:tc>
        <w:tc>
          <w:tcPr>
            <w:tcW w:w="1881" w:type="dxa"/>
            <w:tcBorders>
              <w:top w:val="single" w:sz="6" w:space="0" w:color="000000"/>
              <w:left w:val="single" w:sz="6" w:space="0" w:color="000000"/>
              <w:bottom w:val="single" w:sz="6" w:space="0" w:color="000000"/>
              <w:right w:val="single" w:sz="6" w:space="0" w:color="000000"/>
            </w:tcBorders>
          </w:tcPr>
          <w:p w14:paraId="6AC584D4" w14:textId="77777777" w:rsidR="00A2416E" w:rsidRDefault="00534832" w:rsidP="00ED2D5D">
            <w:pPr>
              <w:pStyle w:val="TableParagraph"/>
              <w:spacing w:before="41" w:line="233" w:lineRule="auto"/>
              <w:ind w:left="113"/>
              <w:rPr>
                <w:sz w:val="17"/>
              </w:rPr>
            </w:pPr>
            <w:r>
              <w:rPr>
                <w:sz w:val="17"/>
              </w:rPr>
              <w:t>Υγραέριο σε κινητήρα ανάφλεξης με σπινθήρα</w:t>
            </w:r>
          </w:p>
        </w:tc>
        <w:tc>
          <w:tcPr>
            <w:tcW w:w="1361" w:type="dxa"/>
            <w:tcBorders>
              <w:top w:val="single" w:sz="6" w:space="0" w:color="000000"/>
              <w:left w:val="single" w:sz="6" w:space="0" w:color="000000"/>
              <w:bottom w:val="single" w:sz="6" w:space="0" w:color="000000"/>
              <w:right w:val="single" w:sz="6" w:space="0" w:color="000000"/>
            </w:tcBorders>
          </w:tcPr>
          <w:p w14:paraId="36859BB2" w14:textId="77777777" w:rsidR="00A2416E" w:rsidRDefault="00534832">
            <w:pPr>
              <w:pStyle w:val="TableParagraph"/>
              <w:rPr>
                <w:sz w:val="17"/>
              </w:rPr>
            </w:pPr>
            <w:r>
              <w:rPr>
                <w:sz w:val="17"/>
              </w:rPr>
              <w:t>73.6</w:t>
            </w:r>
          </w:p>
        </w:tc>
        <w:tc>
          <w:tcPr>
            <w:tcW w:w="1574" w:type="dxa"/>
            <w:tcBorders>
              <w:top w:val="single" w:sz="6" w:space="0" w:color="000000"/>
              <w:left w:val="single" w:sz="6" w:space="0" w:color="000000"/>
              <w:bottom w:val="single" w:sz="6" w:space="0" w:color="000000"/>
              <w:right w:val="nil"/>
            </w:tcBorders>
          </w:tcPr>
          <w:p w14:paraId="3EB2DE0C" w14:textId="77777777" w:rsidR="00A2416E" w:rsidRDefault="00534832">
            <w:pPr>
              <w:pStyle w:val="TableParagraph"/>
              <w:rPr>
                <w:sz w:val="17"/>
              </w:rPr>
            </w:pPr>
            <w:r>
              <w:rPr>
                <w:sz w:val="17"/>
              </w:rPr>
              <w:t>73.6</w:t>
            </w:r>
          </w:p>
        </w:tc>
      </w:tr>
      <w:tr w:rsidR="00A2416E" w14:paraId="235193A8" w14:textId="77777777" w:rsidTr="00440759">
        <w:trPr>
          <w:trHeight w:val="652"/>
        </w:trPr>
        <w:tc>
          <w:tcPr>
            <w:tcW w:w="2152" w:type="dxa"/>
            <w:tcBorders>
              <w:top w:val="single" w:sz="6" w:space="0" w:color="000000"/>
              <w:left w:val="nil"/>
              <w:bottom w:val="single" w:sz="6" w:space="0" w:color="000000"/>
              <w:right w:val="single" w:sz="6" w:space="0" w:color="000000"/>
            </w:tcBorders>
          </w:tcPr>
          <w:p w14:paraId="037893B3" w14:textId="77777777" w:rsidR="00A2416E" w:rsidRDefault="00534832">
            <w:pPr>
              <w:pStyle w:val="TableParagraph"/>
              <w:ind w:left="7"/>
              <w:rPr>
                <w:sz w:val="17"/>
              </w:rPr>
            </w:pPr>
            <w:r>
              <w:rPr>
                <w:sz w:val="17"/>
              </w:rPr>
              <w:t>Φυσικό αέριο, ενεργειακό μείγμα της ΕΕ</w:t>
            </w:r>
          </w:p>
        </w:tc>
        <w:tc>
          <w:tcPr>
            <w:tcW w:w="1881" w:type="dxa"/>
            <w:tcBorders>
              <w:top w:val="single" w:sz="6" w:space="0" w:color="000000"/>
              <w:left w:val="single" w:sz="6" w:space="0" w:color="000000"/>
              <w:bottom w:val="single" w:sz="6" w:space="0" w:color="000000"/>
              <w:right w:val="single" w:sz="6" w:space="0" w:color="000000"/>
            </w:tcBorders>
          </w:tcPr>
          <w:p w14:paraId="43C6E64F" w14:textId="77777777" w:rsidR="00A2416E" w:rsidRDefault="00534832" w:rsidP="00ED2D5D">
            <w:pPr>
              <w:pStyle w:val="TableParagraph"/>
              <w:spacing w:before="41" w:line="233" w:lineRule="auto"/>
              <w:ind w:left="113" w:right="-57"/>
              <w:rPr>
                <w:sz w:val="17"/>
              </w:rPr>
            </w:pPr>
            <w:r>
              <w:rPr>
                <w:sz w:val="17"/>
              </w:rPr>
              <w:t>Πεπιεσμένο φυσικό αέριο σε κινητήρα ανάφλεξης με σπινθήρα</w:t>
            </w:r>
          </w:p>
        </w:tc>
        <w:tc>
          <w:tcPr>
            <w:tcW w:w="1361" w:type="dxa"/>
            <w:tcBorders>
              <w:top w:val="single" w:sz="6" w:space="0" w:color="000000"/>
              <w:left w:val="single" w:sz="6" w:space="0" w:color="000000"/>
              <w:bottom w:val="single" w:sz="6" w:space="0" w:color="000000"/>
              <w:right w:val="single" w:sz="6" w:space="0" w:color="000000"/>
            </w:tcBorders>
          </w:tcPr>
          <w:p w14:paraId="407E4BF3" w14:textId="77777777" w:rsidR="00A2416E" w:rsidRDefault="00534832">
            <w:pPr>
              <w:pStyle w:val="TableParagraph"/>
              <w:rPr>
                <w:sz w:val="17"/>
              </w:rPr>
            </w:pPr>
            <w:r>
              <w:rPr>
                <w:sz w:val="17"/>
              </w:rPr>
              <w:t>69.3</w:t>
            </w:r>
          </w:p>
        </w:tc>
        <w:tc>
          <w:tcPr>
            <w:tcW w:w="1574" w:type="dxa"/>
            <w:tcBorders>
              <w:top w:val="single" w:sz="6" w:space="0" w:color="000000"/>
              <w:left w:val="single" w:sz="6" w:space="0" w:color="000000"/>
              <w:bottom w:val="single" w:sz="6" w:space="0" w:color="000000"/>
              <w:right w:val="nil"/>
            </w:tcBorders>
          </w:tcPr>
          <w:p w14:paraId="48348EA8" w14:textId="77777777" w:rsidR="00A2416E" w:rsidRDefault="00534832">
            <w:pPr>
              <w:pStyle w:val="TableParagraph"/>
              <w:rPr>
                <w:sz w:val="17"/>
              </w:rPr>
            </w:pPr>
            <w:r>
              <w:rPr>
                <w:sz w:val="17"/>
              </w:rPr>
              <w:t>69.3</w:t>
            </w:r>
          </w:p>
        </w:tc>
      </w:tr>
      <w:tr w:rsidR="00A2416E" w14:paraId="748DCDF5" w14:textId="77777777" w:rsidTr="00440759">
        <w:trPr>
          <w:trHeight w:val="652"/>
        </w:trPr>
        <w:tc>
          <w:tcPr>
            <w:tcW w:w="2152" w:type="dxa"/>
            <w:tcBorders>
              <w:top w:val="single" w:sz="6" w:space="0" w:color="000000"/>
              <w:left w:val="nil"/>
              <w:bottom w:val="single" w:sz="6" w:space="0" w:color="000000"/>
              <w:right w:val="single" w:sz="6" w:space="0" w:color="000000"/>
            </w:tcBorders>
          </w:tcPr>
          <w:p w14:paraId="0B9A5898" w14:textId="77777777" w:rsidR="00A2416E" w:rsidRDefault="00534832">
            <w:pPr>
              <w:pStyle w:val="TableParagraph"/>
              <w:ind w:left="7"/>
              <w:rPr>
                <w:sz w:val="17"/>
              </w:rPr>
            </w:pPr>
            <w:r>
              <w:rPr>
                <w:sz w:val="17"/>
              </w:rPr>
              <w:t>Φυσικό αέριο, ενεργειακό μείγμα της ΕΕ</w:t>
            </w:r>
          </w:p>
        </w:tc>
        <w:tc>
          <w:tcPr>
            <w:tcW w:w="1881" w:type="dxa"/>
            <w:tcBorders>
              <w:top w:val="single" w:sz="6" w:space="0" w:color="000000"/>
              <w:left w:val="single" w:sz="6" w:space="0" w:color="000000"/>
              <w:bottom w:val="single" w:sz="6" w:space="0" w:color="000000"/>
              <w:right w:val="single" w:sz="6" w:space="0" w:color="000000"/>
            </w:tcBorders>
          </w:tcPr>
          <w:p w14:paraId="3B457A6A" w14:textId="77777777" w:rsidR="00A2416E" w:rsidRDefault="00534832" w:rsidP="00ED2D5D">
            <w:pPr>
              <w:pStyle w:val="TableParagraph"/>
              <w:spacing w:before="41" w:line="233" w:lineRule="auto"/>
              <w:ind w:left="113" w:right="-57"/>
              <w:rPr>
                <w:sz w:val="17"/>
              </w:rPr>
            </w:pPr>
            <w:r>
              <w:rPr>
                <w:sz w:val="17"/>
              </w:rPr>
              <w:t>Υγροποιημένο φυσικό αέριο (LNG) σε κινητήρα ανάφλεξης με σπινθήρα</w:t>
            </w:r>
          </w:p>
        </w:tc>
        <w:tc>
          <w:tcPr>
            <w:tcW w:w="1361" w:type="dxa"/>
            <w:tcBorders>
              <w:top w:val="single" w:sz="6" w:space="0" w:color="000000"/>
              <w:left w:val="single" w:sz="6" w:space="0" w:color="000000"/>
              <w:bottom w:val="single" w:sz="6" w:space="0" w:color="000000"/>
              <w:right w:val="single" w:sz="6" w:space="0" w:color="000000"/>
            </w:tcBorders>
          </w:tcPr>
          <w:p w14:paraId="7375FB03" w14:textId="77777777" w:rsidR="00A2416E" w:rsidRDefault="00534832">
            <w:pPr>
              <w:pStyle w:val="TableParagraph"/>
              <w:rPr>
                <w:sz w:val="17"/>
              </w:rPr>
            </w:pPr>
            <w:r>
              <w:rPr>
                <w:sz w:val="17"/>
              </w:rPr>
              <w:t>74.5</w:t>
            </w:r>
          </w:p>
        </w:tc>
        <w:tc>
          <w:tcPr>
            <w:tcW w:w="1574" w:type="dxa"/>
            <w:tcBorders>
              <w:top w:val="single" w:sz="6" w:space="0" w:color="000000"/>
              <w:left w:val="single" w:sz="6" w:space="0" w:color="000000"/>
              <w:bottom w:val="single" w:sz="6" w:space="0" w:color="000000"/>
              <w:right w:val="nil"/>
            </w:tcBorders>
          </w:tcPr>
          <w:p w14:paraId="102B9F60" w14:textId="77777777" w:rsidR="00A2416E" w:rsidRDefault="00534832">
            <w:pPr>
              <w:pStyle w:val="TableParagraph"/>
              <w:rPr>
                <w:sz w:val="17"/>
              </w:rPr>
            </w:pPr>
            <w:r>
              <w:rPr>
                <w:sz w:val="17"/>
              </w:rPr>
              <w:t>74.5</w:t>
            </w:r>
          </w:p>
        </w:tc>
      </w:tr>
      <w:tr w:rsidR="00A2416E" w14:paraId="6E44497F" w14:textId="77777777" w:rsidTr="00440759">
        <w:trPr>
          <w:trHeight w:val="652"/>
        </w:trPr>
        <w:tc>
          <w:tcPr>
            <w:tcW w:w="2152" w:type="dxa"/>
            <w:tcBorders>
              <w:top w:val="single" w:sz="6" w:space="0" w:color="000000"/>
              <w:left w:val="nil"/>
              <w:bottom w:val="single" w:sz="6" w:space="0" w:color="000000"/>
              <w:right w:val="single" w:sz="6" w:space="0" w:color="000000"/>
            </w:tcBorders>
          </w:tcPr>
          <w:p w14:paraId="7F233705" w14:textId="77777777" w:rsidR="00A2416E" w:rsidRDefault="00534832" w:rsidP="00ED2D5D">
            <w:pPr>
              <w:pStyle w:val="TableParagraph"/>
              <w:spacing w:before="41" w:line="232" w:lineRule="auto"/>
              <w:ind w:left="6"/>
              <w:rPr>
                <w:sz w:val="17"/>
              </w:rPr>
            </w:pPr>
            <w:r>
              <w:rPr>
                <w:sz w:val="17"/>
              </w:rPr>
              <w:t>Αντίδραση Sabatier υδρογόνου με ηλεκτρόλυση με</w:t>
            </w:r>
          </w:p>
          <w:p w14:paraId="0502C750" w14:textId="77777777" w:rsidR="00A2416E" w:rsidRDefault="00534832" w:rsidP="00ED2D5D">
            <w:pPr>
              <w:pStyle w:val="TableParagraph"/>
              <w:spacing w:before="0" w:line="191" w:lineRule="exact"/>
              <w:ind w:left="6"/>
              <w:rPr>
                <w:sz w:val="17"/>
              </w:rPr>
            </w:pPr>
            <w:r>
              <w:rPr>
                <w:sz w:val="17"/>
              </w:rPr>
              <w:t>μη βιολογική ανανεώσιμη ενέργεια</w:t>
            </w:r>
          </w:p>
        </w:tc>
        <w:tc>
          <w:tcPr>
            <w:tcW w:w="1881" w:type="dxa"/>
            <w:tcBorders>
              <w:top w:val="single" w:sz="6" w:space="0" w:color="000000"/>
              <w:left w:val="single" w:sz="6" w:space="0" w:color="000000"/>
              <w:bottom w:val="single" w:sz="6" w:space="0" w:color="000000"/>
              <w:right w:val="single" w:sz="6" w:space="0" w:color="000000"/>
            </w:tcBorders>
          </w:tcPr>
          <w:p w14:paraId="56A4EB5A" w14:textId="77777777" w:rsidR="00A2416E" w:rsidRDefault="00534832" w:rsidP="00ED2D5D">
            <w:pPr>
              <w:pStyle w:val="TableParagraph"/>
              <w:spacing w:before="41" w:line="233" w:lineRule="auto"/>
              <w:ind w:left="113"/>
              <w:rPr>
                <w:sz w:val="17"/>
              </w:rPr>
            </w:pPr>
            <w:r>
              <w:rPr>
                <w:sz w:val="17"/>
              </w:rPr>
              <w:t>Συμπιεσμένο συνθετικό μεθάνιο σε κινητήρα ανάφλεξης με σπινθήρα</w:t>
            </w:r>
          </w:p>
        </w:tc>
        <w:tc>
          <w:tcPr>
            <w:tcW w:w="1361" w:type="dxa"/>
            <w:tcBorders>
              <w:top w:val="single" w:sz="6" w:space="0" w:color="000000"/>
              <w:left w:val="single" w:sz="6" w:space="0" w:color="000000"/>
              <w:bottom w:val="single" w:sz="6" w:space="0" w:color="000000"/>
              <w:right w:val="single" w:sz="6" w:space="0" w:color="000000"/>
            </w:tcBorders>
          </w:tcPr>
          <w:p w14:paraId="0FE5CABE" w14:textId="77777777" w:rsidR="00A2416E" w:rsidRDefault="00534832">
            <w:pPr>
              <w:pStyle w:val="TableParagraph"/>
              <w:rPr>
                <w:sz w:val="17"/>
              </w:rPr>
            </w:pPr>
            <w:r>
              <w:rPr>
                <w:sz w:val="17"/>
              </w:rPr>
              <w:t>3.3</w:t>
            </w:r>
          </w:p>
        </w:tc>
        <w:tc>
          <w:tcPr>
            <w:tcW w:w="1574" w:type="dxa"/>
            <w:tcBorders>
              <w:top w:val="single" w:sz="6" w:space="0" w:color="000000"/>
              <w:left w:val="single" w:sz="6" w:space="0" w:color="000000"/>
              <w:bottom w:val="single" w:sz="6" w:space="0" w:color="000000"/>
              <w:right w:val="nil"/>
            </w:tcBorders>
          </w:tcPr>
          <w:p w14:paraId="7D9F95D7" w14:textId="77777777" w:rsidR="00A2416E" w:rsidRDefault="00534832">
            <w:pPr>
              <w:pStyle w:val="TableParagraph"/>
              <w:rPr>
                <w:sz w:val="17"/>
              </w:rPr>
            </w:pPr>
            <w:r>
              <w:rPr>
                <w:sz w:val="17"/>
              </w:rPr>
              <w:t>3.3</w:t>
            </w:r>
          </w:p>
        </w:tc>
      </w:tr>
      <w:tr w:rsidR="00A2416E" w14:paraId="3DEDD229" w14:textId="77777777" w:rsidTr="00440759">
        <w:trPr>
          <w:trHeight w:val="462"/>
        </w:trPr>
        <w:tc>
          <w:tcPr>
            <w:tcW w:w="2152" w:type="dxa"/>
            <w:tcBorders>
              <w:top w:val="single" w:sz="6" w:space="0" w:color="000000"/>
              <w:left w:val="nil"/>
              <w:bottom w:val="single" w:sz="6" w:space="0" w:color="000000"/>
              <w:right w:val="single" w:sz="6" w:space="0" w:color="000000"/>
            </w:tcBorders>
          </w:tcPr>
          <w:p w14:paraId="4CC478A9" w14:textId="77777777" w:rsidR="00A2416E" w:rsidRDefault="00534832" w:rsidP="00ED2D5D">
            <w:pPr>
              <w:pStyle w:val="TableParagraph"/>
              <w:spacing w:before="41" w:line="233" w:lineRule="auto"/>
              <w:ind w:left="6"/>
              <w:rPr>
                <w:sz w:val="17"/>
              </w:rPr>
            </w:pPr>
            <w:r>
              <w:rPr>
                <w:sz w:val="17"/>
              </w:rPr>
              <w:t>Φυσικό αέριο μέσω της μεταρρύθμισης του ατμού</w:t>
            </w:r>
          </w:p>
        </w:tc>
        <w:tc>
          <w:tcPr>
            <w:tcW w:w="1881" w:type="dxa"/>
            <w:tcBorders>
              <w:top w:val="single" w:sz="6" w:space="0" w:color="000000"/>
              <w:left w:val="single" w:sz="6" w:space="0" w:color="000000"/>
              <w:bottom w:val="single" w:sz="6" w:space="0" w:color="000000"/>
              <w:right w:val="single" w:sz="6" w:space="0" w:color="000000"/>
            </w:tcBorders>
          </w:tcPr>
          <w:p w14:paraId="2855B80C" w14:textId="77777777" w:rsidR="00A2416E" w:rsidRDefault="00534832" w:rsidP="00ED2D5D">
            <w:pPr>
              <w:pStyle w:val="TableParagraph"/>
              <w:spacing w:before="41" w:line="233" w:lineRule="auto"/>
              <w:ind w:left="113"/>
              <w:rPr>
                <w:sz w:val="17"/>
              </w:rPr>
            </w:pPr>
            <w:r>
              <w:rPr>
                <w:sz w:val="17"/>
              </w:rPr>
              <w:t>Συμπιεσμένο υδρογόνο σε κυψέλη καυσίμου</w:t>
            </w:r>
          </w:p>
        </w:tc>
        <w:tc>
          <w:tcPr>
            <w:tcW w:w="1361" w:type="dxa"/>
            <w:tcBorders>
              <w:top w:val="single" w:sz="6" w:space="0" w:color="000000"/>
              <w:left w:val="single" w:sz="6" w:space="0" w:color="000000"/>
              <w:bottom w:val="single" w:sz="6" w:space="0" w:color="000000"/>
              <w:right w:val="single" w:sz="6" w:space="0" w:color="000000"/>
            </w:tcBorders>
          </w:tcPr>
          <w:p w14:paraId="7B82773A" w14:textId="77777777" w:rsidR="00A2416E" w:rsidRDefault="00534832">
            <w:pPr>
              <w:pStyle w:val="TableParagraph"/>
              <w:rPr>
                <w:sz w:val="17"/>
              </w:rPr>
            </w:pPr>
            <w:r>
              <w:rPr>
                <w:sz w:val="17"/>
              </w:rPr>
              <w:t>104,3</w:t>
            </w:r>
          </w:p>
        </w:tc>
        <w:tc>
          <w:tcPr>
            <w:tcW w:w="1574" w:type="dxa"/>
            <w:tcBorders>
              <w:top w:val="single" w:sz="6" w:space="0" w:color="000000"/>
              <w:left w:val="single" w:sz="6" w:space="0" w:color="000000"/>
              <w:bottom w:val="single" w:sz="6" w:space="0" w:color="000000"/>
              <w:right w:val="nil"/>
            </w:tcBorders>
          </w:tcPr>
          <w:p w14:paraId="5724E83A" w14:textId="77777777" w:rsidR="00A2416E" w:rsidRDefault="00534832">
            <w:pPr>
              <w:pStyle w:val="TableParagraph"/>
              <w:rPr>
                <w:sz w:val="17"/>
              </w:rPr>
            </w:pPr>
            <w:r>
              <w:rPr>
                <w:sz w:val="17"/>
              </w:rPr>
              <w:t>104,3</w:t>
            </w:r>
          </w:p>
        </w:tc>
      </w:tr>
      <w:tr w:rsidR="00A2416E" w14:paraId="08CAB5BA" w14:textId="77777777" w:rsidTr="00440759">
        <w:trPr>
          <w:trHeight w:val="462"/>
        </w:trPr>
        <w:tc>
          <w:tcPr>
            <w:tcW w:w="2152" w:type="dxa"/>
            <w:tcBorders>
              <w:top w:val="single" w:sz="6" w:space="0" w:color="000000"/>
              <w:left w:val="nil"/>
              <w:bottom w:val="single" w:sz="6" w:space="0" w:color="000000"/>
              <w:right w:val="single" w:sz="6" w:space="0" w:color="000000"/>
            </w:tcBorders>
          </w:tcPr>
          <w:p w14:paraId="67A4479C" w14:textId="77777777" w:rsidR="00A2416E" w:rsidRDefault="00534832" w:rsidP="00440759">
            <w:pPr>
              <w:pStyle w:val="TableParagraph"/>
              <w:spacing w:before="41" w:line="233" w:lineRule="auto"/>
              <w:ind w:left="6"/>
              <w:rPr>
                <w:sz w:val="17"/>
              </w:rPr>
            </w:pPr>
            <w:r>
              <w:rPr>
                <w:sz w:val="17"/>
              </w:rPr>
              <w:t>Ηλεκτρόλυση πλήρως τροφοδοτούμενη με ανανεώσιμη μη βιολογική ενέργεια</w:t>
            </w:r>
          </w:p>
        </w:tc>
        <w:tc>
          <w:tcPr>
            <w:tcW w:w="1881" w:type="dxa"/>
            <w:tcBorders>
              <w:top w:val="single" w:sz="6" w:space="0" w:color="000000"/>
              <w:left w:val="single" w:sz="6" w:space="0" w:color="000000"/>
              <w:bottom w:val="single" w:sz="6" w:space="0" w:color="000000"/>
              <w:right w:val="single" w:sz="6" w:space="0" w:color="000000"/>
            </w:tcBorders>
          </w:tcPr>
          <w:p w14:paraId="245C07E9" w14:textId="77777777" w:rsidR="00A2416E" w:rsidRDefault="00534832">
            <w:pPr>
              <w:pStyle w:val="TableParagraph"/>
              <w:spacing w:before="41" w:line="232" w:lineRule="auto"/>
              <w:ind w:right="135"/>
              <w:rPr>
                <w:sz w:val="17"/>
              </w:rPr>
            </w:pPr>
            <w:r>
              <w:rPr>
                <w:sz w:val="17"/>
              </w:rPr>
              <w:t>Συμπιεσμένο υδρογόνο σε κυψέλη καυσίμου</w:t>
            </w:r>
          </w:p>
        </w:tc>
        <w:tc>
          <w:tcPr>
            <w:tcW w:w="1361" w:type="dxa"/>
            <w:tcBorders>
              <w:top w:val="single" w:sz="6" w:space="0" w:color="000000"/>
              <w:left w:val="single" w:sz="6" w:space="0" w:color="000000"/>
              <w:bottom w:val="single" w:sz="6" w:space="0" w:color="000000"/>
              <w:right w:val="single" w:sz="6" w:space="0" w:color="000000"/>
            </w:tcBorders>
          </w:tcPr>
          <w:p w14:paraId="79A8401F" w14:textId="77777777" w:rsidR="00A2416E" w:rsidRDefault="00534832">
            <w:pPr>
              <w:pStyle w:val="TableParagraph"/>
              <w:rPr>
                <w:sz w:val="17"/>
              </w:rPr>
            </w:pPr>
            <w:r>
              <w:rPr>
                <w:sz w:val="17"/>
              </w:rPr>
              <w:t>9.1</w:t>
            </w:r>
          </w:p>
        </w:tc>
        <w:tc>
          <w:tcPr>
            <w:tcW w:w="1574" w:type="dxa"/>
            <w:tcBorders>
              <w:top w:val="single" w:sz="6" w:space="0" w:color="000000"/>
              <w:left w:val="single" w:sz="6" w:space="0" w:color="000000"/>
              <w:bottom w:val="single" w:sz="6" w:space="0" w:color="000000"/>
              <w:right w:val="nil"/>
            </w:tcBorders>
          </w:tcPr>
          <w:p w14:paraId="46B0D43B" w14:textId="77777777" w:rsidR="00A2416E" w:rsidRDefault="00534832">
            <w:pPr>
              <w:pStyle w:val="TableParagraph"/>
              <w:rPr>
                <w:sz w:val="17"/>
              </w:rPr>
            </w:pPr>
            <w:r>
              <w:rPr>
                <w:sz w:val="17"/>
              </w:rPr>
              <w:t>9.1</w:t>
            </w:r>
          </w:p>
        </w:tc>
      </w:tr>
      <w:tr w:rsidR="00A2416E" w14:paraId="0C1EC040" w14:textId="77777777" w:rsidTr="00440759">
        <w:trPr>
          <w:trHeight w:val="462"/>
        </w:trPr>
        <w:tc>
          <w:tcPr>
            <w:tcW w:w="2152" w:type="dxa"/>
            <w:tcBorders>
              <w:top w:val="single" w:sz="6" w:space="0" w:color="000000"/>
              <w:left w:val="nil"/>
              <w:bottom w:val="single" w:sz="6" w:space="0" w:color="000000"/>
              <w:right w:val="single" w:sz="6" w:space="0" w:color="000000"/>
            </w:tcBorders>
          </w:tcPr>
          <w:p w14:paraId="63AA4F53" w14:textId="77777777" w:rsidR="00A2416E" w:rsidRDefault="00534832">
            <w:pPr>
              <w:pStyle w:val="TableParagraph"/>
              <w:ind w:left="7"/>
              <w:rPr>
                <w:sz w:val="17"/>
              </w:rPr>
            </w:pPr>
            <w:r>
              <w:rPr>
                <w:sz w:val="17"/>
              </w:rPr>
              <w:t>Γαιάνθρακας</w:t>
            </w:r>
          </w:p>
        </w:tc>
        <w:tc>
          <w:tcPr>
            <w:tcW w:w="1881" w:type="dxa"/>
            <w:tcBorders>
              <w:top w:val="single" w:sz="6" w:space="0" w:color="000000"/>
              <w:left w:val="single" w:sz="6" w:space="0" w:color="000000"/>
              <w:bottom w:val="single" w:sz="6" w:space="0" w:color="000000"/>
              <w:right w:val="single" w:sz="6" w:space="0" w:color="000000"/>
            </w:tcBorders>
          </w:tcPr>
          <w:p w14:paraId="17B20A2E" w14:textId="77777777" w:rsidR="00A2416E" w:rsidRDefault="00534832" w:rsidP="00440759">
            <w:pPr>
              <w:pStyle w:val="TableParagraph"/>
              <w:spacing w:before="41" w:line="233" w:lineRule="auto"/>
              <w:ind w:left="113"/>
              <w:rPr>
                <w:sz w:val="17"/>
              </w:rPr>
            </w:pPr>
            <w:r>
              <w:rPr>
                <w:sz w:val="17"/>
              </w:rPr>
              <w:t>Συμπιεσμένο υδρογόνο σε κυψέλη καυσίμου</w:t>
            </w:r>
          </w:p>
        </w:tc>
        <w:tc>
          <w:tcPr>
            <w:tcW w:w="1361" w:type="dxa"/>
            <w:tcBorders>
              <w:top w:val="single" w:sz="6" w:space="0" w:color="000000"/>
              <w:left w:val="single" w:sz="6" w:space="0" w:color="000000"/>
              <w:bottom w:val="single" w:sz="6" w:space="0" w:color="000000"/>
              <w:right w:val="single" w:sz="6" w:space="0" w:color="000000"/>
            </w:tcBorders>
          </w:tcPr>
          <w:p w14:paraId="243D5730" w14:textId="77777777" w:rsidR="00A2416E" w:rsidRDefault="00534832">
            <w:pPr>
              <w:pStyle w:val="TableParagraph"/>
              <w:rPr>
                <w:sz w:val="17"/>
              </w:rPr>
            </w:pPr>
            <w:r>
              <w:rPr>
                <w:sz w:val="17"/>
              </w:rPr>
              <w:t>234.4</w:t>
            </w:r>
          </w:p>
        </w:tc>
        <w:tc>
          <w:tcPr>
            <w:tcW w:w="1574" w:type="dxa"/>
            <w:tcBorders>
              <w:top w:val="single" w:sz="6" w:space="0" w:color="000000"/>
              <w:left w:val="single" w:sz="6" w:space="0" w:color="000000"/>
              <w:bottom w:val="single" w:sz="6" w:space="0" w:color="000000"/>
              <w:right w:val="nil"/>
            </w:tcBorders>
          </w:tcPr>
          <w:p w14:paraId="6046830F" w14:textId="77777777" w:rsidR="00A2416E" w:rsidRDefault="00534832">
            <w:pPr>
              <w:pStyle w:val="TableParagraph"/>
              <w:rPr>
                <w:sz w:val="17"/>
              </w:rPr>
            </w:pPr>
            <w:r>
              <w:rPr>
                <w:sz w:val="17"/>
              </w:rPr>
              <w:t>234.4</w:t>
            </w:r>
          </w:p>
        </w:tc>
      </w:tr>
      <w:tr w:rsidR="00A2416E" w14:paraId="789D2C95" w14:textId="77777777" w:rsidTr="00440759">
        <w:trPr>
          <w:trHeight w:val="462"/>
        </w:trPr>
        <w:tc>
          <w:tcPr>
            <w:tcW w:w="2152" w:type="dxa"/>
            <w:tcBorders>
              <w:top w:val="single" w:sz="6" w:space="0" w:color="000000"/>
              <w:left w:val="nil"/>
              <w:bottom w:val="single" w:sz="6" w:space="0" w:color="000000"/>
              <w:right w:val="single" w:sz="6" w:space="0" w:color="000000"/>
            </w:tcBorders>
          </w:tcPr>
          <w:p w14:paraId="12C21D03" w14:textId="77777777" w:rsidR="00A2416E" w:rsidRDefault="00534832">
            <w:pPr>
              <w:pStyle w:val="TableParagraph"/>
              <w:spacing w:before="41" w:line="232" w:lineRule="auto"/>
              <w:ind w:left="7" w:right="174"/>
              <w:rPr>
                <w:sz w:val="17"/>
              </w:rPr>
            </w:pPr>
            <w:r>
              <w:rPr>
                <w:sz w:val="17"/>
              </w:rPr>
              <w:t>Άνθρακας με δέσμευση και αποθήκευση εκπομπών διεργασίας</w:t>
            </w:r>
          </w:p>
        </w:tc>
        <w:tc>
          <w:tcPr>
            <w:tcW w:w="1881" w:type="dxa"/>
            <w:tcBorders>
              <w:top w:val="single" w:sz="6" w:space="0" w:color="000000"/>
              <w:left w:val="single" w:sz="6" w:space="0" w:color="000000"/>
              <w:bottom w:val="single" w:sz="6" w:space="0" w:color="000000"/>
              <w:right w:val="single" w:sz="6" w:space="0" w:color="000000"/>
            </w:tcBorders>
          </w:tcPr>
          <w:p w14:paraId="3BDFB3B0" w14:textId="77777777" w:rsidR="00A2416E" w:rsidRDefault="00534832">
            <w:pPr>
              <w:pStyle w:val="TableParagraph"/>
              <w:spacing w:before="41" w:line="232" w:lineRule="auto"/>
              <w:ind w:right="135"/>
              <w:rPr>
                <w:sz w:val="17"/>
              </w:rPr>
            </w:pPr>
            <w:r>
              <w:rPr>
                <w:sz w:val="17"/>
              </w:rPr>
              <w:t>Συμπιεσμένο υδρογόνο σε κυψέλη καυσίμου</w:t>
            </w:r>
          </w:p>
        </w:tc>
        <w:tc>
          <w:tcPr>
            <w:tcW w:w="1361" w:type="dxa"/>
            <w:tcBorders>
              <w:top w:val="single" w:sz="6" w:space="0" w:color="000000"/>
              <w:left w:val="single" w:sz="6" w:space="0" w:color="000000"/>
              <w:bottom w:val="single" w:sz="6" w:space="0" w:color="000000"/>
              <w:right w:val="single" w:sz="6" w:space="0" w:color="000000"/>
            </w:tcBorders>
          </w:tcPr>
          <w:p w14:paraId="0FFD383D" w14:textId="77777777" w:rsidR="00A2416E" w:rsidRDefault="00534832">
            <w:pPr>
              <w:pStyle w:val="TableParagraph"/>
              <w:rPr>
                <w:sz w:val="17"/>
              </w:rPr>
            </w:pPr>
            <w:r>
              <w:rPr>
                <w:sz w:val="17"/>
              </w:rPr>
              <w:t>52.7</w:t>
            </w:r>
          </w:p>
        </w:tc>
        <w:tc>
          <w:tcPr>
            <w:tcW w:w="1574" w:type="dxa"/>
            <w:tcBorders>
              <w:top w:val="single" w:sz="6" w:space="0" w:color="000000"/>
              <w:left w:val="single" w:sz="6" w:space="0" w:color="000000"/>
              <w:bottom w:val="single" w:sz="6" w:space="0" w:color="000000"/>
              <w:right w:val="nil"/>
            </w:tcBorders>
          </w:tcPr>
          <w:p w14:paraId="006332B6" w14:textId="77777777" w:rsidR="00A2416E" w:rsidRDefault="00534832">
            <w:pPr>
              <w:pStyle w:val="TableParagraph"/>
              <w:rPr>
                <w:sz w:val="17"/>
              </w:rPr>
            </w:pPr>
            <w:r>
              <w:rPr>
                <w:sz w:val="17"/>
              </w:rPr>
              <w:t>52.7</w:t>
            </w:r>
          </w:p>
        </w:tc>
      </w:tr>
      <w:tr w:rsidR="00A2416E" w14:paraId="1F750C81" w14:textId="77777777" w:rsidTr="00440759">
        <w:trPr>
          <w:trHeight w:val="462"/>
        </w:trPr>
        <w:tc>
          <w:tcPr>
            <w:tcW w:w="2152" w:type="dxa"/>
            <w:tcBorders>
              <w:top w:val="single" w:sz="6" w:space="0" w:color="000000"/>
              <w:left w:val="nil"/>
              <w:bottom w:val="single" w:sz="6" w:space="0" w:color="000000"/>
              <w:right w:val="single" w:sz="6" w:space="0" w:color="000000"/>
            </w:tcBorders>
          </w:tcPr>
          <w:p w14:paraId="40C44060" w14:textId="77777777" w:rsidR="00A2416E" w:rsidRDefault="00534832" w:rsidP="00ED2D5D">
            <w:pPr>
              <w:pStyle w:val="TableParagraph"/>
              <w:spacing w:before="41" w:line="233" w:lineRule="auto"/>
              <w:ind w:left="6"/>
              <w:rPr>
                <w:sz w:val="17"/>
              </w:rPr>
            </w:pPr>
            <w:r>
              <w:rPr>
                <w:sz w:val="17"/>
              </w:rPr>
              <w:t>Πλαστικά απόβλητα που εξορύσσονται από ορυκτές πρώτες ύλες</w:t>
            </w:r>
          </w:p>
        </w:tc>
        <w:tc>
          <w:tcPr>
            <w:tcW w:w="1881" w:type="dxa"/>
            <w:tcBorders>
              <w:top w:val="single" w:sz="6" w:space="0" w:color="000000"/>
              <w:left w:val="single" w:sz="6" w:space="0" w:color="000000"/>
              <w:bottom w:val="single" w:sz="6" w:space="0" w:color="000000"/>
              <w:right w:val="single" w:sz="6" w:space="0" w:color="000000"/>
            </w:tcBorders>
          </w:tcPr>
          <w:p w14:paraId="43E6687C" w14:textId="77777777" w:rsidR="00A2416E" w:rsidRDefault="00534832" w:rsidP="00ED2D5D">
            <w:pPr>
              <w:pStyle w:val="TableParagraph"/>
              <w:spacing w:before="41" w:line="233" w:lineRule="auto"/>
              <w:ind w:left="113"/>
              <w:rPr>
                <w:sz w:val="17"/>
              </w:rPr>
            </w:pPr>
            <w:r>
              <w:rPr>
                <w:sz w:val="17"/>
              </w:rPr>
              <w:t>Βενζίνη, ντίζελ ή πετρέλαιο εσωτερικής καύσης</w:t>
            </w:r>
          </w:p>
        </w:tc>
        <w:tc>
          <w:tcPr>
            <w:tcW w:w="1361" w:type="dxa"/>
            <w:tcBorders>
              <w:top w:val="single" w:sz="6" w:space="0" w:color="000000"/>
              <w:left w:val="single" w:sz="6" w:space="0" w:color="000000"/>
              <w:bottom w:val="single" w:sz="6" w:space="0" w:color="000000"/>
              <w:right w:val="single" w:sz="6" w:space="0" w:color="000000"/>
            </w:tcBorders>
          </w:tcPr>
          <w:p w14:paraId="79432D11" w14:textId="77777777" w:rsidR="00A2416E" w:rsidRDefault="00534832">
            <w:pPr>
              <w:pStyle w:val="TableParagraph"/>
              <w:rPr>
                <w:sz w:val="17"/>
              </w:rPr>
            </w:pPr>
            <w:r>
              <w:rPr>
                <w:sz w:val="17"/>
              </w:rPr>
              <w:t>86</w:t>
            </w:r>
          </w:p>
        </w:tc>
        <w:tc>
          <w:tcPr>
            <w:tcW w:w="1574" w:type="dxa"/>
            <w:tcBorders>
              <w:top w:val="single" w:sz="6" w:space="0" w:color="000000"/>
              <w:left w:val="single" w:sz="6" w:space="0" w:color="000000"/>
              <w:bottom w:val="single" w:sz="6" w:space="0" w:color="000000"/>
              <w:right w:val="nil"/>
            </w:tcBorders>
          </w:tcPr>
          <w:p w14:paraId="2124E515" w14:textId="77777777" w:rsidR="00A2416E" w:rsidRDefault="00534832">
            <w:pPr>
              <w:pStyle w:val="TableParagraph"/>
              <w:rPr>
                <w:sz w:val="17"/>
              </w:rPr>
            </w:pPr>
            <w:r>
              <w:rPr>
                <w:sz w:val="17"/>
              </w:rPr>
              <w:t>86</w:t>
            </w:r>
          </w:p>
        </w:tc>
      </w:tr>
    </w:tbl>
    <w:p w14:paraId="686D7B57" w14:textId="77777777" w:rsidR="00A2416E" w:rsidRDefault="00534832">
      <w:pPr>
        <w:spacing w:before="126" w:line="232" w:lineRule="auto"/>
        <w:ind w:left="400" w:right="1902"/>
        <w:rPr>
          <w:sz w:val="17"/>
        </w:rPr>
      </w:pPr>
      <w:r>
        <w:rPr>
          <w:sz w:val="10"/>
        </w:rPr>
        <w:t xml:space="preserve">1 </w:t>
      </w:r>
      <w:r>
        <w:rPr>
          <w:sz w:val="17"/>
        </w:rPr>
        <w:t>Συμβατικό αργό πετρέλαιο σημαίνει κάθε πρώτη ύλη διυλιστηρίου με βαρύτητα API (American Petroleum Institute) μεγαλύτερη από 10 μοίρες όταν βρίσκεται σε σχηματισμό ταμιευτήρα στον τόπο προέλευσής του, μετρούμενη σύμφωνα με τη μέθοδο δοκιμής ASTM D287, και δεν εμπίπτει στον ορισμό για τον κωδικό ΣΟ 2714</w:t>
      </w:r>
    </w:p>
    <w:p w14:paraId="4B21A793" w14:textId="77777777" w:rsidR="00A2416E" w:rsidRDefault="00534832">
      <w:pPr>
        <w:tabs>
          <w:tab w:val="right" w:pos="7997"/>
        </w:tabs>
        <w:spacing w:line="238" w:lineRule="exact"/>
        <w:ind w:left="400"/>
        <w:rPr>
          <w:rFonts w:ascii="HelveticaNeueLT Std Cn" w:hAnsi="HelveticaNeueLT Std Cn"/>
          <w:sz w:val="20"/>
        </w:rPr>
      </w:pPr>
      <w:r>
        <w:rPr>
          <w:sz w:val="17"/>
        </w:rPr>
        <w:t>όπως ορίζεται στον κανονισμό (ΕΟΚ) αριθ. 2658/87.</w:t>
      </w:r>
      <w:r>
        <w:rPr>
          <w:sz w:val="17"/>
        </w:rPr>
        <w:tab/>
      </w:r>
      <w:r>
        <w:rPr>
          <w:rFonts w:ascii="HelveticaNeueLT Std Cn" w:hAnsi="HelveticaNeueLT Std Cn"/>
          <w:sz w:val="20"/>
        </w:rPr>
        <w:t>5</w:t>
      </w:r>
    </w:p>
    <w:p w14:paraId="65268C9D" w14:textId="77777777" w:rsidR="00A2416E" w:rsidRDefault="00A2416E">
      <w:pPr>
        <w:spacing w:line="238" w:lineRule="exact"/>
        <w:rPr>
          <w:rFonts w:ascii="HelveticaNeueLT Std Cn" w:hAnsi="HelveticaNeueLT Std Cn"/>
          <w:sz w:val="20"/>
        </w:rPr>
        <w:sectPr w:rsidR="00A2416E">
          <w:type w:val="continuous"/>
          <w:pgSz w:w="9360" w:h="13720"/>
          <w:pgMar w:top="900" w:right="580" w:bottom="280" w:left="620" w:header="720" w:footer="720" w:gutter="0"/>
          <w:cols w:space="720"/>
        </w:sectPr>
      </w:pPr>
    </w:p>
    <w:p w14:paraId="12ED578D" w14:textId="77777777" w:rsidR="00A2416E" w:rsidRDefault="00534832">
      <w:pPr>
        <w:pStyle w:val="Rubrik2"/>
        <w:spacing w:line="228" w:lineRule="auto"/>
        <w:ind w:right="19"/>
      </w:pPr>
      <w:r>
        <w:lastRenderedPageBreak/>
        <w:t>STEMFS 2021:2</w:t>
      </w:r>
    </w:p>
    <w:p w14:paraId="36448102" w14:textId="77777777" w:rsidR="00A2416E" w:rsidRDefault="00534832">
      <w:pPr>
        <w:spacing w:before="81" w:line="232" w:lineRule="auto"/>
        <w:ind w:left="117" w:right="437"/>
        <w:rPr>
          <w:sz w:val="17"/>
        </w:rPr>
      </w:pPr>
      <w:r>
        <w:br w:type="column"/>
      </w:r>
      <w:r>
        <w:rPr>
          <w:sz w:val="10"/>
        </w:rPr>
        <w:t xml:space="preserve">2 </w:t>
      </w:r>
      <w:r>
        <w:rPr>
          <w:sz w:val="17"/>
        </w:rPr>
        <w:t>Ως φυσική άσφαλτος νοείται κάθε πρώτη ύλη διυλιστηρίου που α) έχει βαρύτητα 10 μοιρών API (Αμερικανικό Ινστιτούτο Πετρελαίου) ή λιγότερο όταν βρίσκεται σε σχηματισμό ταμιευτήρα στον τόπο εξαγωγής, όπως ορίζεται σύμφωνα με τη μέθοδο δοκιμής της Αμερικανικής Εταιρείας Δοκιμών και Υλικών (ASTM) D287· β) έχει ετήσιο μέσο ιξώδες σε θερμοκρασία ταμιευτήρα μεγαλύτερο από εκείνο που υπολογίζεται με την εξίσωση Ιξώδες (Centipoise) = 518,98e-0,038T, όπου T είναι η θερμοκρασία σε βαθμούς Κελσίου· γ) εμπίπτει στον ορισμό της ασφαλτούχου άμμου υπό τον κωδικό συνδυασμένης ονοματολογίας (ΣΟ) 2714, όπως ορίζεται στον κανονισμό (ΕΟΚ) αριθ. 2658/87 του Συμβουλίου· και δ) όταν η κινητοποίηση της πηγής της πρώτης ύλης επιτυγχάνεται με εξόρυξη ή θερμικά βελτιωμένη αποστράγγιση με βαρύτητα, όταν η θερμική ενέργεια προέρχεται κυρίως από πηγές διαφορετικές από την ίδια την πηγή πρώτης ύλης.</w:t>
      </w:r>
    </w:p>
    <w:p w14:paraId="7D15F9D2" w14:textId="77777777" w:rsidR="00A2416E" w:rsidRDefault="00534832">
      <w:pPr>
        <w:spacing w:before="89" w:line="232" w:lineRule="auto"/>
        <w:ind w:left="117" w:right="473"/>
        <w:rPr>
          <w:sz w:val="17"/>
        </w:rPr>
      </w:pPr>
      <w:r>
        <w:rPr>
          <w:sz w:val="10"/>
        </w:rPr>
        <w:t xml:space="preserve">3 </w:t>
      </w:r>
      <w:r>
        <w:rPr>
          <w:sz w:val="17"/>
        </w:rPr>
        <w:t>Ως σχιστολιθικό πετρέλαιο νοείται κάθε πηγή πρώτης ύλης διυλιστηρίου που βρίσκεται σε σχηματισμό πετρωμάτων που περιέχει στερεά κηρογόνα και εμπίπτει στον ορισμό του σχιστολιθικού πετρελαίου του κωδικού ΣΟ 2714, όπως περιγράφεται στον κανονισμό (ΕΟΚ) αριθ. 2658/87. Η κινητοποίηση της πηγής της πρώτης ύλης επιτυγχάνεται με εξόρυξη ή θερμικά βελτιωμένη αποστράγγιση με βαρύτητα.</w:t>
      </w:r>
    </w:p>
    <w:p w14:paraId="4F1DF429" w14:textId="77777777" w:rsidR="00A2416E" w:rsidRDefault="00A2416E">
      <w:pPr>
        <w:spacing w:line="232" w:lineRule="auto"/>
        <w:rPr>
          <w:sz w:val="17"/>
        </w:rPr>
        <w:sectPr w:rsidR="00A2416E">
          <w:pgSz w:w="9360" w:h="13720"/>
          <w:pgMar w:top="940" w:right="580" w:bottom="280" w:left="620" w:header="720" w:footer="720" w:gutter="0"/>
          <w:cols w:num="2" w:space="720" w:equalWidth="0">
            <w:col w:w="997" w:space="703"/>
            <w:col w:w="6460"/>
          </w:cols>
        </w:sectPr>
      </w:pPr>
    </w:p>
    <w:p w14:paraId="4B2CA0EF" w14:textId="77777777" w:rsidR="00A2416E" w:rsidRDefault="00A2416E">
      <w:pPr>
        <w:pStyle w:val="Brdtext"/>
        <w:rPr>
          <w:sz w:val="26"/>
        </w:rPr>
      </w:pPr>
    </w:p>
    <w:p w14:paraId="0A26DB13" w14:textId="77777777" w:rsidR="00A2416E" w:rsidRDefault="00A2416E">
      <w:pPr>
        <w:pStyle w:val="Brdtext"/>
        <w:rPr>
          <w:sz w:val="26"/>
        </w:rPr>
      </w:pPr>
    </w:p>
    <w:p w14:paraId="0FAF311C" w14:textId="77777777" w:rsidR="00A2416E" w:rsidRDefault="00A2416E">
      <w:pPr>
        <w:pStyle w:val="Brdtext"/>
        <w:rPr>
          <w:sz w:val="26"/>
        </w:rPr>
      </w:pPr>
    </w:p>
    <w:p w14:paraId="4EFBC468" w14:textId="77777777" w:rsidR="00A2416E" w:rsidRDefault="00A2416E">
      <w:pPr>
        <w:pStyle w:val="Brdtext"/>
        <w:rPr>
          <w:sz w:val="26"/>
        </w:rPr>
      </w:pPr>
    </w:p>
    <w:p w14:paraId="2BAA9D54" w14:textId="77777777" w:rsidR="00A2416E" w:rsidRDefault="00A2416E">
      <w:pPr>
        <w:pStyle w:val="Brdtext"/>
        <w:rPr>
          <w:sz w:val="26"/>
        </w:rPr>
      </w:pPr>
    </w:p>
    <w:p w14:paraId="4B62674C" w14:textId="77777777" w:rsidR="00A2416E" w:rsidRDefault="00A2416E">
      <w:pPr>
        <w:pStyle w:val="Brdtext"/>
        <w:rPr>
          <w:sz w:val="26"/>
        </w:rPr>
      </w:pPr>
    </w:p>
    <w:p w14:paraId="1921A8E7" w14:textId="77777777" w:rsidR="00A2416E" w:rsidRDefault="00A2416E">
      <w:pPr>
        <w:pStyle w:val="Brdtext"/>
        <w:rPr>
          <w:sz w:val="26"/>
        </w:rPr>
      </w:pPr>
    </w:p>
    <w:p w14:paraId="3B5954AD" w14:textId="77777777" w:rsidR="00A2416E" w:rsidRDefault="00A2416E">
      <w:pPr>
        <w:pStyle w:val="Brdtext"/>
        <w:rPr>
          <w:sz w:val="26"/>
        </w:rPr>
      </w:pPr>
    </w:p>
    <w:p w14:paraId="6D123182" w14:textId="77777777" w:rsidR="00A2416E" w:rsidRDefault="00A2416E">
      <w:pPr>
        <w:pStyle w:val="Brdtext"/>
        <w:rPr>
          <w:sz w:val="26"/>
        </w:rPr>
      </w:pPr>
    </w:p>
    <w:p w14:paraId="6E023F0F" w14:textId="77777777" w:rsidR="00A2416E" w:rsidRDefault="00A2416E">
      <w:pPr>
        <w:pStyle w:val="Brdtext"/>
        <w:rPr>
          <w:sz w:val="26"/>
        </w:rPr>
      </w:pPr>
    </w:p>
    <w:p w14:paraId="673A25F2" w14:textId="77777777" w:rsidR="00A2416E" w:rsidRDefault="00A2416E">
      <w:pPr>
        <w:pStyle w:val="Brdtext"/>
        <w:rPr>
          <w:sz w:val="26"/>
        </w:rPr>
      </w:pPr>
    </w:p>
    <w:p w14:paraId="3CCEACBA" w14:textId="77777777" w:rsidR="00A2416E" w:rsidRDefault="00A2416E">
      <w:pPr>
        <w:pStyle w:val="Brdtext"/>
        <w:rPr>
          <w:sz w:val="26"/>
        </w:rPr>
      </w:pPr>
    </w:p>
    <w:p w14:paraId="5FC5200E" w14:textId="77777777" w:rsidR="00A2416E" w:rsidRDefault="00A2416E">
      <w:pPr>
        <w:pStyle w:val="Brdtext"/>
        <w:rPr>
          <w:sz w:val="26"/>
        </w:rPr>
      </w:pPr>
    </w:p>
    <w:p w14:paraId="286B93AD" w14:textId="77777777" w:rsidR="00A2416E" w:rsidRDefault="00A2416E">
      <w:pPr>
        <w:pStyle w:val="Brdtext"/>
        <w:rPr>
          <w:sz w:val="26"/>
        </w:rPr>
      </w:pPr>
    </w:p>
    <w:p w14:paraId="420D1E7A" w14:textId="77777777" w:rsidR="00A2416E" w:rsidRDefault="00A2416E">
      <w:pPr>
        <w:pStyle w:val="Brdtext"/>
        <w:rPr>
          <w:sz w:val="26"/>
        </w:rPr>
      </w:pPr>
    </w:p>
    <w:p w14:paraId="0C5704DE" w14:textId="77777777" w:rsidR="00A2416E" w:rsidRDefault="00A2416E">
      <w:pPr>
        <w:pStyle w:val="Brdtext"/>
        <w:rPr>
          <w:sz w:val="26"/>
        </w:rPr>
      </w:pPr>
    </w:p>
    <w:p w14:paraId="01626443" w14:textId="77777777" w:rsidR="00A2416E" w:rsidRDefault="00A2416E">
      <w:pPr>
        <w:pStyle w:val="Brdtext"/>
        <w:rPr>
          <w:sz w:val="26"/>
        </w:rPr>
      </w:pPr>
    </w:p>
    <w:p w14:paraId="36AD06E0" w14:textId="77777777" w:rsidR="00A2416E" w:rsidRDefault="00A2416E">
      <w:pPr>
        <w:pStyle w:val="Brdtext"/>
        <w:rPr>
          <w:sz w:val="26"/>
        </w:rPr>
      </w:pPr>
    </w:p>
    <w:p w14:paraId="26EDA37B" w14:textId="77777777" w:rsidR="00A2416E" w:rsidRDefault="00A2416E">
      <w:pPr>
        <w:pStyle w:val="Brdtext"/>
        <w:rPr>
          <w:sz w:val="26"/>
        </w:rPr>
      </w:pPr>
    </w:p>
    <w:p w14:paraId="05A57E67" w14:textId="77777777" w:rsidR="00A2416E" w:rsidRDefault="00A2416E">
      <w:pPr>
        <w:pStyle w:val="Brdtext"/>
        <w:rPr>
          <w:sz w:val="26"/>
        </w:rPr>
      </w:pPr>
    </w:p>
    <w:p w14:paraId="38EEEB4B" w14:textId="77777777" w:rsidR="00A2416E" w:rsidRDefault="00A2416E">
      <w:pPr>
        <w:pStyle w:val="Brdtext"/>
        <w:rPr>
          <w:sz w:val="26"/>
        </w:rPr>
      </w:pPr>
    </w:p>
    <w:p w14:paraId="40C566BA" w14:textId="77777777" w:rsidR="00A2416E" w:rsidRDefault="00A2416E">
      <w:pPr>
        <w:pStyle w:val="Brdtext"/>
        <w:rPr>
          <w:sz w:val="26"/>
        </w:rPr>
      </w:pPr>
    </w:p>
    <w:p w14:paraId="7002B62C" w14:textId="77777777" w:rsidR="00A2416E" w:rsidRDefault="00A2416E">
      <w:pPr>
        <w:pStyle w:val="Brdtext"/>
        <w:rPr>
          <w:sz w:val="26"/>
        </w:rPr>
      </w:pPr>
    </w:p>
    <w:p w14:paraId="3313B690" w14:textId="77777777" w:rsidR="00A2416E" w:rsidRDefault="00A2416E">
      <w:pPr>
        <w:pStyle w:val="Brdtext"/>
        <w:rPr>
          <w:sz w:val="26"/>
        </w:rPr>
      </w:pPr>
    </w:p>
    <w:p w14:paraId="164F8077" w14:textId="77777777" w:rsidR="00A2416E" w:rsidRDefault="00A2416E">
      <w:pPr>
        <w:pStyle w:val="Brdtext"/>
        <w:rPr>
          <w:sz w:val="26"/>
        </w:rPr>
      </w:pPr>
    </w:p>
    <w:p w14:paraId="03001A05" w14:textId="77777777" w:rsidR="00A2416E" w:rsidRDefault="00A2416E">
      <w:pPr>
        <w:pStyle w:val="Brdtext"/>
        <w:rPr>
          <w:sz w:val="26"/>
        </w:rPr>
      </w:pPr>
    </w:p>
    <w:p w14:paraId="35F2DB8D" w14:textId="77777777" w:rsidR="00A2416E" w:rsidRDefault="00A2416E">
      <w:pPr>
        <w:pStyle w:val="Brdtext"/>
        <w:rPr>
          <w:sz w:val="26"/>
        </w:rPr>
      </w:pPr>
    </w:p>
    <w:p w14:paraId="40DD90BC" w14:textId="77777777" w:rsidR="00A2416E" w:rsidRDefault="00534832">
      <w:pPr>
        <w:pStyle w:val="Rubrik3"/>
        <w:spacing w:before="224"/>
      </w:pPr>
      <w:r>
        <w:t>6</w:t>
      </w:r>
    </w:p>
    <w:p w14:paraId="0F0644FB" w14:textId="77777777" w:rsidR="00A2416E" w:rsidRDefault="00A2416E">
      <w:pPr>
        <w:sectPr w:rsidR="00A2416E">
          <w:type w:val="continuous"/>
          <w:pgSz w:w="9360" w:h="13720"/>
          <w:pgMar w:top="900" w:right="580" w:bottom="280" w:left="620" w:header="720" w:footer="720" w:gutter="0"/>
          <w:cols w:space="720"/>
        </w:sectPr>
      </w:pPr>
    </w:p>
    <w:p w14:paraId="7E910C00" w14:textId="77777777" w:rsidR="00A2416E" w:rsidRDefault="00A2416E">
      <w:pPr>
        <w:pStyle w:val="Brdtext"/>
        <w:spacing w:before="5"/>
        <w:rPr>
          <w:rFonts w:ascii="HelveticaNeueLT Std Cn"/>
          <w:sz w:val="17"/>
        </w:rPr>
      </w:pPr>
    </w:p>
    <w:p w14:paraId="1D864C65" w14:textId="77777777" w:rsidR="00A2416E" w:rsidRDefault="00A2416E">
      <w:pPr>
        <w:rPr>
          <w:rFonts w:ascii="HelveticaNeueLT Std Cn"/>
          <w:sz w:val="17"/>
        </w:rPr>
        <w:sectPr w:rsidR="00A2416E">
          <w:pgSz w:w="9360" w:h="13720"/>
          <w:pgMar w:top="1280" w:right="580" w:bottom="280" w:left="620" w:header="720" w:footer="720" w:gutter="0"/>
          <w:cols w:space="720"/>
        </w:sectPr>
      </w:pPr>
    </w:p>
    <w:p w14:paraId="442D83DA" w14:textId="77777777" w:rsidR="00A2416E" w:rsidRDefault="00A2416E">
      <w:pPr>
        <w:pStyle w:val="Brdtext"/>
        <w:rPr>
          <w:rFonts w:ascii="HelveticaNeueLT Std Cn"/>
          <w:sz w:val="20"/>
        </w:rPr>
      </w:pPr>
    </w:p>
    <w:p w14:paraId="21280EC6" w14:textId="77777777" w:rsidR="00A2416E" w:rsidRDefault="00A2416E">
      <w:pPr>
        <w:pStyle w:val="Brdtext"/>
        <w:rPr>
          <w:rFonts w:ascii="HelveticaNeueLT Std Cn"/>
          <w:sz w:val="20"/>
        </w:rPr>
      </w:pPr>
    </w:p>
    <w:p w14:paraId="18CB8DD6" w14:textId="77777777" w:rsidR="00A2416E" w:rsidRDefault="00A2416E">
      <w:pPr>
        <w:pStyle w:val="Brdtext"/>
        <w:rPr>
          <w:rFonts w:ascii="HelveticaNeueLT Std Cn"/>
          <w:sz w:val="20"/>
        </w:rPr>
      </w:pPr>
    </w:p>
    <w:p w14:paraId="540CFE4B" w14:textId="77777777" w:rsidR="00A2416E" w:rsidRDefault="00A2416E">
      <w:pPr>
        <w:pStyle w:val="Brdtext"/>
        <w:rPr>
          <w:rFonts w:ascii="HelveticaNeueLT Std Cn"/>
          <w:sz w:val="20"/>
        </w:rPr>
      </w:pPr>
    </w:p>
    <w:p w14:paraId="11845BE4" w14:textId="77777777" w:rsidR="00A2416E" w:rsidRDefault="00A2416E">
      <w:pPr>
        <w:pStyle w:val="Brdtext"/>
        <w:rPr>
          <w:rFonts w:ascii="HelveticaNeueLT Std Cn"/>
          <w:sz w:val="20"/>
        </w:rPr>
      </w:pPr>
    </w:p>
    <w:p w14:paraId="1DC5E8BC" w14:textId="77777777" w:rsidR="00A2416E" w:rsidRDefault="00A2416E">
      <w:pPr>
        <w:pStyle w:val="Brdtext"/>
        <w:rPr>
          <w:rFonts w:ascii="HelveticaNeueLT Std Cn"/>
          <w:sz w:val="20"/>
        </w:rPr>
      </w:pPr>
    </w:p>
    <w:p w14:paraId="4C7E42E5" w14:textId="77777777" w:rsidR="00A2416E" w:rsidRDefault="00A2416E">
      <w:pPr>
        <w:pStyle w:val="Brdtext"/>
        <w:rPr>
          <w:rFonts w:ascii="HelveticaNeueLT Std Cn"/>
          <w:sz w:val="20"/>
        </w:rPr>
      </w:pPr>
    </w:p>
    <w:p w14:paraId="22D939CA" w14:textId="77777777" w:rsidR="00A2416E" w:rsidRDefault="00A2416E">
      <w:pPr>
        <w:pStyle w:val="Brdtext"/>
        <w:rPr>
          <w:rFonts w:ascii="HelveticaNeueLT Std Cn"/>
          <w:sz w:val="20"/>
        </w:rPr>
      </w:pPr>
    </w:p>
    <w:p w14:paraId="028AB1C2" w14:textId="77777777" w:rsidR="00A2416E" w:rsidRDefault="00A2416E">
      <w:pPr>
        <w:pStyle w:val="Brdtext"/>
        <w:rPr>
          <w:rFonts w:ascii="HelveticaNeueLT Std Cn"/>
          <w:sz w:val="20"/>
        </w:rPr>
      </w:pPr>
    </w:p>
    <w:p w14:paraId="1DD21BDF" w14:textId="77777777" w:rsidR="00A2416E" w:rsidRDefault="00A2416E">
      <w:pPr>
        <w:pStyle w:val="Brdtext"/>
        <w:rPr>
          <w:rFonts w:ascii="HelveticaNeueLT Std Cn"/>
          <w:sz w:val="20"/>
        </w:rPr>
      </w:pPr>
    </w:p>
    <w:p w14:paraId="2083FCED" w14:textId="77777777" w:rsidR="00A2416E" w:rsidRDefault="00A2416E">
      <w:pPr>
        <w:pStyle w:val="Brdtext"/>
        <w:rPr>
          <w:rFonts w:ascii="HelveticaNeueLT Std Cn"/>
          <w:sz w:val="20"/>
        </w:rPr>
      </w:pPr>
    </w:p>
    <w:p w14:paraId="028AE273" w14:textId="77777777" w:rsidR="00A2416E" w:rsidRDefault="00A2416E">
      <w:pPr>
        <w:pStyle w:val="Brdtext"/>
        <w:rPr>
          <w:rFonts w:ascii="HelveticaNeueLT Std Cn"/>
          <w:sz w:val="20"/>
        </w:rPr>
      </w:pPr>
    </w:p>
    <w:p w14:paraId="251DFACB" w14:textId="77777777" w:rsidR="00A2416E" w:rsidRDefault="00A2416E">
      <w:pPr>
        <w:pStyle w:val="Brdtext"/>
        <w:rPr>
          <w:rFonts w:ascii="HelveticaNeueLT Std Cn"/>
          <w:sz w:val="20"/>
        </w:rPr>
      </w:pPr>
    </w:p>
    <w:p w14:paraId="0A2B0D40" w14:textId="77777777" w:rsidR="00A2416E" w:rsidRDefault="00A2416E">
      <w:pPr>
        <w:pStyle w:val="Brdtext"/>
        <w:rPr>
          <w:rFonts w:ascii="HelveticaNeueLT Std Cn"/>
          <w:sz w:val="20"/>
        </w:rPr>
      </w:pPr>
    </w:p>
    <w:p w14:paraId="30A81004" w14:textId="77777777" w:rsidR="00A2416E" w:rsidRDefault="00A2416E">
      <w:pPr>
        <w:pStyle w:val="Brdtext"/>
        <w:rPr>
          <w:rFonts w:ascii="HelveticaNeueLT Std Cn"/>
          <w:sz w:val="20"/>
        </w:rPr>
      </w:pPr>
    </w:p>
    <w:p w14:paraId="3A7B3309" w14:textId="77777777" w:rsidR="00A2416E" w:rsidRDefault="00A2416E">
      <w:pPr>
        <w:pStyle w:val="Brdtext"/>
        <w:rPr>
          <w:rFonts w:ascii="HelveticaNeueLT Std Cn"/>
          <w:sz w:val="20"/>
        </w:rPr>
      </w:pPr>
    </w:p>
    <w:p w14:paraId="2361A1FC" w14:textId="77777777" w:rsidR="00A2416E" w:rsidRDefault="00A2416E">
      <w:pPr>
        <w:pStyle w:val="Brdtext"/>
        <w:rPr>
          <w:rFonts w:ascii="HelveticaNeueLT Std Cn"/>
          <w:sz w:val="20"/>
        </w:rPr>
      </w:pPr>
    </w:p>
    <w:p w14:paraId="738FFF7C" w14:textId="77777777" w:rsidR="00A2416E" w:rsidRDefault="00A2416E">
      <w:pPr>
        <w:pStyle w:val="Brdtext"/>
        <w:rPr>
          <w:rFonts w:ascii="HelveticaNeueLT Std Cn"/>
          <w:sz w:val="20"/>
        </w:rPr>
      </w:pPr>
    </w:p>
    <w:p w14:paraId="76492810" w14:textId="77777777" w:rsidR="00A2416E" w:rsidRDefault="00A2416E">
      <w:pPr>
        <w:pStyle w:val="Brdtext"/>
        <w:rPr>
          <w:rFonts w:ascii="HelveticaNeueLT Std Cn"/>
          <w:sz w:val="20"/>
        </w:rPr>
      </w:pPr>
    </w:p>
    <w:p w14:paraId="6F92DCEE" w14:textId="77777777" w:rsidR="00A2416E" w:rsidRDefault="00A2416E">
      <w:pPr>
        <w:pStyle w:val="Brdtext"/>
        <w:rPr>
          <w:rFonts w:ascii="HelveticaNeueLT Std Cn"/>
          <w:sz w:val="20"/>
        </w:rPr>
      </w:pPr>
    </w:p>
    <w:p w14:paraId="70327EAF" w14:textId="77777777" w:rsidR="00A2416E" w:rsidRDefault="00A2416E">
      <w:pPr>
        <w:pStyle w:val="Brdtext"/>
        <w:rPr>
          <w:rFonts w:ascii="HelveticaNeueLT Std Cn"/>
          <w:sz w:val="20"/>
        </w:rPr>
      </w:pPr>
    </w:p>
    <w:p w14:paraId="5C32F2E3" w14:textId="77777777" w:rsidR="00A2416E" w:rsidRDefault="00A2416E">
      <w:pPr>
        <w:pStyle w:val="Brdtext"/>
        <w:rPr>
          <w:rFonts w:ascii="HelveticaNeueLT Std Cn"/>
          <w:sz w:val="20"/>
        </w:rPr>
      </w:pPr>
    </w:p>
    <w:p w14:paraId="299CDD49" w14:textId="77777777" w:rsidR="00A2416E" w:rsidRDefault="00A2416E">
      <w:pPr>
        <w:pStyle w:val="Brdtext"/>
        <w:rPr>
          <w:rFonts w:ascii="HelveticaNeueLT Std Cn"/>
          <w:sz w:val="20"/>
        </w:rPr>
      </w:pPr>
    </w:p>
    <w:p w14:paraId="01E205CD" w14:textId="77777777" w:rsidR="00A2416E" w:rsidRDefault="00A2416E">
      <w:pPr>
        <w:pStyle w:val="Brdtext"/>
        <w:rPr>
          <w:rFonts w:ascii="HelveticaNeueLT Std Cn"/>
          <w:sz w:val="20"/>
        </w:rPr>
      </w:pPr>
    </w:p>
    <w:p w14:paraId="57053980" w14:textId="77777777" w:rsidR="00A2416E" w:rsidRDefault="00A2416E">
      <w:pPr>
        <w:pStyle w:val="Brdtext"/>
        <w:rPr>
          <w:rFonts w:ascii="HelveticaNeueLT Std Cn"/>
          <w:sz w:val="20"/>
        </w:rPr>
      </w:pPr>
    </w:p>
    <w:p w14:paraId="7E7BCDE6" w14:textId="77777777" w:rsidR="00A2416E" w:rsidRDefault="00A2416E">
      <w:pPr>
        <w:pStyle w:val="Brdtext"/>
        <w:rPr>
          <w:rFonts w:ascii="HelveticaNeueLT Std Cn"/>
          <w:sz w:val="20"/>
        </w:rPr>
      </w:pPr>
    </w:p>
    <w:p w14:paraId="6E96DEB2" w14:textId="77777777" w:rsidR="00A2416E" w:rsidRDefault="00A2416E">
      <w:pPr>
        <w:pStyle w:val="Brdtext"/>
        <w:rPr>
          <w:rFonts w:ascii="HelveticaNeueLT Std Cn"/>
          <w:sz w:val="20"/>
        </w:rPr>
      </w:pPr>
    </w:p>
    <w:p w14:paraId="2CEA5378" w14:textId="77777777" w:rsidR="00A2416E" w:rsidRDefault="00A2416E">
      <w:pPr>
        <w:pStyle w:val="Brdtext"/>
        <w:rPr>
          <w:rFonts w:ascii="HelveticaNeueLT Std Cn"/>
          <w:sz w:val="20"/>
        </w:rPr>
      </w:pPr>
    </w:p>
    <w:p w14:paraId="3490DF5D" w14:textId="77777777" w:rsidR="00A2416E" w:rsidRDefault="00A2416E">
      <w:pPr>
        <w:pStyle w:val="Brdtext"/>
        <w:rPr>
          <w:rFonts w:ascii="HelveticaNeueLT Std Cn"/>
          <w:sz w:val="20"/>
        </w:rPr>
      </w:pPr>
    </w:p>
    <w:p w14:paraId="34D5B22D" w14:textId="77777777" w:rsidR="00A2416E" w:rsidRDefault="00A2416E">
      <w:pPr>
        <w:pStyle w:val="Brdtext"/>
        <w:rPr>
          <w:rFonts w:ascii="HelveticaNeueLT Std Cn"/>
          <w:sz w:val="20"/>
        </w:rPr>
      </w:pPr>
    </w:p>
    <w:p w14:paraId="05213574" w14:textId="77777777" w:rsidR="00A2416E" w:rsidRDefault="00A2416E">
      <w:pPr>
        <w:pStyle w:val="Brdtext"/>
        <w:rPr>
          <w:rFonts w:ascii="HelveticaNeueLT Std Cn"/>
          <w:sz w:val="20"/>
        </w:rPr>
      </w:pPr>
    </w:p>
    <w:p w14:paraId="660C5318" w14:textId="77777777" w:rsidR="00A2416E" w:rsidRDefault="00A2416E">
      <w:pPr>
        <w:pStyle w:val="Brdtext"/>
        <w:rPr>
          <w:rFonts w:ascii="HelveticaNeueLT Std Cn"/>
          <w:sz w:val="20"/>
        </w:rPr>
      </w:pPr>
    </w:p>
    <w:p w14:paraId="01DCA327" w14:textId="77777777" w:rsidR="00A2416E" w:rsidRDefault="00A2416E">
      <w:pPr>
        <w:pStyle w:val="Brdtext"/>
        <w:rPr>
          <w:rFonts w:ascii="HelveticaNeueLT Std Cn"/>
          <w:sz w:val="20"/>
        </w:rPr>
      </w:pPr>
    </w:p>
    <w:p w14:paraId="086BC412" w14:textId="77777777" w:rsidR="00A2416E" w:rsidRDefault="00A2416E">
      <w:pPr>
        <w:pStyle w:val="Brdtext"/>
        <w:rPr>
          <w:rFonts w:ascii="HelveticaNeueLT Std Cn"/>
          <w:sz w:val="20"/>
        </w:rPr>
      </w:pPr>
    </w:p>
    <w:p w14:paraId="294DA329" w14:textId="77777777" w:rsidR="00A2416E" w:rsidRDefault="00A2416E">
      <w:pPr>
        <w:pStyle w:val="Brdtext"/>
        <w:rPr>
          <w:rFonts w:ascii="HelveticaNeueLT Std Cn"/>
          <w:sz w:val="20"/>
        </w:rPr>
      </w:pPr>
    </w:p>
    <w:p w14:paraId="22792458" w14:textId="77777777" w:rsidR="00A2416E" w:rsidRDefault="00A2416E">
      <w:pPr>
        <w:pStyle w:val="Brdtext"/>
        <w:rPr>
          <w:rFonts w:ascii="HelveticaNeueLT Std Cn"/>
          <w:sz w:val="20"/>
        </w:rPr>
      </w:pPr>
    </w:p>
    <w:p w14:paraId="1C740100" w14:textId="77777777" w:rsidR="00A2416E" w:rsidRDefault="00A2416E">
      <w:pPr>
        <w:pStyle w:val="Brdtext"/>
        <w:rPr>
          <w:rFonts w:ascii="HelveticaNeueLT Std Cn"/>
          <w:sz w:val="20"/>
        </w:rPr>
      </w:pPr>
    </w:p>
    <w:p w14:paraId="29572199" w14:textId="77777777" w:rsidR="00A2416E" w:rsidRDefault="00A2416E">
      <w:pPr>
        <w:pStyle w:val="Brdtext"/>
        <w:rPr>
          <w:rFonts w:ascii="HelveticaNeueLT Std Cn"/>
          <w:sz w:val="20"/>
        </w:rPr>
      </w:pPr>
    </w:p>
    <w:p w14:paraId="0EB0BC72" w14:textId="77777777" w:rsidR="00A2416E" w:rsidRDefault="00A2416E">
      <w:pPr>
        <w:pStyle w:val="Brdtext"/>
        <w:rPr>
          <w:rFonts w:ascii="HelveticaNeueLT Std Cn"/>
          <w:sz w:val="20"/>
        </w:rPr>
      </w:pPr>
    </w:p>
    <w:p w14:paraId="2D3A12AE" w14:textId="77777777" w:rsidR="00A2416E" w:rsidRDefault="00A2416E">
      <w:pPr>
        <w:pStyle w:val="Brdtext"/>
        <w:rPr>
          <w:rFonts w:ascii="HelveticaNeueLT Std Cn"/>
          <w:sz w:val="20"/>
        </w:rPr>
      </w:pPr>
    </w:p>
    <w:p w14:paraId="27EB7451" w14:textId="77777777" w:rsidR="00A2416E" w:rsidRDefault="00A2416E">
      <w:pPr>
        <w:pStyle w:val="Brdtext"/>
        <w:rPr>
          <w:rFonts w:ascii="HelveticaNeueLT Std Cn"/>
          <w:sz w:val="20"/>
        </w:rPr>
      </w:pPr>
    </w:p>
    <w:p w14:paraId="0EDA141E" w14:textId="77777777" w:rsidR="00A2416E" w:rsidRDefault="00A2416E">
      <w:pPr>
        <w:pStyle w:val="Brdtext"/>
        <w:rPr>
          <w:rFonts w:ascii="HelveticaNeueLT Std Cn"/>
          <w:sz w:val="20"/>
        </w:rPr>
      </w:pPr>
    </w:p>
    <w:p w14:paraId="5F428612" w14:textId="77777777" w:rsidR="00A2416E" w:rsidRDefault="00A2416E">
      <w:pPr>
        <w:pStyle w:val="Brdtext"/>
        <w:rPr>
          <w:rFonts w:ascii="HelveticaNeueLT Std Cn"/>
          <w:sz w:val="20"/>
        </w:rPr>
      </w:pPr>
    </w:p>
    <w:p w14:paraId="161E4775" w14:textId="77777777" w:rsidR="00A2416E" w:rsidRDefault="00A2416E">
      <w:pPr>
        <w:pStyle w:val="Brdtext"/>
        <w:rPr>
          <w:rFonts w:ascii="HelveticaNeueLT Std Cn"/>
          <w:sz w:val="20"/>
        </w:rPr>
      </w:pPr>
    </w:p>
    <w:p w14:paraId="22A8064F" w14:textId="77777777" w:rsidR="00A2416E" w:rsidRDefault="00A2416E">
      <w:pPr>
        <w:pStyle w:val="Brdtext"/>
        <w:rPr>
          <w:rFonts w:ascii="HelveticaNeueLT Std Cn"/>
          <w:sz w:val="20"/>
        </w:rPr>
      </w:pPr>
    </w:p>
    <w:p w14:paraId="2306BE05" w14:textId="77777777" w:rsidR="00A2416E" w:rsidRDefault="00A2416E">
      <w:pPr>
        <w:pStyle w:val="Brdtext"/>
        <w:rPr>
          <w:rFonts w:ascii="HelveticaNeueLT Std Cn"/>
          <w:sz w:val="20"/>
        </w:rPr>
      </w:pPr>
    </w:p>
    <w:p w14:paraId="54B49DEE" w14:textId="77777777" w:rsidR="00A2416E" w:rsidRDefault="00A2416E">
      <w:pPr>
        <w:pStyle w:val="Brdtext"/>
        <w:rPr>
          <w:rFonts w:ascii="HelveticaNeueLT Std Cn"/>
          <w:sz w:val="20"/>
        </w:rPr>
      </w:pPr>
    </w:p>
    <w:p w14:paraId="301BA4AE" w14:textId="77777777" w:rsidR="00A2416E" w:rsidRDefault="00A2416E">
      <w:pPr>
        <w:pStyle w:val="Brdtext"/>
        <w:rPr>
          <w:rFonts w:ascii="HelveticaNeueLT Std Cn"/>
          <w:sz w:val="20"/>
        </w:rPr>
      </w:pPr>
    </w:p>
    <w:p w14:paraId="2F896C4C" w14:textId="77777777" w:rsidR="00A2416E" w:rsidRDefault="00A2416E">
      <w:pPr>
        <w:pStyle w:val="Brdtext"/>
        <w:rPr>
          <w:rFonts w:ascii="HelveticaNeueLT Std Cn"/>
          <w:sz w:val="20"/>
        </w:rPr>
      </w:pPr>
    </w:p>
    <w:p w14:paraId="460C6538" w14:textId="77777777" w:rsidR="00A2416E" w:rsidRDefault="00A2416E">
      <w:pPr>
        <w:pStyle w:val="Brdtext"/>
        <w:spacing w:before="5"/>
        <w:rPr>
          <w:rFonts w:ascii="HelveticaNeueLT Std Cn"/>
          <w:sz w:val="16"/>
        </w:rPr>
      </w:pPr>
    </w:p>
    <w:p w14:paraId="6493E55E" w14:textId="77777777" w:rsidR="00A2416E" w:rsidRDefault="00534832">
      <w:pPr>
        <w:spacing w:before="94"/>
        <w:ind w:left="3265" w:right="3303"/>
        <w:jc w:val="center"/>
        <w:rPr>
          <w:sz w:val="16"/>
        </w:rPr>
      </w:pPr>
      <w:r>
        <w:rPr>
          <w:sz w:val="16"/>
        </w:rPr>
        <w:t>Arkitektkopia AB, 2021</w:t>
      </w:r>
    </w:p>
    <w:sectPr w:rsidR="00A2416E">
      <w:pgSz w:w="9360" w:h="13720"/>
      <w:pgMar w:top="1280" w:right="58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Cn">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C3022"/>
    <w:multiLevelType w:val="hybridMultilevel"/>
    <w:tmpl w:val="9C32ADD2"/>
    <w:lvl w:ilvl="0" w:tplc="DCE0122A">
      <w:start w:val="1"/>
      <w:numFmt w:val="lowerLetter"/>
      <w:lvlText w:val="%1."/>
      <w:lvlJc w:val="left"/>
      <w:pPr>
        <w:ind w:left="315" w:hanging="199"/>
        <w:jc w:val="left"/>
      </w:pPr>
      <w:rPr>
        <w:rFonts w:ascii="Times New Roman" w:eastAsia="Times New Roman" w:hAnsi="Times New Roman" w:cs="Times New Roman" w:hint="default"/>
        <w:w w:val="100"/>
        <w:sz w:val="19"/>
        <w:szCs w:val="19"/>
        <w:lang w:val="sv-SE" w:eastAsia="sv-SE" w:bidi="sv-SE"/>
      </w:rPr>
    </w:lvl>
    <w:lvl w:ilvl="1" w:tplc="46349384">
      <w:numFmt w:val="bullet"/>
      <w:lvlText w:val="•"/>
      <w:lvlJc w:val="left"/>
      <w:pPr>
        <w:ind w:left="933" w:hanging="199"/>
      </w:pPr>
      <w:rPr>
        <w:rFonts w:hint="default"/>
        <w:lang w:val="sv-SE" w:eastAsia="sv-SE" w:bidi="sv-SE"/>
      </w:rPr>
    </w:lvl>
    <w:lvl w:ilvl="2" w:tplc="CC300154">
      <w:numFmt w:val="bullet"/>
      <w:lvlText w:val="•"/>
      <w:lvlJc w:val="left"/>
      <w:pPr>
        <w:ind w:left="1546" w:hanging="199"/>
      </w:pPr>
      <w:rPr>
        <w:rFonts w:hint="default"/>
        <w:lang w:val="sv-SE" w:eastAsia="sv-SE" w:bidi="sv-SE"/>
      </w:rPr>
    </w:lvl>
    <w:lvl w:ilvl="3" w:tplc="49C20834">
      <w:numFmt w:val="bullet"/>
      <w:lvlText w:val="•"/>
      <w:lvlJc w:val="left"/>
      <w:pPr>
        <w:ind w:left="2160" w:hanging="199"/>
      </w:pPr>
      <w:rPr>
        <w:rFonts w:hint="default"/>
        <w:lang w:val="sv-SE" w:eastAsia="sv-SE" w:bidi="sv-SE"/>
      </w:rPr>
    </w:lvl>
    <w:lvl w:ilvl="4" w:tplc="265016FE">
      <w:numFmt w:val="bullet"/>
      <w:lvlText w:val="•"/>
      <w:lvlJc w:val="left"/>
      <w:pPr>
        <w:ind w:left="2773" w:hanging="199"/>
      </w:pPr>
      <w:rPr>
        <w:rFonts w:hint="default"/>
        <w:lang w:val="sv-SE" w:eastAsia="sv-SE" w:bidi="sv-SE"/>
      </w:rPr>
    </w:lvl>
    <w:lvl w:ilvl="5" w:tplc="4BD2233C">
      <w:numFmt w:val="bullet"/>
      <w:lvlText w:val="•"/>
      <w:lvlJc w:val="left"/>
      <w:pPr>
        <w:ind w:left="3386" w:hanging="199"/>
      </w:pPr>
      <w:rPr>
        <w:rFonts w:hint="default"/>
        <w:lang w:val="sv-SE" w:eastAsia="sv-SE" w:bidi="sv-SE"/>
      </w:rPr>
    </w:lvl>
    <w:lvl w:ilvl="6" w:tplc="3E8E58BE">
      <w:numFmt w:val="bullet"/>
      <w:lvlText w:val="•"/>
      <w:lvlJc w:val="left"/>
      <w:pPr>
        <w:ind w:left="4000" w:hanging="199"/>
      </w:pPr>
      <w:rPr>
        <w:rFonts w:hint="default"/>
        <w:lang w:val="sv-SE" w:eastAsia="sv-SE" w:bidi="sv-SE"/>
      </w:rPr>
    </w:lvl>
    <w:lvl w:ilvl="7" w:tplc="D1A2B188">
      <w:numFmt w:val="bullet"/>
      <w:lvlText w:val="•"/>
      <w:lvlJc w:val="left"/>
      <w:pPr>
        <w:ind w:left="4613" w:hanging="199"/>
      </w:pPr>
      <w:rPr>
        <w:rFonts w:hint="default"/>
        <w:lang w:val="sv-SE" w:eastAsia="sv-SE" w:bidi="sv-SE"/>
      </w:rPr>
    </w:lvl>
    <w:lvl w:ilvl="8" w:tplc="2B70E1B6">
      <w:numFmt w:val="bullet"/>
      <w:lvlText w:val="•"/>
      <w:lvlJc w:val="left"/>
      <w:pPr>
        <w:ind w:left="5226" w:hanging="199"/>
      </w:pPr>
      <w:rPr>
        <w:rFonts w:hint="default"/>
        <w:lang w:val="sv-SE" w:eastAsia="sv-SE" w:bidi="sv-SE"/>
      </w:rPr>
    </w:lvl>
  </w:abstractNum>
  <w:abstractNum w:abstractNumId="1" w15:restartNumberingAfterBreak="0">
    <w:nsid w:val="481C1347"/>
    <w:multiLevelType w:val="hybridMultilevel"/>
    <w:tmpl w:val="9C7E1930"/>
    <w:lvl w:ilvl="0" w:tplc="C744F9C0">
      <w:start w:val="1"/>
      <w:numFmt w:val="lowerLetter"/>
      <w:lvlText w:val="%1."/>
      <w:lvlJc w:val="left"/>
      <w:pPr>
        <w:ind w:left="315" w:hanging="199"/>
        <w:jc w:val="left"/>
      </w:pPr>
      <w:rPr>
        <w:rFonts w:ascii="Times New Roman" w:eastAsia="Times New Roman" w:hAnsi="Times New Roman" w:cs="Times New Roman" w:hint="default"/>
        <w:w w:val="100"/>
        <w:sz w:val="19"/>
        <w:szCs w:val="19"/>
        <w:lang w:val="sv-SE" w:eastAsia="sv-SE" w:bidi="sv-SE"/>
      </w:rPr>
    </w:lvl>
    <w:lvl w:ilvl="1" w:tplc="FEB4DD82">
      <w:numFmt w:val="bullet"/>
      <w:lvlText w:val="•"/>
      <w:lvlJc w:val="left"/>
      <w:pPr>
        <w:ind w:left="933" w:hanging="199"/>
      </w:pPr>
      <w:rPr>
        <w:rFonts w:hint="default"/>
        <w:lang w:val="sv-SE" w:eastAsia="sv-SE" w:bidi="sv-SE"/>
      </w:rPr>
    </w:lvl>
    <w:lvl w:ilvl="2" w:tplc="50BA73C2">
      <w:numFmt w:val="bullet"/>
      <w:lvlText w:val="•"/>
      <w:lvlJc w:val="left"/>
      <w:pPr>
        <w:ind w:left="1546" w:hanging="199"/>
      </w:pPr>
      <w:rPr>
        <w:rFonts w:hint="default"/>
        <w:lang w:val="sv-SE" w:eastAsia="sv-SE" w:bidi="sv-SE"/>
      </w:rPr>
    </w:lvl>
    <w:lvl w:ilvl="3" w:tplc="4ED00D5E">
      <w:numFmt w:val="bullet"/>
      <w:lvlText w:val="•"/>
      <w:lvlJc w:val="left"/>
      <w:pPr>
        <w:ind w:left="2160" w:hanging="199"/>
      </w:pPr>
      <w:rPr>
        <w:rFonts w:hint="default"/>
        <w:lang w:val="sv-SE" w:eastAsia="sv-SE" w:bidi="sv-SE"/>
      </w:rPr>
    </w:lvl>
    <w:lvl w:ilvl="4" w:tplc="20641262">
      <w:numFmt w:val="bullet"/>
      <w:lvlText w:val="•"/>
      <w:lvlJc w:val="left"/>
      <w:pPr>
        <w:ind w:left="2773" w:hanging="199"/>
      </w:pPr>
      <w:rPr>
        <w:rFonts w:hint="default"/>
        <w:lang w:val="sv-SE" w:eastAsia="sv-SE" w:bidi="sv-SE"/>
      </w:rPr>
    </w:lvl>
    <w:lvl w:ilvl="5" w:tplc="A4BE9D08">
      <w:numFmt w:val="bullet"/>
      <w:lvlText w:val="•"/>
      <w:lvlJc w:val="left"/>
      <w:pPr>
        <w:ind w:left="3386" w:hanging="199"/>
      </w:pPr>
      <w:rPr>
        <w:rFonts w:hint="default"/>
        <w:lang w:val="sv-SE" w:eastAsia="sv-SE" w:bidi="sv-SE"/>
      </w:rPr>
    </w:lvl>
    <w:lvl w:ilvl="6" w:tplc="CCC41658">
      <w:numFmt w:val="bullet"/>
      <w:lvlText w:val="•"/>
      <w:lvlJc w:val="left"/>
      <w:pPr>
        <w:ind w:left="4000" w:hanging="199"/>
      </w:pPr>
      <w:rPr>
        <w:rFonts w:hint="default"/>
        <w:lang w:val="sv-SE" w:eastAsia="sv-SE" w:bidi="sv-SE"/>
      </w:rPr>
    </w:lvl>
    <w:lvl w:ilvl="7" w:tplc="905C7B2E">
      <w:numFmt w:val="bullet"/>
      <w:lvlText w:val="•"/>
      <w:lvlJc w:val="left"/>
      <w:pPr>
        <w:ind w:left="4613" w:hanging="199"/>
      </w:pPr>
      <w:rPr>
        <w:rFonts w:hint="default"/>
        <w:lang w:val="sv-SE" w:eastAsia="sv-SE" w:bidi="sv-SE"/>
      </w:rPr>
    </w:lvl>
    <w:lvl w:ilvl="8" w:tplc="0A20BB10">
      <w:numFmt w:val="bullet"/>
      <w:lvlText w:val="•"/>
      <w:lvlJc w:val="left"/>
      <w:pPr>
        <w:ind w:left="5226" w:hanging="199"/>
      </w:pPr>
      <w:rPr>
        <w:rFonts w:hint="default"/>
        <w:lang w:val="sv-SE" w:eastAsia="sv-SE" w:bidi="sv-SE"/>
      </w:rPr>
    </w:lvl>
  </w:abstractNum>
  <w:abstractNum w:abstractNumId="2" w15:restartNumberingAfterBreak="0">
    <w:nsid w:val="5BD660CD"/>
    <w:multiLevelType w:val="hybridMultilevel"/>
    <w:tmpl w:val="E2CC420E"/>
    <w:lvl w:ilvl="0" w:tplc="87C88236">
      <w:start w:val="1"/>
      <w:numFmt w:val="lowerLetter"/>
      <w:lvlText w:val="%1."/>
      <w:lvlJc w:val="left"/>
      <w:pPr>
        <w:ind w:left="315" w:hanging="199"/>
        <w:jc w:val="left"/>
      </w:pPr>
      <w:rPr>
        <w:rFonts w:ascii="Times New Roman" w:eastAsia="Times New Roman" w:hAnsi="Times New Roman" w:cs="Times New Roman" w:hint="default"/>
        <w:w w:val="100"/>
        <w:sz w:val="19"/>
        <w:szCs w:val="19"/>
        <w:lang w:val="sv-SE" w:eastAsia="sv-SE" w:bidi="sv-SE"/>
      </w:rPr>
    </w:lvl>
    <w:lvl w:ilvl="1" w:tplc="D8EA215C">
      <w:numFmt w:val="bullet"/>
      <w:lvlText w:val="•"/>
      <w:lvlJc w:val="left"/>
      <w:pPr>
        <w:ind w:left="933" w:hanging="199"/>
      </w:pPr>
      <w:rPr>
        <w:rFonts w:hint="default"/>
        <w:lang w:val="sv-SE" w:eastAsia="sv-SE" w:bidi="sv-SE"/>
      </w:rPr>
    </w:lvl>
    <w:lvl w:ilvl="2" w:tplc="2D1CE9CC">
      <w:numFmt w:val="bullet"/>
      <w:lvlText w:val="•"/>
      <w:lvlJc w:val="left"/>
      <w:pPr>
        <w:ind w:left="1546" w:hanging="199"/>
      </w:pPr>
      <w:rPr>
        <w:rFonts w:hint="default"/>
        <w:lang w:val="sv-SE" w:eastAsia="sv-SE" w:bidi="sv-SE"/>
      </w:rPr>
    </w:lvl>
    <w:lvl w:ilvl="3" w:tplc="F2682940">
      <w:numFmt w:val="bullet"/>
      <w:lvlText w:val="•"/>
      <w:lvlJc w:val="left"/>
      <w:pPr>
        <w:ind w:left="2160" w:hanging="199"/>
      </w:pPr>
      <w:rPr>
        <w:rFonts w:hint="default"/>
        <w:lang w:val="sv-SE" w:eastAsia="sv-SE" w:bidi="sv-SE"/>
      </w:rPr>
    </w:lvl>
    <w:lvl w:ilvl="4" w:tplc="C7582D32">
      <w:numFmt w:val="bullet"/>
      <w:lvlText w:val="•"/>
      <w:lvlJc w:val="left"/>
      <w:pPr>
        <w:ind w:left="2773" w:hanging="199"/>
      </w:pPr>
      <w:rPr>
        <w:rFonts w:hint="default"/>
        <w:lang w:val="sv-SE" w:eastAsia="sv-SE" w:bidi="sv-SE"/>
      </w:rPr>
    </w:lvl>
    <w:lvl w:ilvl="5" w:tplc="4C42FF80">
      <w:numFmt w:val="bullet"/>
      <w:lvlText w:val="•"/>
      <w:lvlJc w:val="left"/>
      <w:pPr>
        <w:ind w:left="3386" w:hanging="199"/>
      </w:pPr>
      <w:rPr>
        <w:rFonts w:hint="default"/>
        <w:lang w:val="sv-SE" w:eastAsia="sv-SE" w:bidi="sv-SE"/>
      </w:rPr>
    </w:lvl>
    <w:lvl w:ilvl="6" w:tplc="8EB06906">
      <w:numFmt w:val="bullet"/>
      <w:lvlText w:val="•"/>
      <w:lvlJc w:val="left"/>
      <w:pPr>
        <w:ind w:left="4000" w:hanging="199"/>
      </w:pPr>
      <w:rPr>
        <w:rFonts w:hint="default"/>
        <w:lang w:val="sv-SE" w:eastAsia="sv-SE" w:bidi="sv-SE"/>
      </w:rPr>
    </w:lvl>
    <w:lvl w:ilvl="7" w:tplc="A57C080A">
      <w:numFmt w:val="bullet"/>
      <w:lvlText w:val="•"/>
      <w:lvlJc w:val="left"/>
      <w:pPr>
        <w:ind w:left="4613" w:hanging="199"/>
      </w:pPr>
      <w:rPr>
        <w:rFonts w:hint="default"/>
        <w:lang w:val="sv-SE" w:eastAsia="sv-SE" w:bidi="sv-SE"/>
      </w:rPr>
    </w:lvl>
    <w:lvl w:ilvl="8" w:tplc="D0B8D752">
      <w:numFmt w:val="bullet"/>
      <w:lvlText w:val="•"/>
      <w:lvlJc w:val="left"/>
      <w:pPr>
        <w:ind w:left="5226" w:hanging="199"/>
      </w:pPr>
      <w:rPr>
        <w:rFonts w:hint="default"/>
        <w:lang w:val="sv-SE" w:eastAsia="sv-SE" w:bidi="sv-SE"/>
      </w:rPr>
    </w:lvl>
  </w:abstractNum>
  <w:abstractNum w:abstractNumId="3" w15:restartNumberingAfterBreak="0">
    <w:nsid w:val="75B322EB"/>
    <w:multiLevelType w:val="hybridMultilevel"/>
    <w:tmpl w:val="9434F28E"/>
    <w:lvl w:ilvl="0" w:tplc="B284F896">
      <w:start w:val="4"/>
      <w:numFmt w:val="decimal"/>
      <w:lvlText w:val="%1"/>
      <w:lvlJc w:val="left"/>
      <w:pPr>
        <w:ind w:left="117" w:hanging="191"/>
        <w:jc w:val="left"/>
      </w:pPr>
      <w:rPr>
        <w:rFonts w:ascii="Times New Roman" w:eastAsia="Times New Roman" w:hAnsi="Times New Roman" w:cs="Times New Roman" w:hint="default"/>
        <w:b/>
        <w:bCs/>
        <w:spacing w:val="-8"/>
        <w:w w:val="100"/>
        <w:sz w:val="19"/>
        <w:szCs w:val="19"/>
        <w:lang w:val="sv-SE" w:eastAsia="sv-SE" w:bidi="sv-SE"/>
      </w:rPr>
    </w:lvl>
    <w:lvl w:ilvl="1" w:tplc="393E4A44">
      <w:numFmt w:val="bullet"/>
      <w:lvlText w:val="•"/>
      <w:lvlJc w:val="left"/>
      <w:pPr>
        <w:ind w:left="400" w:hanging="191"/>
      </w:pPr>
      <w:rPr>
        <w:rFonts w:hint="default"/>
        <w:lang w:val="sv-SE" w:eastAsia="sv-SE" w:bidi="sv-SE"/>
      </w:rPr>
    </w:lvl>
    <w:lvl w:ilvl="2" w:tplc="6742EC7E">
      <w:numFmt w:val="bullet"/>
      <w:lvlText w:val="•"/>
      <w:lvlJc w:val="left"/>
      <w:pPr>
        <w:ind w:left="892" w:hanging="191"/>
      </w:pPr>
      <w:rPr>
        <w:rFonts w:hint="default"/>
        <w:lang w:val="sv-SE" w:eastAsia="sv-SE" w:bidi="sv-SE"/>
      </w:rPr>
    </w:lvl>
    <w:lvl w:ilvl="3" w:tplc="458C596A">
      <w:numFmt w:val="bullet"/>
      <w:lvlText w:val="•"/>
      <w:lvlJc w:val="left"/>
      <w:pPr>
        <w:ind w:left="1385" w:hanging="191"/>
      </w:pPr>
      <w:rPr>
        <w:rFonts w:hint="default"/>
        <w:lang w:val="sv-SE" w:eastAsia="sv-SE" w:bidi="sv-SE"/>
      </w:rPr>
    </w:lvl>
    <w:lvl w:ilvl="4" w:tplc="A57C0292">
      <w:numFmt w:val="bullet"/>
      <w:lvlText w:val="•"/>
      <w:lvlJc w:val="left"/>
      <w:pPr>
        <w:ind w:left="1878" w:hanging="191"/>
      </w:pPr>
      <w:rPr>
        <w:rFonts w:hint="default"/>
        <w:lang w:val="sv-SE" w:eastAsia="sv-SE" w:bidi="sv-SE"/>
      </w:rPr>
    </w:lvl>
    <w:lvl w:ilvl="5" w:tplc="EAD81622">
      <w:numFmt w:val="bullet"/>
      <w:lvlText w:val="•"/>
      <w:lvlJc w:val="left"/>
      <w:pPr>
        <w:ind w:left="2371" w:hanging="191"/>
      </w:pPr>
      <w:rPr>
        <w:rFonts w:hint="default"/>
        <w:lang w:val="sv-SE" w:eastAsia="sv-SE" w:bidi="sv-SE"/>
      </w:rPr>
    </w:lvl>
    <w:lvl w:ilvl="6" w:tplc="79FE8E66">
      <w:numFmt w:val="bullet"/>
      <w:lvlText w:val="•"/>
      <w:lvlJc w:val="left"/>
      <w:pPr>
        <w:ind w:left="2864" w:hanging="191"/>
      </w:pPr>
      <w:rPr>
        <w:rFonts w:hint="default"/>
        <w:lang w:val="sv-SE" w:eastAsia="sv-SE" w:bidi="sv-SE"/>
      </w:rPr>
    </w:lvl>
    <w:lvl w:ilvl="7" w:tplc="48705B1C">
      <w:numFmt w:val="bullet"/>
      <w:lvlText w:val="•"/>
      <w:lvlJc w:val="left"/>
      <w:pPr>
        <w:ind w:left="3357" w:hanging="191"/>
      </w:pPr>
      <w:rPr>
        <w:rFonts w:hint="default"/>
        <w:lang w:val="sv-SE" w:eastAsia="sv-SE" w:bidi="sv-SE"/>
      </w:rPr>
    </w:lvl>
    <w:lvl w:ilvl="8" w:tplc="9DD4479E">
      <w:numFmt w:val="bullet"/>
      <w:lvlText w:val="•"/>
      <w:lvlJc w:val="left"/>
      <w:pPr>
        <w:ind w:left="3850" w:hanging="191"/>
      </w:pPr>
      <w:rPr>
        <w:rFonts w:hint="default"/>
        <w:lang w:val="sv-SE" w:eastAsia="sv-SE" w:bidi="sv-SE"/>
      </w:rPr>
    </w:lvl>
  </w:abstractNum>
  <w:abstractNum w:abstractNumId="4" w15:restartNumberingAfterBreak="0">
    <w:nsid w:val="781053DB"/>
    <w:multiLevelType w:val="hybridMultilevel"/>
    <w:tmpl w:val="78DE761A"/>
    <w:lvl w:ilvl="0" w:tplc="46523CC6">
      <w:start w:val="1"/>
      <w:numFmt w:val="lowerLetter"/>
      <w:lvlText w:val="%1."/>
      <w:lvlJc w:val="left"/>
      <w:pPr>
        <w:ind w:left="315" w:hanging="199"/>
        <w:jc w:val="left"/>
      </w:pPr>
      <w:rPr>
        <w:rFonts w:ascii="Times New Roman" w:eastAsia="Times New Roman" w:hAnsi="Times New Roman" w:cs="Times New Roman" w:hint="default"/>
        <w:w w:val="100"/>
        <w:sz w:val="19"/>
        <w:szCs w:val="19"/>
        <w:lang w:val="sv-SE" w:eastAsia="sv-SE" w:bidi="sv-SE"/>
      </w:rPr>
    </w:lvl>
    <w:lvl w:ilvl="1" w:tplc="0C929874">
      <w:numFmt w:val="bullet"/>
      <w:lvlText w:val="•"/>
      <w:lvlJc w:val="left"/>
      <w:pPr>
        <w:ind w:left="933" w:hanging="199"/>
      </w:pPr>
      <w:rPr>
        <w:rFonts w:hint="default"/>
        <w:lang w:val="sv-SE" w:eastAsia="sv-SE" w:bidi="sv-SE"/>
      </w:rPr>
    </w:lvl>
    <w:lvl w:ilvl="2" w:tplc="1D466E7E">
      <w:numFmt w:val="bullet"/>
      <w:lvlText w:val="•"/>
      <w:lvlJc w:val="left"/>
      <w:pPr>
        <w:ind w:left="1546" w:hanging="199"/>
      </w:pPr>
      <w:rPr>
        <w:rFonts w:hint="default"/>
        <w:lang w:val="sv-SE" w:eastAsia="sv-SE" w:bidi="sv-SE"/>
      </w:rPr>
    </w:lvl>
    <w:lvl w:ilvl="3" w:tplc="7B32C61C">
      <w:numFmt w:val="bullet"/>
      <w:lvlText w:val="•"/>
      <w:lvlJc w:val="left"/>
      <w:pPr>
        <w:ind w:left="2160" w:hanging="199"/>
      </w:pPr>
      <w:rPr>
        <w:rFonts w:hint="default"/>
        <w:lang w:val="sv-SE" w:eastAsia="sv-SE" w:bidi="sv-SE"/>
      </w:rPr>
    </w:lvl>
    <w:lvl w:ilvl="4" w:tplc="CC2A008E">
      <w:numFmt w:val="bullet"/>
      <w:lvlText w:val="•"/>
      <w:lvlJc w:val="left"/>
      <w:pPr>
        <w:ind w:left="2773" w:hanging="199"/>
      </w:pPr>
      <w:rPr>
        <w:rFonts w:hint="default"/>
        <w:lang w:val="sv-SE" w:eastAsia="sv-SE" w:bidi="sv-SE"/>
      </w:rPr>
    </w:lvl>
    <w:lvl w:ilvl="5" w:tplc="BFD03AA2">
      <w:numFmt w:val="bullet"/>
      <w:lvlText w:val="•"/>
      <w:lvlJc w:val="left"/>
      <w:pPr>
        <w:ind w:left="3386" w:hanging="199"/>
      </w:pPr>
      <w:rPr>
        <w:rFonts w:hint="default"/>
        <w:lang w:val="sv-SE" w:eastAsia="sv-SE" w:bidi="sv-SE"/>
      </w:rPr>
    </w:lvl>
    <w:lvl w:ilvl="6" w:tplc="BFA48664">
      <w:numFmt w:val="bullet"/>
      <w:lvlText w:val="•"/>
      <w:lvlJc w:val="left"/>
      <w:pPr>
        <w:ind w:left="4000" w:hanging="199"/>
      </w:pPr>
      <w:rPr>
        <w:rFonts w:hint="default"/>
        <w:lang w:val="sv-SE" w:eastAsia="sv-SE" w:bidi="sv-SE"/>
      </w:rPr>
    </w:lvl>
    <w:lvl w:ilvl="7" w:tplc="4F0CD3C6">
      <w:numFmt w:val="bullet"/>
      <w:lvlText w:val="•"/>
      <w:lvlJc w:val="left"/>
      <w:pPr>
        <w:ind w:left="4613" w:hanging="199"/>
      </w:pPr>
      <w:rPr>
        <w:rFonts w:hint="default"/>
        <w:lang w:val="sv-SE" w:eastAsia="sv-SE" w:bidi="sv-SE"/>
      </w:rPr>
    </w:lvl>
    <w:lvl w:ilvl="8" w:tplc="00F4FAC6">
      <w:numFmt w:val="bullet"/>
      <w:lvlText w:val="•"/>
      <w:lvlJc w:val="left"/>
      <w:pPr>
        <w:ind w:left="5226" w:hanging="199"/>
      </w:pPr>
      <w:rPr>
        <w:rFonts w:hint="default"/>
        <w:lang w:val="sv-SE" w:eastAsia="sv-SE" w:bidi="sv-SE"/>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A2416E"/>
    <w:rsid w:val="001279C3"/>
    <w:rsid w:val="001851D5"/>
    <w:rsid w:val="003326E8"/>
    <w:rsid w:val="00440759"/>
    <w:rsid w:val="00470C80"/>
    <w:rsid w:val="00534832"/>
    <w:rsid w:val="00577B1A"/>
    <w:rsid w:val="00581354"/>
    <w:rsid w:val="00965061"/>
    <w:rsid w:val="00A2416E"/>
    <w:rsid w:val="00CD432E"/>
    <w:rsid w:val="00ED2D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2978AA5"/>
  <w15:docId w15:val="{3431FC6E-06A0-4218-8771-913709BBE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eastAsia="sv-SE" w:bidi="sv-SE"/>
    </w:rPr>
  </w:style>
  <w:style w:type="paragraph" w:styleId="Rubrik1">
    <w:name w:val="heading 1"/>
    <w:basedOn w:val="Normal"/>
    <w:uiPriority w:val="9"/>
    <w:qFormat/>
    <w:pPr>
      <w:spacing w:before="71"/>
      <w:ind w:right="33"/>
      <w:outlineLvl w:val="0"/>
    </w:pPr>
    <w:rPr>
      <w:b/>
      <w:bCs/>
      <w:sz w:val="26"/>
      <w:szCs w:val="26"/>
    </w:rPr>
  </w:style>
  <w:style w:type="paragraph" w:styleId="Rubrik2">
    <w:name w:val="heading 2"/>
    <w:basedOn w:val="Normal"/>
    <w:uiPriority w:val="9"/>
    <w:unhideWhenUsed/>
    <w:qFormat/>
    <w:pPr>
      <w:spacing w:before="73"/>
      <w:ind w:left="117"/>
      <w:outlineLvl w:val="1"/>
    </w:pPr>
    <w:rPr>
      <w:b/>
      <w:bCs/>
      <w:sz w:val="21"/>
      <w:szCs w:val="21"/>
    </w:rPr>
  </w:style>
  <w:style w:type="paragraph" w:styleId="Rubrik3">
    <w:name w:val="heading 3"/>
    <w:basedOn w:val="Normal"/>
    <w:uiPriority w:val="9"/>
    <w:unhideWhenUsed/>
    <w:qFormat/>
    <w:pPr>
      <w:spacing w:before="1"/>
      <w:ind w:left="117"/>
      <w:outlineLvl w:val="2"/>
    </w:pPr>
    <w:rPr>
      <w:rFonts w:ascii="HelveticaNeueLT Std Cn" w:eastAsia="HelveticaNeueLT Std Cn" w:hAnsi="HelveticaNeueLT Std Cn" w:cs="HelveticaNeueLT Std Cn"/>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Pr>
      <w:sz w:val="19"/>
      <w:szCs w:val="19"/>
    </w:rPr>
  </w:style>
  <w:style w:type="paragraph" w:styleId="Liststycke">
    <w:name w:val="List Paragraph"/>
    <w:basedOn w:val="Normal"/>
    <w:uiPriority w:val="1"/>
    <w:qFormat/>
    <w:pPr>
      <w:spacing w:before="68"/>
      <w:ind w:left="315" w:hanging="199"/>
    </w:pPr>
  </w:style>
  <w:style w:type="paragraph" w:customStyle="1" w:styleId="TableParagraph">
    <w:name w:val="Table Paragraph"/>
    <w:basedOn w:val="Normal"/>
    <w:uiPriority w:val="1"/>
    <w:qFormat/>
    <w:pPr>
      <w:spacing w:before="36"/>
      <w:ind w:left="11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8</Pages>
  <Words>1853</Words>
  <Characters>9823</Characters>
  <Application>Microsoft Office Word</Application>
  <DocSecurity>0</DocSecurity>
  <Lines>81</Lines>
  <Paragraphs>23</Paragraphs>
  <ScaleCrop>false</ScaleCrop>
  <HeadingPairs>
    <vt:vector size="2" baseType="variant">
      <vt:variant>
        <vt:lpstr>Rubrik</vt:lpstr>
      </vt:variant>
      <vt:variant>
        <vt:i4>1</vt:i4>
      </vt:variant>
    </vt:vector>
  </HeadingPairs>
  <TitlesOfParts>
    <vt:vector size="1" baseType="lpstr">
      <vt:lpstr>STEMFS 2021:2 Föreskrifter om ändring av Statens energimyndighets föreskrifter (STEMFS 2017:3) om rapportering och beräkning enligt drivmedelslagen</vt:lpstr>
    </vt:vector>
  </TitlesOfParts>
  <Company/>
  <LinksUpToDate>false</LinksUpToDate>
  <CharactersWithSpaces>11653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STEMFS 2021:2 Föreskrifter om ändring av Statens energimyndighets föreskrifter (STEMFS 2017:3) om rapportering och beräkning enligt drivmedelslagen</dc:title>
  <dc:creator>Rikard Janson (chefsjurist)</dc:creator>
  <cp:keywords>STEMFS 2021:2 Föreskrifter om ändring av Statens energimyndighets föreskrifter (STEMFS 2017:3) om rapportering och beräkning enligt drivmedelslagen</cp:keywords>
  <cp:lastModifiedBy>Edison Moises Parraga Chica</cp:lastModifiedBy>
  <cp:revision>6</cp:revision>
  <dcterms:created xsi:type="dcterms:W3CDTF">2021-04-07T09:34:00Z</dcterms:created>
  <dcterms:modified xsi:type="dcterms:W3CDTF">2022-01-17T13:12:00Z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2021-01-29T00:00:00Z</vt:filetime>
  </property>
  <property fmtid="{D5CDD505-2E9C-101B-9397-08002B2CF9AE}" pid="3" name="Creator">
    <vt:lpwstr>Adobe InDesign 16.0 (Windows)</vt:lpwstr>
  </property>
  <property fmtid="{D5CDD505-2E9C-101B-9397-08002B2CF9AE}" pid="4" name="LastSaved">
    <vt:filetime>2021-04-07T00:00:00Z</vt:filetime>
  </property>
</Properties>
</file>