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292D" w14:textId="77777777" w:rsidR="00A2416E" w:rsidRDefault="00534832" w:rsidP="00581354">
      <w:pPr>
        <w:spacing w:before="92" w:line="220" w:lineRule="auto"/>
        <w:ind w:left="400" w:right="3390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Ruotsin energiaviraston säädöskokoelma</w:t>
      </w:r>
    </w:p>
    <w:p w14:paraId="347D5EC4" w14:textId="77777777" w:rsidR="00A2416E" w:rsidRDefault="00EC3D00" w:rsidP="00EC3D00">
      <w:pPr>
        <w:spacing w:before="148" w:line="262" w:lineRule="auto"/>
        <w:ind w:left="403" w:right="4706"/>
        <w:rPr>
          <w:sz w:val="16"/>
        </w:rPr>
      </w:pPr>
      <w:r>
        <w:pict w14:anchorId="18D320B1"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 w:rsidR="00581354">
        <w:rPr>
          <w:sz w:val="16"/>
        </w:rPr>
        <w:t xml:space="preserve">Julkaisija: </w:t>
      </w:r>
      <w:proofErr w:type="spellStart"/>
      <w:r w:rsidR="00581354">
        <w:rPr>
          <w:sz w:val="16"/>
        </w:rPr>
        <w:t>Rikard</w:t>
      </w:r>
      <w:proofErr w:type="spellEnd"/>
      <w:r w:rsidR="00581354">
        <w:rPr>
          <w:sz w:val="16"/>
        </w:rPr>
        <w:t xml:space="preserve"> </w:t>
      </w:r>
      <w:proofErr w:type="spellStart"/>
      <w:r w:rsidR="00581354">
        <w:rPr>
          <w:sz w:val="16"/>
        </w:rPr>
        <w:t>Janson</w:t>
      </w:r>
      <w:proofErr w:type="spellEnd"/>
      <w:r w:rsidR="00581354">
        <w:rPr>
          <w:sz w:val="16"/>
        </w:rPr>
        <w:t xml:space="preserve"> (johtava lakimies) ISSN 1650-7703</w:t>
      </w:r>
    </w:p>
    <w:p w14:paraId="48A9609E" w14:textId="77777777" w:rsidR="00A2416E" w:rsidRDefault="00A2416E">
      <w:pPr>
        <w:pStyle w:val="Brdtext"/>
        <w:spacing w:before="1"/>
        <w:rPr>
          <w:sz w:val="13"/>
        </w:rPr>
      </w:pPr>
    </w:p>
    <w:p w14:paraId="24EC6EF5" w14:textId="77777777"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D697384" w14:textId="77777777" w:rsidR="00A2416E" w:rsidRDefault="00534832">
      <w:pPr>
        <w:pStyle w:val="Rubrik1"/>
        <w:spacing w:before="103" w:line="225" w:lineRule="auto"/>
        <w:ind w:left="400"/>
      </w:pPr>
      <w:r>
        <w:t>Määräykset polttoainelain mukaisesta raportoinnista ja laskennasta annettujen valtion energiaviranomaisen määräysten (STEMFS 2017:3) muuttamisesta;</w:t>
      </w:r>
    </w:p>
    <w:p w14:paraId="71813F81" w14:textId="77777777" w:rsidR="00A2416E" w:rsidRDefault="00534832">
      <w:pPr>
        <w:pStyle w:val="Brdtext"/>
        <w:spacing w:before="188"/>
        <w:ind w:left="400"/>
        <w:jc w:val="both"/>
      </w:pPr>
      <w:r>
        <w:t>hyväksytty 20 päivänä tammikuuta 2021.</w:t>
      </w:r>
    </w:p>
    <w:p w14:paraId="066E2CAE" w14:textId="77777777" w:rsidR="00A2416E" w:rsidRDefault="00A2416E">
      <w:pPr>
        <w:pStyle w:val="Brdtext"/>
        <w:spacing w:before="6"/>
        <w:rPr>
          <w:sz w:val="17"/>
        </w:rPr>
      </w:pPr>
    </w:p>
    <w:p w14:paraId="4BB4C994" w14:textId="77777777" w:rsidR="00A2416E" w:rsidRDefault="00534832">
      <w:pPr>
        <w:pStyle w:val="Brdtext"/>
        <w:spacing w:line="273" w:lineRule="auto"/>
        <w:ind w:left="400"/>
        <w:jc w:val="both"/>
      </w:pPr>
      <w:r>
        <w:t>Valtion energiaviranomainen määrää</w:t>
      </w:r>
      <w:r>
        <w:rPr>
          <w:sz w:val="11"/>
        </w:rPr>
        <w:t>1</w:t>
      </w:r>
      <w:r>
        <w:t xml:space="preserve"> polttoaineasetuksen (2011:346) 13 §:n nojalla, että polttoainelain mukaisesta raportoinnista ja laskennasta annettujen valtion energiaviranomaisen määräyksiin lisätään</w:t>
      </w:r>
    </w:p>
    <w:p w14:paraId="71A61FB5" w14:textId="77777777" w:rsidR="00A2416E" w:rsidRDefault="00534832">
      <w:pPr>
        <w:pStyle w:val="Brdtext"/>
        <w:spacing w:before="173" w:line="398" w:lineRule="auto"/>
        <w:ind w:left="400" w:right="1681"/>
        <w:jc w:val="both"/>
      </w:pPr>
      <w:r>
        <w:t>uusi pykälä, 12 a §, ja muutetaan kuusi pykälää, 2, 4–7, 12, 13 ja 16 §, jotka kuuluvat seuraavasti.</w:t>
      </w:r>
    </w:p>
    <w:p w14:paraId="0D1B6701" w14:textId="77777777" w:rsidR="00A2416E" w:rsidRDefault="00A2416E">
      <w:pPr>
        <w:pStyle w:val="Brdtext"/>
        <w:spacing w:before="6"/>
        <w:rPr>
          <w:sz w:val="16"/>
        </w:rPr>
      </w:pPr>
    </w:p>
    <w:p w14:paraId="6F4B5BC4" w14:textId="77777777" w:rsidR="00A2416E" w:rsidRDefault="00534832">
      <w:pPr>
        <w:pStyle w:val="Rubrik2"/>
        <w:spacing w:before="0"/>
        <w:ind w:left="400"/>
        <w:jc w:val="both"/>
      </w:pPr>
      <w:r>
        <w:t>Johdantosäännökset ja määritelmät</w:t>
      </w:r>
    </w:p>
    <w:p w14:paraId="390C5634" w14:textId="77777777"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>2 §</w:t>
      </w:r>
      <w:r>
        <w:t xml:space="preserve"> Näiden määräysten käsitteillä ja ilmaisuilla on sama merkitys kuin polttoainelaissa (2011:319) ja polttoaineasetuksessa (2011:346). Seuraavilla käsitteillä tarkoitetaan seuraavaa:</w:t>
      </w:r>
    </w:p>
    <w:p w14:paraId="2953E73A" w14:textId="77777777"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biokomponentti</w:t>
      </w:r>
      <w:r>
        <w:rPr>
          <w:sz w:val="19"/>
        </w:rPr>
        <w:t xml:space="preserve">: polttoaineen osa, joka on valmistettu biomassasta, </w:t>
      </w:r>
      <w:r>
        <w:rPr>
          <w:i/>
          <w:sz w:val="19"/>
        </w:rPr>
        <w:t>fossiilinen komponentti</w:t>
      </w:r>
      <w:r>
        <w:rPr>
          <w:sz w:val="19"/>
        </w:rPr>
        <w:t xml:space="preserve">: polttoaineen osa, joka on mineraalipohjaista alkuperää, </w:t>
      </w:r>
      <w:r>
        <w:rPr>
          <w:i/>
          <w:sz w:val="19"/>
        </w:rPr>
        <w:t>polttoainetyyppi</w:t>
      </w:r>
      <w:r>
        <w:rPr>
          <w:sz w:val="19"/>
        </w:rPr>
        <w:t>: polttoaine,</w:t>
      </w:r>
    </w:p>
    <w:p w14:paraId="12DA69D9" w14:textId="77777777" w:rsidR="00A2416E" w:rsidRDefault="00534832">
      <w:pPr>
        <w:pStyle w:val="Brdtext"/>
        <w:spacing w:line="273" w:lineRule="auto"/>
        <w:ind w:left="400"/>
        <w:jc w:val="both"/>
      </w:pPr>
      <w:r>
        <w:t>joka on polttoainelain (2011:319) 3–15 §:n mukaisen tietyn luokittelun tai tietyn kansallisen tai kansainvälisen polttoainestandardin mukainen, mahdolliset muut polttoaineet, jotka eivät ole luokittelun tai standardin mukaisia, sekä polttoaineena käytettävä sähkö,</w:t>
      </w:r>
    </w:p>
    <w:p w14:paraId="601B7223" w14:textId="77777777"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tuote</w:t>
      </w:r>
      <w:r>
        <w:t>: polttoainetyypin mukaan kaupan pidetty tuote. Tapauksissa, joissa toimittaja pitää kaupan useita eri polttoainetuotteita, jotka ovat saman eritelmän tai standardin mukaisia, eri tuotteet on raportoitava erikseen kullakin tuotenimellä,</w:t>
      </w:r>
    </w:p>
    <w:p w14:paraId="17F68D6C" w14:textId="0B67E776" w:rsidR="00A2416E" w:rsidRDefault="00534832">
      <w:pPr>
        <w:pStyle w:val="Brdtext"/>
        <w:spacing w:before="118" w:line="273" w:lineRule="auto"/>
        <w:ind w:left="400"/>
        <w:jc w:val="both"/>
      </w:pPr>
      <w:r>
        <w:t>.</w:t>
      </w:r>
      <w:r w:rsidR="004E56AA" w:rsidRPr="004E56AA">
        <w:rPr>
          <w:i/>
        </w:rPr>
        <w:t xml:space="preserve"> </w:t>
      </w:r>
      <w:r w:rsidR="004E56AA">
        <w:rPr>
          <w:i/>
        </w:rPr>
        <w:t>alkuvaiheen päästöjen vähennys</w:t>
      </w:r>
      <w:r w:rsidR="004E56AA">
        <w:t>: kasvihuonekaasupäästöjen vähentämistoimenpide, joka toteutetaan ennen kuin raaka-aine käsitellään jalostamossa tai muussa laitoksessa polttoaineen fossiilisen komponentin valmistamista varten</w:t>
      </w:r>
    </w:p>
    <w:p w14:paraId="689C2081" w14:textId="77777777"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14:paraId="4897DE83" w14:textId="77777777"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Ilmestynyt painosta 2 päivänä helmikuuta 2021</w:t>
      </w:r>
    </w:p>
    <w:p w14:paraId="054025C7" w14:textId="77777777"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14:paraId="08F60323" w14:textId="77777777" w:rsidR="00A2416E" w:rsidRDefault="00A2416E">
      <w:pPr>
        <w:pStyle w:val="Brdtext"/>
        <w:rPr>
          <w:sz w:val="20"/>
        </w:rPr>
      </w:pPr>
    </w:p>
    <w:p w14:paraId="7F7FFE81" w14:textId="77777777" w:rsidR="00A2416E" w:rsidRDefault="00A2416E">
      <w:pPr>
        <w:pStyle w:val="Brdtext"/>
        <w:rPr>
          <w:sz w:val="20"/>
        </w:rPr>
      </w:pPr>
    </w:p>
    <w:p w14:paraId="6C53A6E7" w14:textId="77777777" w:rsidR="00A2416E" w:rsidRDefault="00A2416E">
      <w:pPr>
        <w:pStyle w:val="Brdtext"/>
        <w:spacing w:before="11"/>
        <w:rPr>
          <w:sz w:val="23"/>
        </w:rPr>
      </w:pPr>
    </w:p>
    <w:p w14:paraId="6036D87D" w14:textId="77777777" w:rsidR="00A2416E" w:rsidRDefault="00EC3D00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 w14:anchorId="079D94F6"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anchorlock/>
          </v:group>
        </w:pict>
      </w:r>
    </w:p>
    <w:p w14:paraId="1A34B16D" w14:textId="77777777" w:rsidR="004E56AA" w:rsidRDefault="00534832" w:rsidP="004E56AA">
      <w:pPr>
        <w:spacing w:before="31"/>
        <w:ind w:left="403" w:right="1701"/>
        <w:jc w:val="both"/>
        <w:rPr>
          <w:sz w:val="17"/>
        </w:rPr>
      </w:pPr>
      <w:r>
        <w:rPr>
          <w:sz w:val="10"/>
        </w:rPr>
        <w:t>1</w:t>
      </w:r>
      <w:r>
        <w:t xml:space="preserve"> </w:t>
      </w:r>
      <w:r>
        <w:rPr>
          <w:sz w:val="17"/>
        </w:rPr>
        <w:t>Euroopan parlamentin ja neuvoston direktiivi (EU) 2015/1535, annettu 9 päivänä syyskuuta 2015, teknisiä määräyksiä ja tietoyhteiskunnan palveluja koskevia määräyksiä koskevien tietojen toimittamisessa noudatettavasta menettelystä.</w:t>
      </w:r>
      <w:r>
        <w:rPr>
          <w:sz w:val="17"/>
        </w:rPr>
        <w:tab/>
      </w:r>
    </w:p>
    <w:p w14:paraId="3F7164F9" w14:textId="0406C7DF" w:rsidR="00A2416E" w:rsidRDefault="004E56AA" w:rsidP="00581354">
      <w:pPr>
        <w:spacing w:before="31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    </w:t>
      </w:r>
      <w:r w:rsidR="00534832">
        <w:rPr>
          <w:rFonts w:ascii="HelveticaNeueLT Std Cn" w:hAnsi="HelveticaNeueLT Std Cn"/>
          <w:sz w:val="20"/>
        </w:rPr>
        <w:t>1</w:t>
      </w:r>
    </w:p>
    <w:p w14:paraId="7C3B7287" w14:textId="77777777"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FA5AF97" w14:textId="77777777"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 2021:2</w:t>
      </w:r>
    </w:p>
    <w:p w14:paraId="624DE1C9" w14:textId="77777777"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bCs/>
        </w:rPr>
        <w:t>Raportointi</w:t>
      </w:r>
    </w:p>
    <w:p w14:paraId="60DBC31F" w14:textId="77777777"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>§</w:t>
      </w:r>
      <w:r>
        <w:rPr>
          <w:sz w:val="19"/>
        </w:rPr>
        <w:t xml:space="preserve"> Päästöselvityksessä on ilmoitettava kaikki polttoaineen toimittajan raportointivuonna toimittamat polttoainetuotteet, joiden osalta verosaatava on syntynyt energiaverosta annetun lain (1994:1776) 5 luvun mukaisesti, sekä seuraavat tiedot</w:t>
      </w:r>
    </w:p>
    <w:p w14:paraId="69D953B3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määrä,</w:t>
      </w:r>
    </w:p>
    <w:p w14:paraId="516CF941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tehollinen lämpöarvo,</w:t>
      </w:r>
    </w:p>
    <w:p w14:paraId="5CA31CC9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toimitetun sähkön energianlähde, jos sähkö on alkuperämerkitty.</w:t>
      </w:r>
    </w:p>
    <w:p w14:paraId="7894339E" w14:textId="77777777" w:rsidR="00A2416E" w:rsidRDefault="00A2416E">
      <w:pPr>
        <w:pStyle w:val="Brdtext"/>
        <w:spacing w:before="5"/>
        <w:rPr>
          <w:sz w:val="22"/>
        </w:rPr>
      </w:pPr>
    </w:p>
    <w:p w14:paraId="688D241D" w14:textId="77777777"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>§</w:t>
      </w:r>
      <w:r>
        <w:rPr>
          <w:sz w:val="19"/>
        </w:rPr>
        <w:t xml:space="preserve"> Päästöselvityksessä on ilmoitettava 4 §:ssä tarkoitettuihin toimitettuihin polttoainetuotteisiin sisältyvät kaikki fossiiliset komponentit sekä seuraavat tiedot:</w:t>
      </w:r>
    </w:p>
    <w:p w14:paraId="09AF6626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tuote, johon komponentti sisältyy,</w:t>
      </w:r>
    </w:p>
    <w:p w14:paraId="28EE6BB7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fossiilisen komponentin tyyppi raaka-aineiden lähteen ja prosessin mukaan jaoteltuna liitteen 1 mukaisesti,</w:t>
      </w:r>
    </w:p>
    <w:p w14:paraId="5DA70FE3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määrä,</w:t>
      </w:r>
    </w:p>
    <w:p w14:paraId="6D197172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tehollinen lämpöarvo ja</w:t>
      </w:r>
    </w:p>
    <w:p w14:paraId="04221788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raaka-aineen alkuperämaa.</w:t>
      </w:r>
    </w:p>
    <w:p w14:paraId="2AED6C49" w14:textId="77777777" w:rsidR="00A2416E" w:rsidRDefault="00A2416E">
      <w:pPr>
        <w:pStyle w:val="Brdtext"/>
        <w:spacing w:before="5"/>
        <w:rPr>
          <w:sz w:val="22"/>
        </w:rPr>
      </w:pPr>
    </w:p>
    <w:p w14:paraId="716008FA" w14:textId="77777777"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>§</w:t>
      </w:r>
      <w:r>
        <w:rPr>
          <w:sz w:val="19"/>
        </w:rPr>
        <w:t xml:space="preserve"> Päästöselvityksessä on ilmoitettava 4 §:ssä tarkoitettuihin toimitettuihin polttoainetuotteisiin sisältyvät kaikki biokomponentit sekä seuraavat tiedot:</w:t>
      </w:r>
    </w:p>
    <w:p w14:paraId="0C456492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tuote, johon biokomponentti sisältyy,</w:t>
      </w:r>
    </w:p>
    <w:p w14:paraId="5D2FF15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biokomponentin tyyppi,</w:t>
      </w:r>
    </w:p>
    <w:p w14:paraId="134B125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määrä,</w:t>
      </w:r>
    </w:p>
    <w:p w14:paraId="420C5F9D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tehollinen lämpöarvo,</w:t>
      </w:r>
    </w:p>
    <w:p w14:paraId="6FBCDE1A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raaka-aine,</w:t>
      </w:r>
    </w:p>
    <w:p w14:paraId="3BA18401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raaka-aineen alkuperämaa,</w:t>
      </w:r>
    </w:p>
    <w:p w14:paraId="3E51FE3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täyttääkö biokomponentti biopolttoaineiden ja bionesteiden kestävyyskriteereistä annetun lain (2010:598) kestävyyskriteerit, ja</w:t>
      </w:r>
    </w:p>
    <w:p w14:paraId="6A936F3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käytetäänkö biokomponenttia lentoliikenteen polttoaineissa.</w:t>
      </w:r>
    </w:p>
    <w:p w14:paraId="351F1B0D" w14:textId="77777777" w:rsidR="00A2416E" w:rsidRDefault="00A2416E">
      <w:pPr>
        <w:pStyle w:val="Brdtext"/>
        <w:spacing w:before="6"/>
        <w:rPr>
          <w:sz w:val="22"/>
        </w:rPr>
      </w:pPr>
    </w:p>
    <w:p w14:paraId="055D9BCA" w14:textId="77777777"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>§</w:t>
      </w:r>
      <w:r>
        <w:rPr>
          <w:sz w:val="19"/>
        </w:rPr>
        <w:t xml:space="preserve"> Jos alkuperämaa on Euroopan unionin tai Euroopan talousalueen ulkopuolella mutta alkuperämaasta ei ole tietoa, päästöselvityksessä voidaan ilmoittaa, että alkuperämaa puuttuu.</w:t>
      </w:r>
    </w:p>
    <w:p w14:paraId="732E5498" w14:textId="77777777"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53703E9C" w14:textId="77777777" w:rsidR="00A2416E" w:rsidRDefault="00A2416E">
      <w:pPr>
        <w:pStyle w:val="Brdtext"/>
        <w:rPr>
          <w:sz w:val="20"/>
        </w:rPr>
      </w:pPr>
    </w:p>
    <w:p w14:paraId="141EB606" w14:textId="77777777" w:rsidR="00A2416E" w:rsidRDefault="00A2416E">
      <w:pPr>
        <w:pStyle w:val="Brdtext"/>
        <w:rPr>
          <w:sz w:val="20"/>
        </w:rPr>
      </w:pPr>
    </w:p>
    <w:p w14:paraId="7939C55D" w14:textId="77777777" w:rsidR="00A2416E" w:rsidRDefault="00A2416E">
      <w:pPr>
        <w:pStyle w:val="Brdtext"/>
        <w:rPr>
          <w:sz w:val="20"/>
        </w:rPr>
      </w:pPr>
    </w:p>
    <w:p w14:paraId="3855820A" w14:textId="77777777" w:rsidR="00A2416E" w:rsidRDefault="00A2416E">
      <w:pPr>
        <w:pStyle w:val="Brdtext"/>
        <w:rPr>
          <w:sz w:val="20"/>
        </w:rPr>
      </w:pPr>
    </w:p>
    <w:p w14:paraId="436A79D9" w14:textId="77777777" w:rsidR="00A2416E" w:rsidRDefault="00A2416E">
      <w:pPr>
        <w:pStyle w:val="Brdtext"/>
        <w:rPr>
          <w:sz w:val="20"/>
        </w:rPr>
      </w:pPr>
    </w:p>
    <w:p w14:paraId="66D146DB" w14:textId="77777777" w:rsidR="00A2416E" w:rsidRDefault="00A2416E">
      <w:pPr>
        <w:pStyle w:val="Brdtext"/>
        <w:rPr>
          <w:sz w:val="20"/>
        </w:rPr>
      </w:pPr>
    </w:p>
    <w:p w14:paraId="05983546" w14:textId="77777777" w:rsidR="00A2416E" w:rsidRDefault="00A2416E">
      <w:pPr>
        <w:pStyle w:val="Brdtext"/>
        <w:rPr>
          <w:sz w:val="20"/>
        </w:rPr>
      </w:pPr>
    </w:p>
    <w:p w14:paraId="3B407F9E" w14:textId="77777777" w:rsidR="00A2416E" w:rsidRDefault="00A2416E">
      <w:pPr>
        <w:pStyle w:val="Brdtext"/>
        <w:spacing w:before="8"/>
        <w:rPr>
          <w:sz w:val="26"/>
        </w:rPr>
      </w:pPr>
    </w:p>
    <w:p w14:paraId="346CAB4A" w14:textId="77777777" w:rsidR="00A2416E" w:rsidRDefault="00534832">
      <w:pPr>
        <w:pStyle w:val="Rubrik3"/>
        <w:spacing w:before="111"/>
      </w:pPr>
      <w:r>
        <w:t>2</w:t>
      </w:r>
    </w:p>
    <w:p w14:paraId="47F3F605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5320A3C" w14:textId="77777777"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Kasvihuonekaasuintensiteetin laskenta</w:t>
      </w:r>
    </w:p>
    <w:p w14:paraId="1BBF99A2" w14:textId="77777777"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>12 §</w:t>
      </w:r>
      <w:r>
        <w:t xml:space="preserve"> Laskettaessa polttoaineen toimittajan kasvihuonekaasupäästöjen vähennyksiä polttoainelain (2011:319) 21 §:n tarkoitusta varten, kasvihuonekaasuintensiteetti on laskettava seuraavalla kaavalla:</w:t>
      </w:r>
    </w:p>
    <w:p w14:paraId="20759CD1" w14:textId="77777777" w:rsidR="00A2416E" w:rsidRDefault="00534832" w:rsidP="004E56AA">
      <w:pPr>
        <w:pStyle w:val="Brdtext"/>
        <w:spacing w:before="86" w:line="213" w:lineRule="exact"/>
        <w:ind w:left="2381" w:right="567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(</w:t>
      </w:r>
      <w:proofErr w:type="spellStart"/>
      <w:r>
        <w:rPr>
          <w:color w:val="010102"/>
        </w:rPr>
        <w:t>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proofErr w:type="spellEnd"/>
      <w:r>
        <w:rPr>
          <w:color w:val="010102"/>
        </w:rPr>
        <w:t>) – UER</w:t>
      </w:r>
    </w:p>
    <w:p w14:paraId="5B0DC3E8" w14:textId="77777777"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Kasvihuonekaasuintensiteetti</w:t>
      </w:r>
      <w:proofErr w:type="gramStart"/>
      <w:r>
        <w:rPr>
          <w:color w:val="010102"/>
          <w:vertAlign w:val="subscript"/>
        </w:rPr>
        <w:t>#</w:t>
      </w:r>
      <w:r>
        <w:rPr>
          <w:color w:val="010102"/>
        </w:rPr>
        <w:t xml:space="preserve">  =</w:t>
      </w:r>
      <w:proofErr w:type="gramEnd"/>
      <w:r>
        <w:rPr>
          <w:color w:val="010102"/>
        </w:rPr>
        <w:t xml:space="preserve">  ––––––––––––––––––––––––</w:t>
      </w:r>
    </w:p>
    <w:p w14:paraId="3A218E26" w14:textId="77777777" w:rsidR="00A2416E" w:rsidRDefault="00534832" w:rsidP="004E56AA">
      <w:pPr>
        <w:pStyle w:val="Brdtext"/>
        <w:spacing w:line="217" w:lineRule="exact"/>
        <w:ind w:left="2121" w:right="907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</w:t>
      </w:r>
      <w:proofErr w:type="spellStart"/>
      <w:r>
        <w:rPr>
          <w:color w:val="010102"/>
        </w:rPr>
        <w:t>MJ</w:t>
      </w:r>
      <w:r>
        <w:rPr>
          <w:color w:val="010102"/>
          <w:vertAlign w:val="subscript"/>
        </w:rPr>
        <w:t>x</w:t>
      </w:r>
      <w:proofErr w:type="spellEnd"/>
    </w:p>
    <w:p w14:paraId="34570CBD" w14:textId="77777777"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 w14:paraId="4CFD6340" w14:textId="77777777">
        <w:trPr>
          <w:trHeight w:val="251"/>
        </w:trPr>
        <w:tc>
          <w:tcPr>
            <w:tcW w:w="800" w:type="dxa"/>
          </w:tcPr>
          <w:p w14:paraId="0A908CB3" w14:textId="1D1C8CFB"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</w:p>
        </w:tc>
        <w:tc>
          <w:tcPr>
            <w:tcW w:w="5497" w:type="dxa"/>
          </w:tcPr>
          <w:p w14:paraId="667260ED" w14:textId="5694A6C1" w:rsidR="00A2416E" w:rsidRDefault="004E56AA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toimittajan tunnistustiedot</w:t>
            </w:r>
          </w:p>
        </w:tc>
      </w:tr>
      <w:tr w:rsidR="00A2416E" w14:paraId="66C6F643" w14:textId="77777777">
        <w:trPr>
          <w:trHeight w:val="291"/>
        </w:trPr>
        <w:tc>
          <w:tcPr>
            <w:tcW w:w="800" w:type="dxa"/>
          </w:tcPr>
          <w:p w14:paraId="2FD57175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14:paraId="2A6E5BDD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toimitettu polttoaine, joka on raportoitava</w:t>
            </w:r>
          </w:p>
        </w:tc>
      </w:tr>
      <w:tr w:rsidR="00A2416E" w14:paraId="4EEEE19A" w14:textId="77777777">
        <w:trPr>
          <w:trHeight w:val="751"/>
        </w:trPr>
        <w:tc>
          <w:tcPr>
            <w:tcW w:w="800" w:type="dxa"/>
          </w:tcPr>
          <w:p w14:paraId="79E26564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proofErr w:type="spellStart"/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  <w:proofErr w:type="spellEnd"/>
          </w:p>
        </w:tc>
        <w:tc>
          <w:tcPr>
            <w:tcW w:w="5497" w:type="dxa"/>
          </w:tcPr>
          <w:p w14:paraId="7D58B399" w14:textId="77777777"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rPr>
                <w:sz w:val="19"/>
              </w:rPr>
              <w:t>toimitettuun polttoaineeseen sisältyvien kaikkien biokomponenttien ja fossiilisten komponenttien kasvihuonekaasupäästöjen summa ilmaistuna yksikössä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ekv/MJ</w:t>
            </w:r>
          </w:p>
        </w:tc>
      </w:tr>
      <w:tr w:rsidR="00A2416E" w14:paraId="5FB64182" w14:textId="77777777">
        <w:trPr>
          <w:trHeight w:val="521"/>
        </w:trPr>
        <w:tc>
          <w:tcPr>
            <w:tcW w:w="800" w:type="dxa"/>
          </w:tcPr>
          <w:p w14:paraId="3D51B5E0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proofErr w:type="spellStart"/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  <w:proofErr w:type="spellEnd"/>
          </w:p>
        </w:tc>
        <w:tc>
          <w:tcPr>
            <w:tcW w:w="5497" w:type="dxa"/>
          </w:tcPr>
          <w:p w14:paraId="02BB1F8E" w14:textId="77777777"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z w:val="19"/>
              </w:rPr>
              <w:t>toimitettuun polttoaineeseen sisältyviin fossiilisiin komponentteihin ja biokomponentteihin sisältyvä energia ilmaistuna megajouleina</w:t>
            </w:r>
          </w:p>
        </w:tc>
      </w:tr>
      <w:tr w:rsidR="00A2416E" w14:paraId="5072D8FC" w14:textId="77777777">
        <w:trPr>
          <w:trHeight w:val="521"/>
        </w:trPr>
        <w:tc>
          <w:tcPr>
            <w:tcW w:w="800" w:type="dxa"/>
          </w:tcPr>
          <w:p w14:paraId="6DFBF789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14:paraId="76543568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käyttövoimatehokkuuden mukautuskertoimet jäljempänä olevan taulukon</w:t>
            </w:r>
          </w:p>
          <w:p w14:paraId="1791D3B1" w14:textId="77777777"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mukaisesti</w:t>
            </w:r>
          </w:p>
        </w:tc>
      </w:tr>
      <w:tr w:rsidR="00A2416E" w14:paraId="690B8266" w14:textId="77777777">
        <w:trPr>
          <w:trHeight w:val="297"/>
        </w:trPr>
        <w:tc>
          <w:tcPr>
            <w:tcW w:w="800" w:type="dxa"/>
          </w:tcPr>
          <w:p w14:paraId="60FB116A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14:paraId="1AD7EF7E" w14:textId="77777777"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rPr>
                <w:sz w:val="19"/>
              </w:rPr>
              <w:t>alkuvaiheen päästöjen vähennys mitattuna yksikössä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ekv</w:t>
            </w:r>
          </w:p>
        </w:tc>
      </w:tr>
    </w:tbl>
    <w:p w14:paraId="799663C9" w14:textId="77777777" w:rsidR="00A2416E" w:rsidRDefault="00534832">
      <w:pPr>
        <w:pStyle w:val="Brdtext"/>
        <w:spacing w:before="132"/>
        <w:ind w:left="400"/>
        <w:jc w:val="both"/>
      </w:pPr>
      <w:r>
        <w:t>Päästöt on mukautettava käyttövoimatehokkuuden ja alkuvaiheen päästöjen osalta.</w:t>
      </w:r>
    </w:p>
    <w:p w14:paraId="197F02F8" w14:textId="77777777" w:rsidR="00A2416E" w:rsidRDefault="00A2416E">
      <w:pPr>
        <w:pStyle w:val="Brdtext"/>
        <w:rPr>
          <w:sz w:val="28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 w14:paraId="28F08263" w14:textId="77777777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14:paraId="38A19BC4" w14:textId="77777777"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Hallitseva käyttötarkoitus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2AE18678" w14:textId="77777777" w:rsidR="00A2416E" w:rsidRDefault="00534832">
            <w:pPr>
              <w:pStyle w:val="TableParagraph"/>
              <w:spacing w:before="67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Tehokkuuskerroin</w:t>
            </w:r>
          </w:p>
        </w:tc>
      </w:tr>
      <w:tr w:rsidR="00A2416E" w14:paraId="63DF21ED" w14:textId="77777777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14:paraId="2DC6CCCF" w14:textId="77777777"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Polttomoottori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3EABE78F" w14:textId="77777777"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 w14:paraId="17A28BEE" w14:textId="77777777">
        <w:trPr>
          <w:trHeight w:val="242"/>
        </w:trPr>
        <w:tc>
          <w:tcPr>
            <w:tcW w:w="3368" w:type="dxa"/>
          </w:tcPr>
          <w:p w14:paraId="02257E28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Akkukäyttöinen sähköinen voimalaite</w:t>
            </w:r>
          </w:p>
        </w:tc>
        <w:tc>
          <w:tcPr>
            <w:tcW w:w="1656" w:type="dxa"/>
          </w:tcPr>
          <w:p w14:paraId="73657E13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  <w:tr w:rsidR="00A2416E" w14:paraId="320937A7" w14:textId="77777777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14:paraId="51DED897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Vetypolttokennokäyttöinen sähköinen voimalaite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6D27FC5C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</w:tbl>
    <w:p w14:paraId="26A8E09B" w14:textId="77777777" w:rsidR="00A2416E" w:rsidRDefault="00A2416E">
      <w:pPr>
        <w:pStyle w:val="Brdtext"/>
        <w:spacing w:before="10"/>
        <w:rPr>
          <w:sz w:val="28"/>
        </w:rPr>
      </w:pPr>
    </w:p>
    <w:p w14:paraId="37BD531B" w14:textId="77777777"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>12a §</w:t>
      </w:r>
      <w:r>
        <w:t xml:space="preserve"> Ympäristötietojen vahvistamiseksi polttoaineen toimittajan on laskettava kaupan pidettävien tuotteiden kasvihuonekaasuintensiteetti seuraavalla kaavalla:</w:t>
      </w:r>
    </w:p>
    <w:p w14:paraId="752A0082" w14:textId="77777777"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(</w:t>
      </w:r>
      <w:proofErr w:type="spellStart"/>
      <w:r>
        <w:rPr>
          <w:color w:val="010102"/>
        </w:rPr>
        <w:t>GHGi</w:t>
      </w:r>
      <w:r>
        <w:rPr>
          <w:color w:val="010102"/>
          <w:sz w:val="12"/>
        </w:rPr>
        <w:t>x</w:t>
      </w:r>
      <w:proofErr w:type="spellEnd"/>
      <w:r>
        <w:rPr>
          <w:color w:val="010102"/>
          <w:sz w:val="12"/>
        </w:rPr>
        <w:t xml:space="preserve"> </w:t>
      </w:r>
      <w:r>
        <w:rPr>
          <w:color w:val="010102"/>
        </w:rPr>
        <w:t xml:space="preserve">× </w:t>
      </w:r>
      <w:proofErr w:type="spellStart"/>
      <w:r>
        <w:rPr>
          <w:color w:val="010102"/>
        </w:rPr>
        <w:t>MJ</w:t>
      </w:r>
      <w:r>
        <w:rPr>
          <w:color w:val="010102"/>
          <w:sz w:val="12"/>
        </w:rPr>
        <w:t>x</w:t>
      </w:r>
      <w:proofErr w:type="spellEnd"/>
      <w:r>
        <w:rPr>
          <w:color w:val="010102"/>
        </w:rPr>
        <w:t xml:space="preserve">) </w:t>
      </w:r>
      <w:proofErr w:type="spellStart"/>
      <w:r>
        <w:rPr>
          <w:color w:val="010102"/>
        </w:rPr>
        <w:t>GHGi</w:t>
      </w:r>
      <w:r>
        <w:rPr>
          <w:color w:val="010102"/>
          <w:sz w:val="11"/>
        </w:rPr>
        <w:t>a</w:t>
      </w:r>
      <w:proofErr w:type="spellEnd"/>
      <w:r>
        <w:rPr>
          <w:color w:val="010102"/>
          <w:sz w:val="11"/>
        </w:rPr>
        <w:t xml:space="preserve"> </w:t>
      </w:r>
      <w:r>
        <w:rPr>
          <w:color w:val="010102"/>
        </w:rPr>
        <w:t>= ––––––––––––––––</w:t>
      </w:r>
    </w:p>
    <w:p w14:paraId="676262ED" w14:textId="77777777"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sz w:val="19"/>
        </w:rPr>
        <w:t xml:space="preserve">∑ </w:t>
      </w:r>
      <w:r>
        <w:rPr>
          <w:color w:val="010102"/>
          <w:sz w:val="12"/>
        </w:rPr>
        <w:t xml:space="preserve">x </w:t>
      </w:r>
      <w:proofErr w:type="spellStart"/>
      <w:r>
        <w:rPr>
          <w:color w:val="010102"/>
          <w:sz w:val="19"/>
        </w:rPr>
        <w:t>MJ</w:t>
      </w:r>
      <w:r>
        <w:rPr>
          <w:color w:val="010102"/>
          <w:sz w:val="12"/>
        </w:rPr>
        <w:t>x</w:t>
      </w:r>
      <w:proofErr w:type="spellEnd"/>
    </w:p>
    <w:p w14:paraId="447A06EC" w14:textId="77777777" w:rsidR="00A2416E" w:rsidRDefault="00534832">
      <w:pPr>
        <w:pStyle w:val="Rubrik2"/>
        <w:spacing w:line="228" w:lineRule="auto"/>
        <w:ind w:left="200" w:right="134"/>
      </w:pPr>
      <w:r>
        <w:br w:type="column"/>
      </w:r>
      <w:r>
        <w:t>STEMFS 2021:2</w:t>
      </w:r>
    </w:p>
    <w:p w14:paraId="186869FF" w14:textId="77777777"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14:paraId="78B72271" w14:textId="77777777" w:rsidR="00A2416E" w:rsidRDefault="00534832">
      <w:pPr>
        <w:pStyle w:val="Brdtext"/>
        <w:spacing w:before="129" w:after="58"/>
        <w:ind w:left="400"/>
      </w:pPr>
      <w:r>
        <w:t>Jossa</w:t>
      </w: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 w14:paraId="595F037B" w14:textId="77777777">
        <w:trPr>
          <w:trHeight w:val="242"/>
        </w:trPr>
        <w:tc>
          <w:tcPr>
            <w:tcW w:w="777" w:type="dxa"/>
          </w:tcPr>
          <w:p w14:paraId="24B13BD8" w14:textId="77777777"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14:paraId="3E518B6F" w14:textId="77777777"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toimitettu polttoainetuote, joka on raportoitava</w:t>
            </w:r>
          </w:p>
        </w:tc>
      </w:tr>
      <w:tr w:rsidR="00A2416E" w14:paraId="32F5B9EE" w14:textId="77777777">
        <w:trPr>
          <w:trHeight w:val="273"/>
        </w:trPr>
        <w:tc>
          <w:tcPr>
            <w:tcW w:w="777" w:type="dxa"/>
          </w:tcPr>
          <w:p w14:paraId="2D155D9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14:paraId="27B3ACB7" w14:textId="77777777"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raportoitavat tuotteen komponentit</w:t>
            </w:r>
          </w:p>
        </w:tc>
      </w:tr>
      <w:tr w:rsidR="00A2416E" w14:paraId="64FD007D" w14:textId="77777777">
        <w:trPr>
          <w:trHeight w:val="526"/>
        </w:trPr>
        <w:tc>
          <w:tcPr>
            <w:tcW w:w="777" w:type="dxa"/>
          </w:tcPr>
          <w:p w14:paraId="17EAA3F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proofErr w:type="spellStart"/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  <w:proofErr w:type="spellEnd"/>
          </w:p>
        </w:tc>
        <w:tc>
          <w:tcPr>
            <w:tcW w:w="5495" w:type="dxa"/>
          </w:tcPr>
          <w:p w14:paraId="1FA05581" w14:textId="77777777" w:rsidR="00A2416E" w:rsidRDefault="00534832">
            <w:pPr>
              <w:pStyle w:val="TableParagraph"/>
              <w:spacing w:before="17" w:line="230" w:lineRule="exact"/>
              <w:ind w:left="57"/>
              <w:rPr>
                <w:sz w:val="19"/>
              </w:rPr>
            </w:pPr>
            <w:r>
              <w:rPr>
                <w:sz w:val="19"/>
              </w:rPr>
              <w:t>tuotteeseen a sisältyvän komponentin kasvihuonekaasuintensiteetti ilmaistuna yksikössä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ekv/MJ</w:t>
            </w:r>
          </w:p>
        </w:tc>
      </w:tr>
      <w:tr w:rsidR="00A2416E" w14:paraId="473B90F4" w14:textId="77777777">
        <w:trPr>
          <w:trHeight w:val="480"/>
        </w:trPr>
        <w:tc>
          <w:tcPr>
            <w:tcW w:w="777" w:type="dxa"/>
          </w:tcPr>
          <w:p w14:paraId="5908B850" w14:textId="77777777"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proofErr w:type="spellStart"/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  <w:proofErr w:type="spellEnd"/>
          </w:p>
        </w:tc>
        <w:tc>
          <w:tcPr>
            <w:tcW w:w="5495" w:type="dxa"/>
          </w:tcPr>
          <w:p w14:paraId="3E93CD66" w14:textId="77777777"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tuotteeseen a sisältyvien komponenttien energia ilmaistuna megajouleina</w:t>
            </w:r>
          </w:p>
        </w:tc>
      </w:tr>
      <w:tr w:rsidR="00A2416E" w14:paraId="245B7179" w14:textId="77777777">
        <w:trPr>
          <w:trHeight w:val="702"/>
        </w:trPr>
        <w:tc>
          <w:tcPr>
            <w:tcW w:w="777" w:type="dxa"/>
          </w:tcPr>
          <w:p w14:paraId="5334C4BE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proofErr w:type="spellStart"/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a</w:t>
            </w:r>
            <w:proofErr w:type="spellEnd"/>
          </w:p>
        </w:tc>
        <w:tc>
          <w:tcPr>
            <w:tcW w:w="5495" w:type="dxa"/>
          </w:tcPr>
          <w:p w14:paraId="2A6CA0A4" w14:textId="77777777" w:rsidR="00A2416E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</w:rPr>
            </w:pPr>
            <w:r>
              <w:rPr>
                <w:sz w:val="19"/>
              </w:rPr>
              <w:t>toimitettuun tuotteeseen sisältyvien kaikkien biokomponenttien ja fossiilisten komponenttien kasvihuonekaasupäästöt ilmaistuna yksikössä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ekv/MJ.</w:t>
            </w:r>
          </w:p>
        </w:tc>
      </w:tr>
    </w:tbl>
    <w:p w14:paraId="631CE3C8" w14:textId="77777777" w:rsidR="00A2416E" w:rsidRDefault="00A2416E">
      <w:pPr>
        <w:pStyle w:val="Brdtext"/>
        <w:rPr>
          <w:sz w:val="20"/>
        </w:rPr>
      </w:pPr>
    </w:p>
    <w:p w14:paraId="665B4BAB" w14:textId="77777777" w:rsidR="00A2416E" w:rsidRDefault="00A2416E">
      <w:pPr>
        <w:pStyle w:val="Brdtext"/>
        <w:spacing w:before="10"/>
        <w:rPr>
          <w:sz w:val="21"/>
        </w:rPr>
      </w:pPr>
    </w:p>
    <w:p w14:paraId="5772BB0F" w14:textId="77777777" w:rsidR="00A2416E" w:rsidRDefault="00534832">
      <w:pPr>
        <w:pStyle w:val="Rubrik3"/>
        <w:ind w:left="0" w:right="155"/>
        <w:jc w:val="right"/>
      </w:pPr>
      <w:r>
        <w:t>3</w:t>
      </w:r>
    </w:p>
    <w:p w14:paraId="677F036A" w14:textId="77777777"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EB2F8F7" w14:textId="77777777"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lastRenderedPageBreak/>
        <w:t>STEMFS 2021:2</w:t>
      </w:r>
    </w:p>
    <w:p w14:paraId="0305CE16" w14:textId="77777777" w:rsidR="00A2416E" w:rsidRDefault="00534832">
      <w:pPr>
        <w:pStyle w:val="Brdtext"/>
        <w:spacing w:before="72" w:line="273" w:lineRule="auto"/>
        <w:ind w:left="117" w:right="381"/>
        <w:jc w:val="both"/>
      </w:pPr>
      <w:r>
        <w:br w:type="column"/>
      </w:r>
      <w:r>
        <w:rPr>
          <w:b/>
        </w:rPr>
        <w:t>13 §</w:t>
      </w:r>
      <w:r>
        <w:t xml:space="preserve"> Edellä 12 §:ssä tarkoitetussa laskennassa polttoaineen toimittajan on laskettava fossiilisten komponenttien kasvihuonekaasupäästöt liitteessä 1 esitettyjen painotettujen oletusarvojen mukaisesti.</w:t>
      </w:r>
    </w:p>
    <w:p w14:paraId="10BFD7DE" w14:textId="77777777" w:rsidR="00A2416E" w:rsidRDefault="00534832">
      <w:pPr>
        <w:pStyle w:val="Brdtext"/>
        <w:spacing w:before="115" w:line="273" w:lineRule="auto"/>
        <w:ind w:left="117" w:right="381"/>
        <w:jc w:val="both"/>
      </w:pPr>
      <w:r>
        <w:t>Edellä 12 a §:ssä tarkoitetussa laskennassa polttoaineen toimittajan on laskettava fossiilisten komponenttien kasvihuonekaasupäästöt liitteessä 1 esitettyjen tiettyä raaka-ainelähdettä ja prosessia koskevien oletusarvojen mukaisesti.</w:t>
      </w:r>
    </w:p>
    <w:p w14:paraId="2AC92A22" w14:textId="77777777" w:rsidR="00A2416E" w:rsidRDefault="00A2416E">
      <w:pPr>
        <w:pStyle w:val="Brdtext"/>
        <w:spacing w:before="5"/>
        <w:rPr>
          <w:sz w:val="26"/>
        </w:rPr>
      </w:pPr>
    </w:p>
    <w:p w14:paraId="0262139A" w14:textId="77777777" w:rsidR="00A2416E" w:rsidRDefault="00534832">
      <w:pPr>
        <w:pStyle w:val="Rubrik2"/>
        <w:spacing w:before="0"/>
      </w:pPr>
      <w:r>
        <w:t>Alkuvaiheen päästöjen vähennys</w:t>
      </w:r>
    </w:p>
    <w:p w14:paraId="0796A5BC" w14:textId="77777777"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>16 §</w:t>
      </w:r>
      <w:r>
        <w:t xml:space="preserve"> Jotta polttoaineen toimittaja voi lukea alkuvaiheen päästöjen vähennyksen hyväksi laskettaessa kasvihuonekaasuintensiteettiä 12 §:n mukaisesti, polttoaineen toimittajan on pitänyt raportoida valtion energiaviranomaiselle seuraavat tiedot:</w:t>
      </w:r>
    </w:p>
    <w:p w14:paraId="3960C5E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hankkeen aloituspäivä, jonka on oltava 1 päivän tammikuuta 2011 jälkeen,</w:t>
      </w:r>
    </w:p>
    <w:p w14:paraId="5095575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vuotuiset päästöjen vähennykset (g CO</w:t>
      </w:r>
      <w:r>
        <w:rPr>
          <w:sz w:val="11"/>
        </w:rPr>
        <w:t>2</w:t>
      </w:r>
      <w:r>
        <w:rPr>
          <w:sz w:val="19"/>
        </w:rPr>
        <w:t>ekv),</w:t>
      </w:r>
    </w:p>
    <w:p w14:paraId="0C44C87A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kausi, jonka aikana väitetyt vähennykset ovat tapahtuneet,</w:t>
      </w:r>
    </w:p>
    <w:p w14:paraId="45CBAD50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päästölähdettä lähimpänä oleva hankkeen sijaintipaikka leveys- ja pituuskoordinaatteina siten, että asteet ilmoitetaan neljänteen desimaaliin pyöristettynä,</w:t>
      </w:r>
    </w:p>
    <w:p w14:paraId="31C4AA5C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vuosittaisten päästöjen vertailutaso ennen vähennystoimenpiteitä ja vuosittaiset päästöt vähennystoimenpiteiden jälkeen ilmoitettuina yksikössä g CO</w:t>
      </w:r>
      <w:r>
        <w:rPr>
          <w:sz w:val="11"/>
        </w:rPr>
        <w:t>2</w:t>
      </w:r>
      <w:r>
        <w:rPr>
          <w:sz w:val="19"/>
        </w:rPr>
        <w:t>ekv/MJ tuotettua raaka-ainetta kohti,</w:t>
      </w:r>
    </w:p>
    <w:p w14:paraId="60C84C2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kertakäyttöinen ainutlaatuinen sertifikaattinumero, joka yksilöi järjestelmän ja</w:t>
      </w:r>
    </w:p>
    <w:p w14:paraId="7F1E9855" w14:textId="77777777" w:rsidR="00A2416E" w:rsidRDefault="00534832">
      <w:pPr>
        <w:pStyle w:val="Brdtext"/>
        <w:spacing w:before="12"/>
        <w:ind w:left="315"/>
        <w:jc w:val="both"/>
      </w:pPr>
      <w:r>
        <w:t>ilmoitetut kasvihuonekaasuvähennykset,</w:t>
      </w:r>
    </w:p>
    <w:p w14:paraId="53C6F41B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kertakäyttöinen ainutlaatuinen numero, joka yksilöi laskentamenetelmän ja</w:t>
      </w:r>
    </w:p>
    <w:p w14:paraId="128F9A23" w14:textId="77777777" w:rsidR="00A2416E" w:rsidRDefault="00534832">
      <w:pPr>
        <w:pStyle w:val="Brdtext"/>
        <w:spacing w:before="11"/>
        <w:ind w:left="315"/>
        <w:jc w:val="both"/>
      </w:pPr>
      <w:r>
        <w:t>siihen liittyvän järjestelmän.</w:t>
      </w:r>
    </w:p>
    <w:p w14:paraId="2A18DA87" w14:textId="77777777" w:rsidR="00A2416E" w:rsidRDefault="00A2416E">
      <w:pPr>
        <w:pStyle w:val="Brdtext"/>
        <w:rPr>
          <w:sz w:val="29"/>
        </w:rPr>
      </w:pPr>
    </w:p>
    <w:p w14:paraId="16842E29" w14:textId="77777777" w:rsidR="00A2416E" w:rsidRDefault="00534832">
      <w:pPr>
        <w:pStyle w:val="Rubrik2"/>
        <w:spacing w:before="0"/>
      </w:pPr>
      <w:r>
        <w:t>Voimaantulosäännökset</w:t>
      </w:r>
    </w:p>
    <w:p w14:paraId="67EB8873" w14:textId="77777777" w:rsidR="00A2416E" w:rsidRDefault="00534832" w:rsidP="004E56AA">
      <w:pPr>
        <w:pStyle w:val="Brdtext"/>
        <w:spacing w:before="140" w:line="461" w:lineRule="auto"/>
        <w:ind w:left="119" w:right="1247"/>
      </w:pPr>
      <w:r>
        <w:t>Nämä määräykset tulevat voimaan 24 päivänä helmikuuta 2021. Valtion energiaviranomaisen puolesta</w:t>
      </w:r>
    </w:p>
    <w:p w14:paraId="51DE8E66" w14:textId="77777777"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6209CB19" w14:textId="77777777" w:rsidR="00A2416E" w:rsidRDefault="00A2416E">
      <w:pPr>
        <w:pStyle w:val="Brdtext"/>
        <w:spacing w:before="8"/>
        <w:rPr>
          <w:sz w:val="28"/>
        </w:rPr>
      </w:pPr>
    </w:p>
    <w:p w14:paraId="2CC17B70" w14:textId="77777777" w:rsidR="00A2416E" w:rsidRDefault="00534832">
      <w:pPr>
        <w:pStyle w:val="Brdtext"/>
        <w:spacing w:before="92"/>
        <w:ind w:left="1817"/>
      </w:pPr>
      <w:r>
        <w:t>Robert Andrén</w:t>
      </w:r>
    </w:p>
    <w:p w14:paraId="15A94D1C" w14:textId="77777777" w:rsidR="00A2416E" w:rsidRDefault="00A2416E">
      <w:pPr>
        <w:pStyle w:val="Brdtext"/>
        <w:spacing w:before="6"/>
        <w:rPr>
          <w:sz w:val="17"/>
        </w:rPr>
      </w:pPr>
    </w:p>
    <w:p w14:paraId="1AFFE159" w14:textId="77777777" w:rsidR="00A2416E" w:rsidRDefault="00534832">
      <w:pPr>
        <w:pStyle w:val="Brdtext"/>
        <w:ind w:left="3265" w:right="2636"/>
        <w:jc w:val="center"/>
      </w:pPr>
      <w:r>
        <w:t xml:space="preserve">Ulf </w:t>
      </w:r>
      <w:proofErr w:type="spellStart"/>
      <w:r>
        <w:t>Jonson</w:t>
      </w:r>
      <w:proofErr w:type="spellEnd"/>
    </w:p>
    <w:p w14:paraId="6574D352" w14:textId="77777777" w:rsidR="00A2416E" w:rsidRDefault="00A2416E">
      <w:pPr>
        <w:pStyle w:val="Brdtext"/>
        <w:rPr>
          <w:sz w:val="20"/>
        </w:rPr>
      </w:pPr>
    </w:p>
    <w:p w14:paraId="4DDBCF46" w14:textId="77777777" w:rsidR="00A2416E" w:rsidRDefault="00A2416E">
      <w:pPr>
        <w:pStyle w:val="Brdtext"/>
        <w:rPr>
          <w:sz w:val="20"/>
        </w:rPr>
      </w:pPr>
    </w:p>
    <w:p w14:paraId="04AB8C25" w14:textId="77777777" w:rsidR="00A2416E" w:rsidRDefault="00A2416E">
      <w:pPr>
        <w:pStyle w:val="Brdtext"/>
        <w:rPr>
          <w:sz w:val="20"/>
        </w:rPr>
      </w:pPr>
    </w:p>
    <w:p w14:paraId="442C2781" w14:textId="77777777" w:rsidR="00A2416E" w:rsidRDefault="00A2416E">
      <w:pPr>
        <w:pStyle w:val="Brdtext"/>
        <w:rPr>
          <w:sz w:val="20"/>
        </w:rPr>
      </w:pPr>
    </w:p>
    <w:p w14:paraId="6CF46550" w14:textId="77777777" w:rsidR="00A2416E" w:rsidRDefault="00A2416E">
      <w:pPr>
        <w:pStyle w:val="Brdtext"/>
        <w:rPr>
          <w:sz w:val="20"/>
        </w:rPr>
      </w:pPr>
    </w:p>
    <w:p w14:paraId="76DFAC04" w14:textId="77777777" w:rsidR="00A2416E" w:rsidRDefault="00A2416E">
      <w:pPr>
        <w:pStyle w:val="Brdtext"/>
        <w:rPr>
          <w:sz w:val="20"/>
        </w:rPr>
      </w:pPr>
    </w:p>
    <w:p w14:paraId="7DD6FC54" w14:textId="77777777" w:rsidR="00A2416E" w:rsidRDefault="00A2416E">
      <w:pPr>
        <w:pStyle w:val="Brdtext"/>
        <w:rPr>
          <w:sz w:val="20"/>
        </w:rPr>
      </w:pPr>
    </w:p>
    <w:p w14:paraId="3B9B0B7E" w14:textId="77777777" w:rsidR="00A2416E" w:rsidRDefault="00A2416E">
      <w:pPr>
        <w:pStyle w:val="Brdtext"/>
        <w:rPr>
          <w:sz w:val="20"/>
        </w:rPr>
      </w:pPr>
    </w:p>
    <w:p w14:paraId="4614A6AE" w14:textId="77777777" w:rsidR="00A2416E" w:rsidRDefault="00A2416E">
      <w:pPr>
        <w:pStyle w:val="Brdtext"/>
        <w:rPr>
          <w:sz w:val="20"/>
        </w:rPr>
      </w:pPr>
    </w:p>
    <w:p w14:paraId="214B4D1C" w14:textId="77777777" w:rsidR="00A2416E" w:rsidRDefault="00A2416E">
      <w:pPr>
        <w:pStyle w:val="Brdtext"/>
        <w:rPr>
          <w:sz w:val="20"/>
        </w:rPr>
      </w:pPr>
    </w:p>
    <w:p w14:paraId="60D9F43A" w14:textId="77777777" w:rsidR="00A2416E" w:rsidRDefault="00A2416E">
      <w:pPr>
        <w:pStyle w:val="Brdtext"/>
        <w:spacing w:before="10"/>
        <w:rPr>
          <w:sz w:val="22"/>
        </w:rPr>
      </w:pPr>
    </w:p>
    <w:p w14:paraId="247B32BC" w14:textId="77777777" w:rsidR="00A2416E" w:rsidRDefault="00534832">
      <w:pPr>
        <w:pStyle w:val="Rubrik3"/>
        <w:spacing w:before="112"/>
      </w:pPr>
      <w:r>
        <w:t>4</w:t>
      </w:r>
    </w:p>
    <w:p w14:paraId="25560BB9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10C7F3D" w14:textId="77777777"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lastRenderedPageBreak/>
        <w:t>Liite 1</w:t>
      </w:r>
    </w:p>
    <w:p w14:paraId="077A287F" w14:textId="77777777" w:rsidR="00A2416E" w:rsidRDefault="00A2416E">
      <w:pPr>
        <w:pStyle w:val="Brdtext"/>
        <w:spacing w:before="6"/>
        <w:rPr>
          <w:b/>
          <w:sz w:val="28"/>
        </w:rPr>
      </w:pPr>
    </w:p>
    <w:p w14:paraId="747041D0" w14:textId="77777777"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Fossiilisten polttoaineiden komponenttien keskimääräinen normaali elinkaarenaikainen kasvihuonekaasuintensiteetti</w:t>
      </w:r>
    </w:p>
    <w:p w14:paraId="1199B2D0" w14:textId="77777777" w:rsidR="00A2416E" w:rsidRDefault="00534832">
      <w:pPr>
        <w:pStyle w:val="Rubrik2"/>
        <w:spacing w:before="93" w:line="228" w:lineRule="auto"/>
        <w:ind w:left="400" w:right="134"/>
      </w:pPr>
      <w:r>
        <w:br w:type="column"/>
      </w:r>
      <w:r>
        <w:t>STEMFS 2021:2</w:t>
      </w:r>
    </w:p>
    <w:p w14:paraId="506D9EEB" w14:textId="77777777"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14:paraId="1876708B" w14:textId="77777777"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1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1984"/>
        <w:gridCol w:w="1258"/>
        <w:gridCol w:w="1574"/>
      </w:tblGrid>
      <w:tr w:rsidR="00A2416E" w14:paraId="13BAB754" w14:textId="77777777" w:rsidTr="006D7BDD">
        <w:trPr>
          <w:trHeight w:val="895"/>
        </w:trPr>
        <w:tc>
          <w:tcPr>
            <w:tcW w:w="2152" w:type="dxa"/>
            <w:tcBorders>
              <w:left w:val="nil"/>
              <w:right w:val="single" w:sz="6" w:space="0" w:color="000000"/>
            </w:tcBorders>
          </w:tcPr>
          <w:p w14:paraId="12C84FCD" w14:textId="77777777" w:rsidR="00A2416E" w:rsidRDefault="00534832">
            <w:pPr>
              <w:pStyle w:val="TableParagraph"/>
              <w:spacing w:before="67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Raaka-ainelähde ja -prosessi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29AA3401" w14:textId="77777777" w:rsidR="00A2416E" w:rsidRDefault="00534832">
            <w:pPr>
              <w:pStyle w:val="TableParagraph"/>
              <w:spacing w:before="67" w:line="247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Markkinoille saatettu polttoaine</w:t>
            </w: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</w:tcPr>
          <w:p w14:paraId="0199DD9D" w14:textId="77777777" w:rsidR="00A2416E" w:rsidRDefault="00534832" w:rsidP="006D7BDD">
            <w:pPr>
              <w:pStyle w:val="TableParagraph"/>
              <w:spacing w:before="67" w:line="247" w:lineRule="auto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Elinkaarenaikainen kasvihuonekaasuintensiteetti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ekv/MJ)</w:t>
            </w:r>
          </w:p>
        </w:tc>
        <w:tc>
          <w:tcPr>
            <w:tcW w:w="1574" w:type="dxa"/>
            <w:tcBorders>
              <w:left w:val="single" w:sz="6" w:space="0" w:color="000000"/>
              <w:right w:val="nil"/>
            </w:tcBorders>
          </w:tcPr>
          <w:p w14:paraId="06D77BF2" w14:textId="77777777" w:rsidR="00A2416E" w:rsidRDefault="00534832">
            <w:pPr>
              <w:pStyle w:val="TableParagraph"/>
              <w:spacing w:before="67" w:line="247" w:lineRule="auto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Painotettu elinkaarenaikainen kasvihuonekaasuintensiteetti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ekv/MJ)</w:t>
            </w:r>
          </w:p>
        </w:tc>
      </w:tr>
      <w:tr w:rsidR="00A2416E" w14:paraId="3873426A" w14:textId="77777777" w:rsidTr="006D7BDD">
        <w:trPr>
          <w:trHeight w:val="280"/>
        </w:trPr>
        <w:tc>
          <w:tcPr>
            <w:tcW w:w="215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17CA45" w14:textId="77777777"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>Tavanomainen raakaöljy</w:t>
            </w:r>
            <w:r>
              <w:rPr>
                <w:sz w:val="10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CD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Bensiini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B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93,2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6CEAA9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93,3</w:t>
            </w:r>
          </w:p>
        </w:tc>
      </w:tr>
      <w:tr w:rsidR="00A2416E" w14:paraId="73B9A7AC" w14:textId="77777777" w:rsidTr="006D7BDD">
        <w:trPr>
          <w:trHeight w:val="27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7C15D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Nesteytetty maakaasu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FE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BA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66125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BAF8354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26C85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Kivihiilestä saatu synteettinen öljy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E7AF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F559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629D4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12BEE648" w14:textId="77777777" w:rsidTr="006D7BDD">
        <w:trPr>
          <w:trHeight w:val="27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E1B23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Luonnonbitumi</w:t>
            </w:r>
            <w:r>
              <w:rPr>
                <w:sz w:val="10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DD9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57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62DFB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17E91C6" w14:textId="77777777" w:rsidTr="006D7BDD">
        <w:trPr>
          <w:trHeight w:val="27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5017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Öljyliuske</w:t>
            </w:r>
            <w:r>
              <w:rPr>
                <w:sz w:val="10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29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07F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86A2F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B1F697D" w14:textId="77777777" w:rsidTr="006D7BDD">
        <w:trPr>
          <w:trHeight w:val="27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B26C8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Tavanomainen raakaöljy</w:t>
            </w:r>
            <w:r>
              <w:rPr>
                <w:sz w:val="1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95E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Diesel- tai kaasuöljy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AC0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010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95,1</w:t>
            </w:r>
          </w:p>
        </w:tc>
      </w:tr>
      <w:tr w:rsidR="00A2416E" w14:paraId="45915519" w14:textId="77777777" w:rsidTr="006D7BDD">
        <w:trPr>
          <w:trHeight w:val="27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1ED05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Nesteytetty maakaasu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F4EB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EB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8FE5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428360F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7AAB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Kivihiilestä saatu synteettinen öljy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3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614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11F3C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0AAD108" w14:textId="77777777" w:rsidTr="006D7BDD">
        <w:trPr>
          <w:trHeight w:val="27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EC1A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Luonnonbitumi</w:t>
            </w:r>
            <w:r>
              <w:rPr>
                <w:sz w:val="10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11B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2CE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DC07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76BFD6A" w14:textId="77777777" w:rsidTr="006D7BDD">
        <w:trPr>
          <w:trHeight w:val="27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20D99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Öljyliuske</w:t>
            </w:r>
            <w:r>
              <w:rPr>
                <w:sz w:val="10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3CA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3D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5A1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EFD38CA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5B10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Kaikki fossiiliset lähteet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4D4" w14:textId="77777777" w:rsidR="00A2416E" w:rsidRDefault="00534832" w:rsidP="006D7BDD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Nestekaasu (LPG) kipinäsytytysmoottorissa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9BB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2DE0C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</w:tr>
      <w:tr w:rsidR="00A2416E" w14:paraId="235193A8" w14:textId="77777777" w:rsidTr="006D7BDD">
        <w:trPr>
          <w:trHeight w:val="493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893B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Maakaasu, EU:n energialähteiden yhdistelmä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64F" w14:textId="419A2270" w:rsidR="00A2416E" w:rsidRDefault="00534832">
            <w:pPr>
              <w:pStyle w:val="TableParagraph"/>
              <w:spacing w:before="41" w:line="232" w:lineRule="auto"/>
              <w:ind w:right="84"/>
              <w:rPr>
                <w:sz w:val="17"/>
              </w:rPr>
            </w:pPr>
            <w:r>
              <w:rPr>
                <w:sz w:val="17"/>
              </w:rPr>
              <w:t xml:space="preserve">Paineistettu maakaasu </w:t>
            </w:r>
            <w:proofErr w:type="spellStart"/>
            <w:r>
              <w:rPr>
                <w:sz w:val="17"/>
              </w:rPr>
              <w:t>kipinäsytytysmoottorisa</w:t>
            </w:r>
            <w:proofErr w:type="spellEnd"/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BF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48EA8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</w:tr>
      <w:tr w:rsidR="00A2416E" w14:paraId="748DCDF5" w14:textId="77777777" w:rsidTr="006D7BDD">
        <w:trPr>
          <w:trHeight w:val="65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A5898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Maakaasu, EU:n energialähteiden yhdistelmä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A6A" w14:textId="77777777" w:rsidR="00A2416E" w:rsidRDefault="00534832" w:rsidP="006D7BDD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Nesteytetty maakaasu (LNG) kipinäsytytysmoottorissa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B0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B9F6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</w:tr>
      <w:tr w:rsidR="00A2416E" w14:paraId="6E44497F" w14:textId="77777777" w:rsidTr="006D7BDD">
        <w:trPr>
          <w:trHeight w:val="65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33705" w14:textId="77777777" w:rsidR="00A2416E" w:rsidRDefault="00534832">
            <w:pPr>
              <w:pStyle w:val="TableParagraph"/>
              <w:spacing w:before="41" w:line="232" w:lineRule="auto"/>
              <w:ind w:left="7" w:right="496"/>
              <w:rPr>
                <w:sz w:val="17"/>
              </w:rPr>
            </w:pPr>
            <w:r>
              <w:rPr>
                <w:sz w:val="17"/>
              </w:rPr>
              <w:t xml:space="preserve">Vedyn </w:t>
            </w:r>
            <w:proofErr w:type="spellStart"/>
            <w:r>
              <w:rPr>
                <w:sz w:val="17"/>
              </w:rPr>
              <w:t>Sabatier</w:t>
            </w:r>
            <w:proofErr w:type="spellEnd"/>
            <w:r>
              <w:rPr>
                <w:sz w:val="17"/>
              </w:rPr>
              <w:t>-reaktio muun kuin biologisen</w:t>
            </w:r>
          </w:p>
          <w:p w14:paraId="0502C750" w14:textId="77777777" w:rsidR="00A2416E" w:rsidRDefault="00534832">
            <w:pPr>
              <w:pStyle w:val="TableParagraph"/>
              <w:spacing w:before="0" w:line="191" w:lineRule="exact"/>
              <w:ind w:left="7"/>
              <w:rPr>
                <w:sz w:val="17"/>
              </w:rPr>
            </w:pPr>
            <w:r>
              <w:rPr>
                <w:sz w:val="17"/>
              </w:rPr>
              <w:t>uusiutuvan energian kanssa tapahtuvassa elektrolyysissa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5A" w14:textId="77777777" w:rsidR="00A2416E" w:rsidRDefault="00534832" w:rsidP="00F448AC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Paineistettu synteettinen metaani kipinäsytytysmoottorissa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B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F95D7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</w:tr>
      <w:tr w:rsidR="00A2416E" w14:paraId="3DEDD229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478A9" w14:textId="77777777" w:rsidR="00A2416E" w:rsidRDefault="00534832" w:rsidP="00F448AC">
            <w:pPr>
              <w:pStyle w:val="TableParagraph"/>
              <w:spacing w:before="41" w:line="233" w:lineRule="auto"/>
              <w:ind w:left="6"/>
              <w:rPr>
                <w:sz w:val="17"/>
              </w:rPr>
            </w:pPr>
            <w:r>
              <w:rPr>
                <w:sz w:val="17"/>
              </w:rPr>
              <w:t>Maakaasun höyryreformointi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0C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Paineistettu vety polttokennossa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7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4E8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</w:tr>
      <w:tr w:rsidR="00A2416E" w14:paraId="08CAB5BA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4479C" w14:textId="77777777" w:rsidR="00A2416E" w:rsidRDefault="00534832">
            <w:pPr>
              <w:pStyle w:val="TableParagraph"/>
              <w:spacing w:before="41" w:line="232" w:lineRule="auto"/>
              <w:ind w:left="7" w:right="127"/>
              <w:rPr>
                <w:sz w:val="17"/>
              </w:rPr>
            </w:pPr>
            <w:r>
              <w:rPr>
                <w:sz w:val="17"/>
              </w:rPr>
              <w:t>Täysin uusiutuvaa muuta kuin biologista energiaa käyttävä elektrolyysi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7E9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Paineistettu vety polttokennossa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401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0D43B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</w:tr>
      <w:tr w:rsidR="00A2416E" w14:paraId="0C1EC040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A4F5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Hiili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A2E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Paineistettu vety polttokennossa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73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6830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</w:tr>
      <w:tr w:rsidR="00A2416E" w14:paraId="789D2C95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21D03" w14:textId="77777777" w:rsidR="00A2416E" w:rsidRDefault="00534832">
            <w:pPr>
              <w:pStyle w:val="TableParagraph"/>
              <w:spacing w:before="41" w:line="232" w:lineRule="auto"/>
              <w:ind w:left="7" w:right="174"/>
              <w:rPr>
                <w:sz w:val="17"/>
              </w:rPr>
            </w:pPr>
            <w:r>
              <w:rPr>
                <w:sz w:val="17"/>
              </w:rPr>
              <w:t>Hiili, johon liittyy hiilidioksidin talteenotto ja prosessipäästöjen varastointi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3B0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Paineistettu vety polttokennossa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83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332B6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</w:tr>
      <w:tr w:rsidR="00A2416E" w14:paraId="1F750C81" w14:textId="77777777" w:rsidTr="006D7BDD">
        <w:trPr>
          <w:trHeight w:val="462"/>
        </w:trPr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44060" w14:textId="77777777" w:rsidR="00A2416E" w:rsidRDefault="00534832">
            <w:pPr>
              <w:pStyle w:val="TableParagraph"/>
              <w:spacing w:before="41" w:line="232" w:lineRule="auto"/>
              <w:ind w:left="7" w:right="405"/>
              <w:rPr>
                <w:sz w:val="17"/>
              </w:rPr>
            </w:pPr>
            <w:r>
              <w:rPr>
                <w:sz w:val="17"/>
              </w:rPr>
              <w:t>Fossiilisista raaka-aineista louhittu muovijäte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687C" w14:textId="77777777" w:rsidR="00A2416E" w:rsidRDefault="00534832">
            <w:pPr>
              <w:pStyle w:val="TableParagraph"/>
              <w:spacing w:before="41" w:line="232" w:lineRule="auto"/>
              <w:ind w:right="702"/>
              <w:rPr>
                <w:sz w:val="17"/>
              </w:rPr>
            </w:pPr>
            <w:r>
              <w:rPr>
                <w:sz w:val="17"/>
              </w:rPr>
              <w:t>Bensiini, diesel tai kaasuöljy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D11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4E51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14:paraId="686D7B57" w14:textId="77777777" w:rsidR="00A2416E" w:rsidRDefault="00534832" w:rsidP="00EC3D00">
      <w:pPr>
        <w:spacing w:before="126" w:line="233" w:lineRule="auto"/>
        <w:ind w:left="403" w:right="794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 xml:space="preserve">Perinteisellä raakaöljyllä tarkoitetaan mitä tahansa jalostamon raaka-ainetta, jonka API-raaka-aineen (American </w:t>
      </w:r>
      <w:proofErr w:type="spellStart"/>
      <w:r>
        <w:rPr>
          <w:sz w:val="17"/>
        </w:rPr>
        <w:t>Petroleum</w:t>
      </w:r>
      <w:proofErr w:type="spellEnd"/>
      <w:r>
        <w:rPr>
          <w:sz w:val="17"/>
        </w:rPr>
        <w:t xml:space="preserve"> Institute) painovoima on yli 10 astetta, kun se sijaitsee altaan muodostumassa sen alkuperäpaikassa mitattuna testimenetelmän ASTM D287 mukaisesti ja ei kuulu CN-koodin 2714</w:t>
      </w:r>
      <w:r w:rsidRPr="00EC3D00">
        <w:rPr>
          <w:sz w:val="17"/>
        </w:rPr>
        <w:t xml:space="preserve"> määritelmän piiriin</w:t>
      </w:r>
    </w:p>
    <w:p w14:paraId="4B21A793" w14:textId="77777777"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asetuksen (ETY) N:o 2658/87 mukaisesti.</w:t>
      </w:r>
      <w:r>
        <w:rPr>
          <w:sz w:val="17"/>
        </w:rPr>
        <w:tab/>
      </w:r>
      <w:r>
        <w:rPr>
          <w:rFonts w:ascii="HelveticaNeueLT Std Cn" w:hAnsi="HelveticaNeueLT Std Cn"/>
          <w:sz w:val="20"/>
        </w:rPr>
        <w:t>5</w:t>
      </w:r>
    </w:p>
    <w:p w14:paraId="65268C9D" w14:textId="77777777"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2ED578D" w14:textId="77777777" w:rsidR="00A2416E" w:rsidRDefault="00534832">
      <w:pPr>
        <w:pStyle w:val="Rubrik2"/>
        <w:spacing w:line="228" w:lineRule="auto"/>
        <w:ind w:right="19"/>
      </w:pPr>
      <w:r>
        <w:lastRenderedPageBreak/>
        <w:t>STEMFS 2021:2</w:t>
      </w:r>
    </w:p>
    <w:p w14:paraId="36448102" w14:textId="77777777"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sz w:val="10"/>
        </w:rPr>
        <w:t xml:space="preserve">2 </w:t>
      </w:r>
      <w:r>
        <w:rPr>
          <w:sz w:val="17"/>
        </w:rPr>
        <w:t xml:space="preserve">Luonnonbitumilla tarkoitetaan mitä tahansa jalostamon raaka-ainetta, jonka a) American </w:t>
      </w:r>
      <w:proofErr w:type="spellStart"/>
      <w:r>
        <w:rPr>
          <w:sz w:val="17"/>
        </w:rPr>
        <w:t>Petroleum</w:t>
      </w:r>
      <w:proofErr w:type="spellEnd"/>
      <w:r>
        <w:rPr>
          <w:sz w:val="17"/>
        </w:rPr>
        <w:t xml:space="preserve"> Instituten (API) painovoima on enintään 10 astetta, kun se sijaitsee altaan muodostumassa uuttopaikassa, sellaisena kuin se on määritelty American </w:t>
      </w:r>
      <w:proofErr w:type="spellStart"/>
      <w:r>
        <w:rPr>
          <w:sz w:val="17"/>
        </w:rPr>
        <w:t>Society</w:t>
      </w:r>
      <w:proofErr w:type="spellEnd"/>
      <w:r>
        <w:rPr>
          <w:sz w:val="17"/>
        </w:rPr>
        <w:t xml:space="preserve"> for </w:t>
      </w:r>
      <w:proofErr w:type="spellStart"/>
      <w:r>
        <w:rPr>
          <w:sz w:val="17"/>
        </w:rPr>
        <w:t>Testing</w:t>
      </w:r>
      <w:proofErr w:type="spellEnd"/>
      <w:r>
        <w:rPr>
          <w:sz w:val="17"/>
        </w:rPr>
        <w:t xml:space="preserve"> and </w:t>
      </w:r>
      <w:proofErr w:type="spellStart"/>
      <w:r>
        <w:rPr>
          <w:sz w:val="17"/>
        </w:rPr>
        <w:t>Materials</w:t>
      </w:r>
      <w:proofErr w:type="spellEnd"/>
      <w:r>
        <w:rPr>
          <w:sz w:val="17"/>
        </w:rPr>
        <w:t xml:space="preserve"> -järjestön (ASTM) D287</w:t>
      </w:r>
      <w:r>
        <w:t>-testausmenetelmän mukaisesti,</w:t>
      </w:r>
      <w:r>
        <w:rPr>
          <w:sz w:val="17"/>
        </w:rPr>
        <w:t xml:space="preserve"> b) vuotuinen keskiviskositeetti säiliön lämpötilassa on suurempi kuin seuraavalla yhtälöllä laskettu viskositeetti: Viskositeetti (</w:t>
      </w:r>
      <w:proofErr w:type="spellStart"/>
      <w:r>
        <w:rPr>
          <w:sz w:val="17"/>
        </w:rPr>
        <w:t>Centipoise</w:t>
      </w:r>
      <w:proofErr w:type="spellEnd"/>
      <w:r>
        <w:rPr>
          <w:sz w:val="17"/>
        </w:rPr>
        <w:t>) = 518,98e-0,038T, jossa T on lämpötila celsiusasteina, joka c) kuuluu neuvoston asetuksessa (ETY) N:o 2658/87 vahvistetun yhdistetyn nimikkeistön (CN) koodin 2714 mukaisen tervahiekan määritelmän piiriin; ja d) kun raaka-aineen lähteen liikkeellelähtö tapahtuu louhimalla tai hyödyntämällä lämmöllä tehostettua painovoimaista öljyntuotantoa, kun lämpöenergia on peräisin pääasiassa muista lähteistä kuin itse raaka-ainelähteestä.</w:t>
      </w:r>
    </w:p>
    <w:p w14:paraId="7D15F9D2" w14:textId="77777777"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sz w:val="10"/>
        </w:rPr>
        <w:t xml:space="preserve">3 </w:t>
      </w:r>
      <w:r>
        <w:rPr>
          <w:sz w:val="17"/>
        </w:rPr>
        <w:t>Öljyliuske tarkoittaa mitä tahansa jalostamon raaka-aineen lähdettä, joka sijaitsee kiinteää kerogeeniä sisältävässä kivimuodostelmassa ja joka kuuluu CN-koodiin 2714 kuuluvan öljyliusketta koskevan määritelmän piiriin, sellaisena kuin se on esitetty asetuksessa (ETY) N:o 2658/87. Raaka-aineen lähteen liikkeellelähtö saavutetaan louhimalla tai hyödyntämällä lämmöllä tehostettua painovoimaista öljyntuotantoa.</w:t>
      </w:r>
    </w:p>
    <w:p w14:paraId="4F1DF429" w14:textId="77777777"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4B2CA0EF" w14:textId="77777777" w:rsidR="00A2416E" w:rsidRDefault="00A2416E">
      <w:pPr>
        <w:pStyle w:val="Brdtext"/>
        <w:rPr>
          <w:sz w:val="26"/>
        </w:rPr>
      </w:pPr>
    </w:p>
    <w:p w14:paraId="0A26DB13" w14:textId="77777777" w:rsidR="00A2416E" w:rsidRDefault="00A2416E">
      <w:pPr>
        <w:pStyle w:val="Brdtext"/>
        <w:rPr>
          <w:sz w:val="26"/>
        </w:rPr>
      </w:pPr>
    </w:p>
    <w:p w14:paraId="0FAF311C" w14:textId="77777777" w:rsidR="00A2416E" w:rsidRDefault="00A2416E">
      <w:pPr>
        <w:pStyle w:val="Brdtext"/>
        <w:rPr>
          <w:sz w:val="26"/>
        </w:rPr>
      </w:pPr>
    </w:p>
    <w:p w14:paraId="4EFBC468" w14:textId="77777777" w:rsidR="00A2416E" w:rsidRDefault="00A2416E">
      <w:pPr>
        <w:pStyle w:val="Brdtext"/>
        <w:rPr>
          <w:sz w:val="26"/>
        </w:rPr>
      </w:pPr>
    </w:p>
    <w:p w14:paraId="2BAA9D54" w14:textId="77777777" w:rsidR="00A2416E" w:rsidRDefault="00A2416E">
      <w:pPr>
        <w:pStyle w:val="Brdtext"/>
        <w:rPr>
          <w:sz w:val="26"/>
        </w:rPr>
      </w:pPr>
    </w:p>
    <w:p w14:paraId="4B62674C" w14:textId="77777777" w:rsidR="00A2416E" w:rsidRDefault="00A2416E">
      <w:pPr>
        <w:pStyle w:val="Brdtext"/>
        <w:rPr>
          <w:sz w:val="26"/>
        </w:rPr>
      </w:pPr>
    </w:p>
    <w:p w14:paraId="1921A8E7" w14:textId="77777777" w:rsidR="00A2416E" w:rsidRDefault="00A2416E">
      <w:pPr>
        <w:pStyle w:val="Brdtext"/>
        <w:rPr>
          <w:sz w:val="26"/>
        </w:rPr>
      </w:pPr>
    </w:p>
    <w:p w14:paraId="3B5954AD" w14:textId="77777777" w:rsidR="00A2416E" w:rsidRDefault="00A2416E">
      <w:pPr>
        <w:pStyle w:val="Brdtext"/>
        <w:rPr>
          <w:sz w:val="26"/>
        </w:rPr>
      </w:pPr>
    </w:p>
    <w:p w14:paraId="6D123182" w14:textId="77777777" w:rsidR="00A2416E" w:rsidRDefault="00A2416E">
      <w:pPr>
        <w:pStyle w:val="Brdtext"/>
        <w:rPr>
          <w:sz w:val="26"/>
        </w:rPr>
      </w:pPr>
    </w:p>
    <w:p w14:paraId="6E023F0F" w14:textId="77777777" w:rsidR="00A2416E" w:rsidRDefault="00A2416E">
      <w:pPr>
        <w:pStyle w:val="Brdtext"/>
        <w:rPr>
          <w:sz w:val="26"/>
        </w:rPr>
      </w:pPr>
    </w:p>
    <w:p w14:paraId="673A25F2" w14:textId="77777777" w:rsidR="00A2416E" w:rsidRDefault="00A2416E">
      <w:pPr>
        <w:pStyle w:val="Brdtext"/>
        <w:rPr>
          <w:sz w:val="26"/>
        </w:rPr>
      </w:pPr>
    </w:p>
    <w:p w14:paraId="3CCEACBA" w14:textId="77777777" w:rsidR="00A2416E" w:rsidRDefault="00A2416E">
      <w:pPr>
        <w:pStyle w:val="Brdtext"/>
        <w:rPr>
          <w:sz w:val="26"/>
        </w:rPr>
      </w:pPr>
    </w:p>
    <w:p w14:paraId="5FC5200E" w14:textId="77777777" w:rsidR="00A2416E" w:rsidRDefault="00A2416E">
      <w:pPr>
        <w:pStyle w:val="Brdtext"/>
        <w:rPr>
          <w:sz w:val="26"/>
        </w:rPr>
      </w:pPr>
    </w:p>
    <w:p w14:paraId="286B93AD" w14:textId="77777777" w:rsidR="00A2416E" w:rsidRDefault="00A2416E">
      <w:pPr>
        <w:pStyle w:val="Brdtext"/>
        <w:rPr>
          <w:sz w:val="26"/>
        </w:rPr>
      </w:pPr>
    </w:p>
    <w:p w14:paraId="420D1E7A" w14:textId="77777777" w:rsidR="00A2416E" w:rsidRDefault="00A2416E">
      <w:pPr>
        <w:pStyle w:val="Brdtext"/>
        <w:rPr>
          <w:sz w:val="26"/>
        </w:rPr>
      </w:pPr>
    </w:p>
    <w:p w14:paraId="0C5704DE" w14:textId="77777777" w:rsidR="00A2416E" w:rsidRDefault="00A2416E">
      <w:pPr>
        <w:pStyle w:val="Brdtext"/>
        <w:rPr>
          <w:sz w:val="26"/>
        </w:rPr>
      </w:pPr>
    </w:p>
    <w:p w14:paraId="01626443" w14:textId="77777777" w:rsidR="00A2416E" w:rsidRDefault="00A2416E">
      <w:pPr>
        <w:pStyle w:val="Brdtext"/>
        <w:rPr>
          <w:sz w:val="26"/>
        </w:rPr>
      </w:pPr>
    </w:p>
    <w:p w14:paraId="36AD06E0" w14:textId="77777777" w:rsidR="00A2416E" w:rsidRDefault="00A2416E">
      <w:pPr>
        <w:pStyle w:val="Brdtext"/>
        <w:rPr>
          <w:sz w:val="26"/>
        </w:rPr>
      </w:pPr>
    </w:p>
    <w:p w14:paraId="26EDA37B" w14:textId="77777777" w:rsidR="00A2416E" w:rsidRDefault="00A2416E">
      <w:pPr>
        <w:pStyle w:val="Brdtext"/>
        <w:rPr>
          <w:sz w:val="26"/>
        </w:rPr>
      </w:pPr>
    </w:p>
    <w:p w14:paraId="05A57E67" w14:textId="77777777" w:rsidR="00A2416E" w:rsidRDefault="00A2416E">
      <w:pPr>
        <w:pStyle w:val="Brdtext"/>
        <w:rPr>
          <w:sz w:val="26"/>
        </w:rPr>
      </w:pPr>
    </w:p>
    <w:p w14:paraId="38EEEB4B" w14:textId="77777777" w:rsidR="00A2416E" w:rsidRDefault="00A2416E">
      <w:pPr>
        <w:pStyle w:val="Brdtext"/>
        <w:rPr>
          <w:sz w:val="26"/>
        </w:rPr>
      </w:pPr>
    </w:p>
    <w:p w14:paraId="40C566BA" w14:textId="77777777" w:rsidR="00A2416E" w:rsidRDefault="00A2416E">
      <w:pPr>
        <w:pStyle w:val="Brdtext"/>
        <w:rPr>
          <w:sz w:val="26"/>
        </w:rPr>
      </w:pPr>
    </w:p>
    <w:p w14:paraId="7002B62C" w14:textId="77777777" w:rsidR="00A2416E" w:rsidRDefault="00A2416E">
      <w:pPr>
        <w:pStyle w:val="Brdtext"/>
        <w:rPr>
          <w:sz w:val="26"/>
        </w:rPr>
      </w:pPr>
    </w:p>
    <w:p w14:paraId="3313B690" w14:textId="77777777" w:rsidR="00A2416E" w:rsidRDefault="00A2416E">
      <w:pPr>
        <w:pStyle w:val="Brdtext"/>
        <w:rPr>
          <w:sz w:val="26"/>
        </w:rPr>
      </w:pPr>
    </w:p>
    <w:p w14:paraId="164F8077" w14:textId="77777777" w:rsidR="00A2416E" w:rsidRDefault="00A2416E">
      <w:pPr>
        <w:pStyle w:val="Brdtext"/>
        <w:rPr>
          <w:sz w:val="26"/>
        </w:rPr>
      </w:pPr>
    </w:p>
    <w:p w14:paraId="03001A05" w14:textId="77777777" w:rsidR="00A2416E" w:rsidRDefault="00A2416E">
      <w:pPr>
        <w:pStyle w:val="Brdtext"/>
        <w:rPr>
          <w:sz w:val="26"/>
        </w:rPr>
      </w:pPr>
    </w:p>
    <w:p w14:paraId="35F2DB8D" w14:textId="77777777" w:rsidR="00A2416E" w:rsidRDefault="00A2416E">
      <w:pPr>
        <w:pStyle w:val="Brdtext"/>
        <w:rPr>
          <w:sz w:val="26"/>
        </w:rPr>
      </w:pPr>
    </w:p>
    <w:p w14:paraId="40DD90BC" w14:textId="77777777" w:rsidR="00A2416E" w:rsidRDefault="00534832">
      <w:pPr>
        <w:pStyle w:val="Rubrik3"/>
        <w:spacing w:before="224"/>
      </w:pPr>
      <w:r>
        <w:t>6</w:t>
      </w:r>
    </w:p>
    <w:p w14:paraId="0F0644FB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E910C00" w14:textId="77777777"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14:paraId="1D864C65" w14:textId="77777777"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14:paraId="442D83D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1280EC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8CB8DD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0CFE4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1845BE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C5E8B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C7E42E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D939C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B1C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D21BD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083FCE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E27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51DFAC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A2B0D4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A8100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A7B330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61A1F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38FFF7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649281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F92DC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0327EA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C32F2E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9CDD4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E205C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705398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E7BCDE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E96DEB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CEA537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90DF5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D5B22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521357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60C531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DCA327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86BC4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4DA32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79245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C74010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57219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B0BC7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D3A12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7EB7451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DA141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F4286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61E477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A8064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06BE0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B49D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1BA4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F896C4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60C6538" w14:textId="77777777"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14:paraId="6493E55E" w14:textId="77777777" w:rsidR="00A2416E" w:rsidRDefault="00534832">
      <w:pPr>
        <w:spacing w:before="94"/>
        <w:ind w:left="3265" w:right="3303"/>
        <w:jc w:val="center"/>
        <w:rPr>
          <w:sz w:val="16"/>
        </w:rPr>
      </w:pPr>
      <w:proofErr w:type="spellStart"/>
      <w:r>
        <w:rPr>
          <w:sz w:val="16"/>
        </w:rPr>
        <w:t>Arkitektkopia</w:t>
      </w:r>
      <w:proofErr w:type="spellEnd"/>
      <w:r>
        <w:rPr>
          <w:sz w:val="16"/>
        </w:rPr>
        <w:t xml:space="preserve"> AB, 2021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2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4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4E56AA"/>
    <w:rsid w:val="00534832"/>
    <w:rsid w:val="00581354"/>
    <w:rsid w:val="006D7BDD"/>
    <w:rsid w:val="00A2416E"/>
    <w:rsid w:val="00EC3D00"/>
    <w:rsid w:val="00F4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78AA5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1650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STEMFS 2021:2 Föreskrifter om ändring av Statens energimyndighets föreskrifter (STEMFS 2017:3) om rapportering och beräkning enligt drivmedelslagen</vt:lpstr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Edison Moises Parraga Chica</cp:lastModifiedBy>
  <cp:revision>5</cp:revision>
  <dcterms:created xsi:type="dcterms:W3CDTF">2021-04-07T09:34:00Z</dcterms:created>
  <dcterms:modified xsi:type="dcterms:W3CDTF">2022-01-17T20:52:00Z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