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292D" w14:textId="77777777" w:rsidR="00A2416E" w:rsidRDefault="00534832" w:rsidP="00581354">
      <w:pPr>
        <w:spacing w:before="92" w:line="220" w:lineRule="auto"/>
        <w:ind w:left="400" w:right="3390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A Svéd Energiaügynökség alapszabálya</w:t>
      </w:r>
    </w:p>
    <w:p w14:paraId="347D5EC4" w14:textId="77777777" w:rsidR="00A2416E" w:rsidRDefault="002E5121" w:rsidP="000729D1">
      <w:pPr>
        <w:spacing w:before="80"/>
        <w:ind w:left="403" w:right="4423"/>
        <w:rPr>
          <w:sz w:val="16"/>
        </w:rPr>
      </w:pPr>
      <w:r>
        <w:pict w14:anchorId="18D320B1"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 w:rsidR="00581354">
        <w:t>Közzétette:</w:t>
      </w:r>
      <w:r w:rsidR="00581354">
        <w:rPr>
          <w:sz w:val="16"/>
        </w:rPr>
        <w:t xml:space="preserve"> Rikard Janson (főjogi tisztviselő) ISSN 1650-7703</w:t>
      </w:r>
    </w:p>
    <w:p w14:paraId="48A9609E" w14:textId="77777777" w:rsidR="00A2416E" w:rsidRDefault="00A2416E">
      <w:pPr>
        <w:pStyle w:val="Brdtext"/>
        <w:spacing w:before="1"/>
        <w:rPr>
          <w:sz w:val="13"/>
        </w:rPr>
      </w:pPr>
    </w:p>
    <w:p w14:paraId="24EC6EF5" w14:textId="77777777"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D697384" w14:textId="77777777" w:rsidR="00A2416E" w:rsidRPr="000729D1" w:rsidRDefault="00534832" w:rsidP="000729D1">
      <w:pPr>
        <w:pStyle w:val="Rubrik1"/>
        <w:spacing w:before="103" w:line="226" w:lineRule="auto"/>
        <w:ind w:left="403" w:right="-227"/>
      </w:pPr>
      <w:r w:rsidRPr="000729D1">
        <w:t>Rendeletek a Svéd Energiaügynökségnek az üzemanyagokról szóló törvények szerinti jelentéstételről és számítási módszerekről (STEMFS 2017:3) szóló rendeletének módosításáról;</w:t>
      </w:r>
    </w:p>
    <w:p w14:paraId="71813F81" w14:textId="77777777" w:rsidR="00A2416E" w:rsidRDefault="00534832">
      <w:pPr>
        <w:pStyle w:val="Brdtext"/>
        <w:spacing w:before="188"/>
        <w:ind w:left="400"/>
        <w:jc w:val="both"/>
      </w:pPr>
      <w:r>
        <w:t>Jóváhagyás dátuma: 2021. 01. 20.</w:t>
      </w:r>
    </w:p>
    <w:p w14:paraId="066E2CAE" w14:textId="77777777" w:rsidR="00A2416E" w:rsidRDefault="00A2416E">
      <w:pPr>
        <w:pStyle w:val="Brdtext"/>
        <w:spacing w:before="6"/>
        <w:rPr>
          <w:sz w:val="17"/>
        </w:rPr>
      </w:pPr>
    </w:p>
    <w:p w14:paraId="4BB4C994" w14:textId="77777777" w:rsidR="00A2416E" w:rsidRDefault="00534832">
      <w:pPr>
        <w:pStyle w:val="Brdtext"/>
        <w:spacing w:line="273" w:lineRule="auto"/>
        <w:ind w:left="400"/>
        <w:jc w:val="both"/>
      </w:pPr>
      <w:r>
        <w:t>Az üzemanyagokról szóló rendelet (2011:346) 13. §-a értelmében a Svéd Energiaügynökség előírja, hogy az ügynökségnek az üzemanyagokról szóló törvények szerinti jelentéstételről és számítási módszerekről szóló rendeletét az alábbiak szerint kell módosítani és megszövegezni:</w:t>
      </w:r>
    </w:p>
    <w:p w14:paraId="71A61FB5" w14:textId="77777777" w:rsidR="00A2416E" w:rsidRDefault="00534832" w:rsidP="000729D1">
      <w:pPr>
        <w:pStyle w:val="Brdtext"/>
        <w:ind w:left="403" w:right="1678"/>
        <w:jc w:val="both"/>
      </w:pPr>
      <w:r>
        <w:t>egy új szakaszt – a 12a. §-t – kell bevezetni, és hat szakaszt – a 2., 4-7., 12., 13. és 16. §-t – az alábbiak szerint kell módosítani és megszövegezni:</w:t>
      </w:r>
    </w:p>
    <w:p w14:paraId="0D1B6701" w14:textId="77777777" w:rsidR="00A2416E" w:rsidRDefault="00A2416E">
      <w:pPr>
        <w:pStyle w:val="Brdtext"/>
        <w:spacing w:before="6"/>
        <w:rPr>
          <w:sz w:val="16"/>
        </w:rPr>
      </w:pPr>
    </w:p>
    <w:p w14:paraId="6F4B5BC4" w14:textId="77777777" w:rsidR="00A2416E" w:rsidRDefault="00534832">
      <w:pPr>
        <w:pStyle w:val="Rubrik2"/>
        <w:spacing w:before="0"/>
        <w:ind w:left="400"/>
        <w:jc w:val="both"/>
      </w:pPr>
      <w:r>
        <w:t>Előzetes rendelkezések és fogalommeghatározások</w:t>
      </w:r>
    </w:p>
    <w:p w14:paraId="390C5634" w14:textId="77777777"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>2. §</w:t>
      </w:r>
      <w:r>
        <w:t xml:space="preserve"> Az ezen rendeletben szereplő fogalmak és kifejezések ugyanolyan értelemben használatosak, mint az üzemanyagokról szóló törvényben (2011:319) és az üzemanyagokról szóló rendeletben (2011:346). A következő fogalmak az itt meghatározott jelentéssel használatosak:</w:t>
      </w:r>
    </w:p>
    <w:p w14:paraId="2953E73A" w14:textId="77777777"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bioösszetevő</w:t>
      </w:r>
      <w:r>
        <w:rPr>
          <w:sz w:val="19"/>
        </w:rPr>
        <w:t xml:space="preserve">: biomasszából előállított üzemanyag-összetevő; </w:t>
      </w:r>
      <w:r>
        <w:rPr>
          <w:i/>
          <w:sz w:val="19"/>
        </w:rPr>
        <w:t>fosszilis összetevő</w:t>
      </w:r>
      <w:r>
        <w:rPr>
          <w:sz w:val="19"/>
        </w:rPr>
        <w:t xml:space="preserve">: ásványi alapú, fosszilis összetevő; </w:t>
      </w:r>
      <w:r>
        <w:rPr>
          <w:i/>
          <w:sz w:val="19"/>
        </w:rPr>
        <w:t>üzemanyagtípus</w:t>
      </w:r>
      <w:r>
        <w:rPr>
          <w:sz w:val="19"/>
        </w:rPr>
        <w:t>: olyan üzemanyag, amely megfelel valamely besorolásnak</w:t>
      </w:r>
    </w:p>
    <w:p w14:paraId="12DA69D9" w14:textId="77777777" w:rsidR="00A2416E" w:rsidRDefault="00534832">
      <w:pPr>
        <w:pStyle w:val="Brdtext"/>
        <w:spacing w:line="273" w:lineRule="auto"/>
        <w:ind w:left="400"/>
        <w:jc w:val="both"/>
      </w:pPr>
      <w:r>
        <w:t>az üzemanyagokról szóló törvény (2011:319) 3–15. § alapján, vagy amely megfelel az üzemanyagokra vonatkozó egyes nemzeti vagy nemzetközi szabványoknak, bármely más üzemanyag, amely nem felel meg a besorolásoknak vagy szabványoknak, és az üzemanyagként használt villamos energia;</w:t>
      </w:r>
    </w:p>
    <w:p w14:paraId="601B7223" w14:textId="77777777"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termék:</w:t>
      </w:r>
      <w:r>
        <w:t xml:space="preserve"> az adott üzemanyagtípus forgalomba hozott terméke. Olyan esetekben, ahol a gyártó számos különböző üzemanyagterméket hoz forgalomba, amely ugyanazon specifikációnak vagy szabványnak felel meg, a különböző termékekről külön kell jelentést készíteni az adott terméknév alatt;</w:t>
      </w:r>
    </w:p>
    <w:p w14:paraId="17F68D6C" w14:textId="77777777" w:rsidR="00A2416E" w:rsidRDefault="00534832">
      <w:pPr>
        <w:pStyle w:val="Brdtext"/>
        <w:spacing w:before="118" w:line="273" w:lineRule="auto"/>
        <w:ind w:left="400"/>
        <w:jc w:val="both"/>
      </w:pPr>
      <w:r>
        <w:rPr>
          <w:i/>
        </w:rPr>
        <w:t>a termelésoldali kibocsátás csökkentése</w:t>
      </w:r>
      <w:r>
        <w:t>: az üvegházhatású gázok kibocsátásának csökkentésére irányuló intézkedés, amelyre a nyersanyagnak a fosszilis üzemanyag-összetevő előállítása érdekében a finomítóban vagy egyéb létesítményben történő feldolgozása előtt kerül sor.</w:t>
      </w:r>
    </w:p>
    <w:p w14:paraId="689C2081" w14:textId="77777777"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14:paraId="4897DE83" w14:textId="77777777"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Közzététel dátuma: 2021. február 2.</w:t>
      </w:r>
    </w:p>
    <w:p w14:paraId="054025C7" w14:textId="77777777"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14:paraId="6C53A6E7" w14:textId="77777777" w:rsidR="00A2416E" w:rsidRDefault="00A2416E">
      <w:pPr>
        <w:pStyle w:val="Brdtext"/>
        <w:spacing w:before="11"/>
        <w:rPr>
          <w:sz w:val="23"/>
        </w:rPr>
      </w:pPr>
    </w:p>
    <w:p w14:paraId="6036D87D" w14:textId="77777777" w:rsidR="00A2416E" w:rsidRDefault="002E5121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 w14:anchorId="079D94F6"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anchorlock/>
          </v:group>
        </w:pict>
      </w:r>
    </w:p>
    <w:p w14:paraId="611BC6E3" w14:textId="77777777" w:rsidR="00843713" w:rsidRDefault="00534832" w:rsidP="00843713">
      <w:pPr>
        <w:pStyle w:val="Liststycke"/>
        <w:numPr>
          <w:ilvl w:val="0"/>
          <w:numId w:val="6"/>
        </w:numPr>
        <w:spacing w:before="31"/>
        <w:ind w:left="414" w:right="1701" w:hanging="357"/>
        <w:jc w:val="both"/>
        <w:rPr>
          <w:sz w:val="17"/>
        </w:rPr>
      </w:pPr>
      <w:r w:rsidRPr="00843713">
        <w:rPr>
          <w:sz w:val="17"/>
        </w:rPr>
        <w:t>Lásd a műszaki szabályokkal és az információs társadalom szolgáltatásaira vonatkozó szabályokkal kapcsolatos információszolgáltatási eljárás megállapításáról szóló, 2015. szeptember 9-i (EU) 2015/1535 európai parlamenti és tanácsi irányelvet</w:t>
      </w:r>
      <w:r w:rsidRPr="00843713">
        <w:rPr>
          <w:sz w:val="17"/>
        </w:rPr>
        <w:tab/>
      </w:r>
    </w:p>
    <w:p w14:paraId="3F7164F9" w14:textId="26A47219" w:rsidR="00A2416E" w:rsidRPr="00843713" w:rsidRDefault="00843713" w:rsidP="00843713">
      <w:pPr>
        <w:pStyle w:val="Liststycke"/>
        <w:spacing w:before="31"/>
        <w:ind w:left="760" w:firstLine="0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</w:t>
      </w:r>
      <w:r w:rsidR="00534832" w:rsidRPr="00843713">
        <w:rPr>
          <w:rFonts w:ascii="HelveticaNeueLT Std Cn" w:hAnsi="HelveticaNeueLT Std Cn"/>
          <w:sz w:val="20"/>
        </w:rPr>
        <w:t>1</w:t>
      </w:r>
    </w:p>
    <w:p w14:paraId="7C3B7287" w14:textId="77777777"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FA5AF97" w14:textId="77777777"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 2021:2</w:t>
      </w:r>
    </w:p>
    <w:p w14:paraId="624DE1C9" w14:textId="77777777"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sz w:val="21"/>
        </w:rPr>
        <w:t>Jelentéstétel</w:t>
      </w:r>
    </w:p>
    <w:p w14:paraId="60DBC31F" w14:textId="77777777"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A kibocsátásról szóló jelentés minden olyan üzemanyagtermékre kiterjed, amelyet a beszállító szállított, és amelyek esetében az energiaadóról szóló törvény (1994:1776) 5. fejezete szerint adó fizetendő a jelentéssel érintett év során, az alábbiak meghatározásával:</w:t>
      </w:r>
    </w:p>
    <w:p w14:paraId="69D953B3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összeg;</w:t>
      </w:r>
    </w:p>
    <w:p w14:paraId="516CF941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nettó fűtőérték;</w:t>
      </w:r>
    </w:p>
    <w:p w14:paraId="5CA31CC9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a szállított villamosenergia energiaforrása olyan esetekben, ahol a villamos energia rendelkezik eredetmegjelöléssel.</w:t>
      </w:r>
    </w:p>
    <w:p w14:paraId="7894339E" w14:textId="77777777" w:rsidR="00A2416E" w:rsidRDefault="00A2416E">
      <w:pPr>
        <w:pStyle w:val="Brdtext"/>
        <w:spacing w:before="5"/>
        <w:rPr>
          <w:sz w:val="22"/>
        </w:rPr>
      </w:pPr>
    </w:p>
    <w:p w14:paraId="688D241D" w14:textId="77777777"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A kibocsátásokról szóló jelentés a 4. §-sal összhangban kiterjed valamennyi fosszilis összetevőre, amely a biztosított üzemanyagtermékekben megtalálható, az alábbiak meghatározásával:</w:t>
      </w:r>
    </w:p>
    <w:p w14:paraId="09AF6626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a termékek, amelyekben az összetevők megtalálhatók;</w:t>
      </w:r>
    </w:p>
    <w:p w14:paraId="28EE6BB7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a fosszilis összetevők típusai nyersanyagforrásra és folyamatra lebontva az 1. melléklettel összhangban;</w:t>
      </w:r>
    </w:p>
    <w:p w14:paraId="5DA70FE3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összeg;</w:t>
      </w:r>
    </w:p>
    <w:p w14:paraId="6D197172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nettó fűtőérték; valamint</w:t>
      </w:r>
    </w:p>
    <w:p w14:paraId="04221788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a nyersanyag származási országa.</w:t>
      </w:r>
    </w:p>
    <w:p w14:paraId="2AED6C49" w14:textId="77777777" w:rsidR="00A2416E" w:rsidRDefault="00A2416E">
      <w:pPr>
        <w:pStyle w:val="Brdtext"/>
        <w:spacing w:before="5"/>
        <w:rPr>
          <w:sz w:val="22"/>
        </w:rPr>
      </w:pPr>
    </w:p>
    <w:p w14:paraId="716008FA" w14:textId="77777777"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A kibocsátásokról szóló jelentés a 4. §-sal összhangban kiterjed valamennyi bioösszetevőre, amely a biztosított üzemanyagtermékekben megtalálható, az alábbiak meghatározásával:</w:t>
      </w:r>
    </w:p>
    <w:p w14:paraId="0C456492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a termékek, amelyekben a bioösszetevők megtalálhatók;</w:t>
      </w:r>
    </w:p>
    <w:p w14:paraId="5D2FF15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a bioösszetevők típusa;</w:t>
      </w:r>
    </w:p>
    <w:p w14:paraId="134B125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összeg;</w:t>
      </w:r>
    </w:p>
    <w:p w14:paraId="420C5F9D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nettó fűtőérték;</w:t>
      </w:r>
    </w:p>
    <w:p w14:paraId="6FBCDE1A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nyersanyagok;</w:t>
      </w:r>
    </w:p>
    <w:p w14:paraId="3BA18401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a nyersanyag származási országa;</w:t>
      </w:r>
    </w:p>
    <w:p w14:paraId="3E51FE3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az, hogy a bioösszetevők megfelelnek-e a bioüzemanyagokra és a folyékony bio-energiahordozókra vonatkozó fenntarthatósági kritériumokról szóló törvényben (2010:598) foglalt fenntarthatósági kritériumoknak; és</w:t>
      </w:r>
    </w:p>
    <w:p w14:paraId="6A936F3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az, hogy a bioösszetevőket használták-e repülőgép-üzemanyagban.</w:t>
      </w:r>
    </w:p>
    <w:p w14:paraId="351F1B0D" w14:textId="77777777" w:rsidR="00A2416E" w:rsidRDefault="00A2416E">
      <w:pPr>
        <w:pStyle w:val="Brdtext"/>
        <w:spacing w:before="6"/>
        <w:rPr>
          <w:sz w:val="22"/>
        </w:rPr>
      </w:pPr>
    </w:p>
    <w:p w14:paraId="055D9BCA" w14:textId="77777777"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sz w:val="19"/>
        </w:rPr>
        <w:t xml:space="preserve">7. </w:t>
      </w:r>
      <w:r>
        <w:rPr>
          <w:b/>
          <w:sz w:val="19"/>
        </w:rPr>
        <w:t xml:space="preserve">§ </w:t>
      </w:r>
      <w:r>
        <w:rPr>
          <w:sz w:val="19"/>
        </w:rPr>
        <w:t>Amennyiben a származási ország az Európai Unión vagy az EGT-n kívül található, azonban nincs róla információ, hogy mely ország a származási ország, a kibocsátásokról szóló jelentés kijelentheti, hogy nincs információ a származási országról.</w:t>
      </w:r>
    </w:p>
    <w:p w14:paraId="732E5498" w14:textId="77777777"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53703E9C" w14:textId="77777777" w:rsidR="00A2416E" w:rsidRDefault="00A2416E">
      <w:pPr>
        <w:pStyle w:val="Brdtext"/>
        <w:rPr>
          <w:sz w:val="20"/>
        </w:rPr>
      </w:pPr>
    </w:p>
    <w:p w14:paraId="141EB606" w14:textId="77777777" w:rsidR="00A2416E" w:rsidRDefault="00A2416E">
      <w:pPr>
        <w:pStyle w:val="Brdtext"/>
        <w:rPr>
          <w:sz w:val="20"/>
        </w:rPr>
      </w:pPr>
    </w:p>
    <w:p w14:paraId="7939C55D" w14:textId="77777777" w:rsidR="00A2416E" w:rsidRDefault="00A2416E">
      <w:pPr>
        <w:pStyle w:val="Brdtext"/>
        <w:rPr>
          <w:sz w:val="20"/>
        </w:rPr>
      </w:pPr>
    </w:p>
    <w:p w14:paraId="3855820A" w14:textId="77777777" w:rsidR="00A2416E" w:rsidRDefault="00A2416E">
      <w:pPr>
        <w:pStyle w:val="Brdtext"/>
        <w:rPr>
          <w:sz w:val="20"/>
        </w:rPr>
      </w:pPr>
    </w:p>
    <w:p w14:paraId="436A79D9" w14:textId="77777777" w:rsidR="00A2416E" w:rsidRDefault="00A2416E">
      <w:pPr>
        <w:pStyle w:val="Brdtext"/>
        <w:rPr>
          <w:sz w:val="20"/>
        </w:rPr>
      </w:pPr>
    </w:p>
    <w:p w14:paraId="66D146DB" w14:textId="77777777" w:rsidR="00A2416E" w:rsidRDefault="00A2416E">
      <w:pPr>
        <w:pStyle w:val="Brdtext"/>
        <w:rPr>
          <w:sz w:val="20"/>
        </w:rPr>
      </w:pPr>
    </w:p>
    <w:p w14:paraId="346CAB4A" w14:textId="77777777" w:rsidR="00A2416E" w:rsidRDefault="00534832" w:rsidP="00843713">
      <w:pPr>
        <w:pStyle w:val="Rubrik3"/>
        <w:spacing w:before="111"/>
        <w:ind w:left="0"/>
      </w:pPr>
      <w:r>
        <w:t>2</w:t>
      </w:r>
    </w:p>
    <w:p w14:paraId="47F3F605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5320A3C" w14:textId="77777777"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Az üvegházhatásúgáz-intenzitás kiszámítása</w:t>
      </w:r>
    </w:p>
    <w:p w14:paraId="1BBF99A2" w14:textId="77777777"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>12. §</w:t>
      </w:r>
      <w:r>
        <w:t xml:space="preserve"> Az üvegházhatásúgáz-kibocsátás üzemanyag-beszállító általi csökkentésének az üzemanyagokról szóló törvény (2011:319) 21. §-ában meghatározott célból történő kiszámítása során az üvegházhatásúgáz-intenzitás kiszámítását az alábbi képlettel kell végezni:</w:t>
      </w:r>
    </w:p>
    <w:p w14:paraId="20759CD1" w14:textId="77777777" w:rsidR="00A2416E" w:rsidRDefault="00534832" w:rsidP="00843713">
      <w:pPr>
        <w:pStyle w:val="Brdtext"/>
        <w:spacing w:before="86" w:line="213" w:lineRule="exact"/>
        <w:ind w:left="2364" w:right="737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(GHGi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r>
        <w:rPr>
          <w:color w:val="010102"/>
        </w:rPr>
        <w:t>) – UER</w:t>
      </w:r>
    </w:p>
    <w:p w14:paraId="5B0DC3E8" w14:textId="77777777"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Üvegházhatásúgáz-intenzitás</w:t>
      </w:r>
      <w:r>
        <w:rPr>
          <w:color w:val="010102"/>
          <w:vertAlign w:val="subscript"/>
        </w:rPr>
        <w:t>#</w:t>
      </w:r>
      <w:r>
        <w:rPr>
          <w:color w:val="010102"/>
        </w:rPr>
        <w:t xml:space="preserve">  =  ––––––––––––––––––––––––</w:t>
      </w:r>
    </w:p>
    <w:p w14:paraId="3A218E26" w14:textId="77777777" w:rsidR="00A2416E" w:rsidRDefault="00534832" w:rsidP="00843713">
      <w:pPr>
        <w:pStyle w:val="Brdtext"/>
        <w:spacing w:line="217" w:lineRule="exact"/>
        <w:ind w:left="2121" w:right="964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MJ</w:t>
      </w:r>
      <w:r>
        <w:rPr>
          <w:color w:val="010102"/>
          <w:vertAlign w:val="subscript"/>
        </w:rPr>
        <w:t>x</w:t>
      </w:r>
    </w:p>
    <w:p w14:paraId="34570CBD" w14:textId="77777777"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 w14:paraId="4CFD6340" w14:textId="77777777">
        <w:trPr>
          <w:trHeight w:val="251"/>
        </w:trPr>
        <w:tc>
          <w:tcPr>
            <w:tcW w:w="800" w:type="dxa"/>
          </w:tcPr>
          <w:p w14:paraId="0A908CB3" w14:textId="4ED53F3D"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z w:val="19"/>
              </w:rPr>
              <w:tab/>
            </w:r>
          </w:p>
        </w:tc>
        <w:tc>
          <w:tcPr>
            <w:tcW w:w="5497" w:type="dxa"/>
          </w:tcPr>
          <w:p w14:paraId="667260ED" w14:textId="65E7DCF3" w:rsidR="00A2416E" w:rsidRDefault="00843713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a beszállító azonosítása</w:t>
            </w:r>
          </w:p>
        </w:tc>
      </w:tr>
      <w:tr w:rsidR="00A2416E" w14:paraId="66C6F643" w14:textId="77777777">
        <w:trPr>
          <w:trHeight w:val="291"/>
        </w:trPr>
        <w:tc>
          <w:tcPr>
            <w:tcW w:w="800" w:type="dxa"/>
          </w:tcPr>
          <w:p w14:paraId="2FD57175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14:paraId="2A6E5BDD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leszállított üzemanyagok, amelyekről jelentést kell készíteni</w:t>
            </w:r>
          </w:p>
        </w:tc>
      </w:tr>
      <w:tr w:rsidR="00A2416E" w14:paraId="4EEEE19A" w14:textId="77777777">
        <w:trPr>
          <w:trHeight w:val="751"/>
        </w:trPr>
        <w:tc>
          <w:tcPr>
            <w:tcW w:w="800" w:type="dxa"/>
          </w:tcPr>
          <w:p w14:paraId="79E26564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7D58B399" w14:textId="77777777"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t xml:space="preserve">a szállított üzemanyagban található bioösszetevőkből és fosszilis összetevőkből származó, g </w:t>
            </w:r>
            <w:r>
              <w:rPr>
                <w:sz w:val="19"/>
              </w:rPr>
              <w:t>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</w:t>
            </w:r>
            <w:r>
              <w:t>-ben kifejezett üvegházhatásúgáz-kibocsátás összege</w:t>
            </w:r>
          </w:p>
        </w:tc>
      </w:tr>
      <w:tr w:rsidR="00A2416E" w14:paraId="5FB64182" w14:textId="77777777">
        <w:trPr>
          <w:trHeight w:val="521"/>
        </w:trPr>
        <w:tc>
          <w:tcPr>
            <w:tcW w:w="800" w:type="dxa"/>
          </w:tcPr>
          <w:p w14:paraId="3D51B5E0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02BB1F8E" w14:textId="77777777"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z w:val="19"/>
              </w:rPr>
              <w:t>a szállított üzemanyagban található fosszilis összetevőkben és bioösszetevőkben található energia, megajoule-ban kifejezve</w:t>
            </w:r>
          </w:p>
        </w:tc>
      </w:tr>
      <w:tr w:rsidR="00A2416E" w14:paraId="5072D8FC" w14:textId="77777777">
        <w:trPr>
          <w:trHeight w:val="521"/>
        </w:trPr>
        <w:tc>
          <w:tcPr>
            <w:tcW w:w="800" w:type="dxa"/>
          </w:tcPr>
          <w:p w14:paraId="6DFBF789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14:paraId="76543568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a meghajtórendszer hatékonyságára vonatkozó korrekciós tényezők a táblázat szerint</w:t>
            </w:r>
          </w:p>
          <w:p w14:paraId="1791D3B1" w14:textId="77777777"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az alábbiakban:</w:t>
            </w:r>
          </w:p>
        </w:tc>
      </w:tr>
      <w:tr w:rsidR="00A2416E" w14:paraId="690B8266" w14:textId="77777777">
        <w:trPr>
          <w:trHeight w:val="297"/>
        </w:trPr>
        <w:tc>
          <w:tcPr>
            <w:tcW w:w="800" w:type="dxa"/>
          </w:tcPr>
          <w:p w14:paraId="60FB116A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14:paraId="1AD7EF7E" w14:textId="77777777"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t xml:space="preserve">a termelésoldali kibocsátás csökkentése g </w:t>
            </w:r>
            <w:r>
              <w:rPr>
                <w:sz w:val="19"/>
              </w:rPr>
              <w:t>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</w:t>
            </w:r>
            <w:r>
              <w:t>-ben kifejezve</w:t>
            </w:r>
          </w:p>
        </w:tc>
      </w:tr>
    </w:tbl>
    <w:p w14:paraId="799663C9" w14:textId="77777777" w:rsidR="00A2416E" w:rsidRDefault="00534832">
      <w:pPr>
        <w:pStyle w:val="Brdtext"/>
        <w:spacing w:before="132"/>
        <w:ind w:left="400"/>
        <w:jc w:val="both"/>
      </w:pPr>
      <w:r>
        <w:t>A kibocsátásokat korrigálni kell a meghajtórendszer hatékonysága és a termelésoldali kibocsátás alapján.</w:t>
      </w:r>
    </w:p>
    <w:p w14:paraId="197F02F8" w14:textId="77777777" w:rsidR="00A2416E" w:rsidRDefault="00A2416E">
      <w:pPr>
        <w:pStyle w:val="Brdtext"/>
        <w:rPr>
          <w:sz w:val="28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 w14:paraId="28F08263" w14:textId="77777777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14:paraId="38A19BC4" w14:textId="77777777"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Fő alkalmazási terület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2AE18678" w14:textId="77777777" w:rsidR="00A2416E" w:rsidRDefault="00534832" w:rsidP="00843713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Hatékonysági tényező</w:t>
            </w:r>
          </w:p>
        </w:tc>
      </w:tr>
      <w:tr w:rsidR="00A2416E" w14:paraId="63DF21ED" w14:textId="77777777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14:paraId="2DC6CCCF" w14:textId="77777777"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Belső égésű motor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3EABE78F" w14:textId="77777777"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 w14:paraId="17A28BEE" w14:textId="77777777">
        <w:trPr>
          <w:trHeight w:val="242"/>
        </w:trPr>
        <w:tc>
          <w:tcPr>
            <w:tcW w:w="3368" w:type="dxa"/>
          </w:tcPr>
          <w:p w14:paraId="02257E28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Akkumulátorral működő elektromos rendszerek</w:t>
            </w:r>
          </w:p>
        </w:tc>
        <w:tc>
          <w:tcPr>
            <w:tcW w:w="1656" w:type="dxa"/>
          </w:tcPr>
          <w:p w14:paraId="73657E13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  <w:tr w:rsidR="00A2416E" w14:paraId="320937A7" w14:textId="77777777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14:paraId="51DED897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Hidrogénüzemanyag-cellás elektromos meghajtórendszer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6D27FC5C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</w:tbl>
    <w:p w14:paraId="26A8E09B" w14:textId="77777777" w:rsidR="00A2416E" w:rsidRDefault="00A2416E">
      <w:pPr>
        <w:pStyle w:val="Brdtext"/>
        <w:spacing w:before="10"/>
        <w:rPr>
          <w:sz w:val="28"/>
        </w:rPr>
      </w:pPr>
    </w:p>
    <w:p w14:paraId="37BD531B" w14:textId="77777777"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 xml:space="preserve">12a. § </w:t>
      </w:r>
      <w:r>
        <w:t>A környezetvédelmi tájékoztatás alapjaként az üzemanyag-beszállító az alábbi képletnek megfelelően kiszámolja a forgalomba hozott termékek üvegházhatásúgáz-intenzitását:</w:t>
      </w:r>
    </w:p>
    <w:p w14:paraId="752A0082" w14:textId="77777777"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(GHGi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× MJ</w:t>
      </w:r>
      <w:r>
        <w:rPr>
          <w:color w:val="010102"/>
          <w:sz w:val="12"/>
        </w:rPr>
        <w:t>x</w:t>
      </w:r>
      <w:r>
        <w:rPr>
          <w:color w:val="010102"/>
        </w:rPr>
        <w:t>) GHGi</w:t>
      </w:r>
      <w:r>
        <w:rPr>
          <w:color w:val="010102"/>
          <w:sz w:val="11"/>
        </w:rPr>
        <w:t>a</w:t>
      </w:r>
      <w:r>
        <w:rPr>
          <w:color w:val="010102"/>
        </w:rPr>
        <w:t xml:space="preserve"> = ––––––––––––––––</w:t>
      </w:r>
    </w:p>
    <w:p w14:paraId="676262ED" w14:textId="77777777"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sz w:val="19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  <w:sz w:val="19"/>
        </w:rPr>
        <w:t>MJ</w:t>
      </w:r>
      <w:r>
        <w:rPr>
          <w:color w:val="010102"/>
          <w:sz w:val="12"/>
        </w:rPr>
        <w:t>x</w:t>
      </w:r>
    </w:p>
    <w:p w14:paraId="447A06EC" w14:textId="77777777" w:rsidR="00A2416E" w:rsidRDefault="00534832">
      <w:pPr>
        <w:pStyle w:val="Rubrik2"/>
        <w:spacing w:line="228" w:lineRule="auto"/>
        <w:ind w:left="200" w:right="134"/>
      </w:pPr>
      <w:r>
        <w:br w:type="column"/>
      </w:r>
      <w:r>
        <w:t>STEMFS 2021:2</w:t>
      </w:r>
    </w:p>
    <w:p w14:paraId="186869FF" w14:textId="77777777"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14:paraId="78B72271" w14:textId="77777777" w:rsidR="00A2416E" w:rsidRDefault="00534832">
      <w:pPr>
        <w:pStyle w:val="Brdtext"/>
        <w:spacing w:before="129" w:after="58"/>
        <w:ind w:left="400"/>
      </w:pPr>
      <w:r>
        <w:t>Ahol:</w:t>
      </w: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 w14:paraId="595F037B" w14:textId="77777777">
        <w:trPr>
          <w:trHeight w:val="242"/>
        </w:trPr>
        <w:tc>
          <w:tcPr>
            <w:tcW w:w="777" w:type="dxa"/>
          </w:tcPr>
          <w:p w14:paraId="24B13BD8" w14:textId="77777777"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14:paraId="3E518B6F" w14:textId="77777777"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leszállított üzemanyag-termékek, amelyekről jelentést kell készíteni</w:t>
            </w:r>
          </w:p>
        </w:tc>
      </w:tr>
      <w:tr w:rsidR="00A2416E" w14:paraId="32F5B9EE" w14:textId="77777777">
        <w:trPr>
          <w:trHeight w:val="273"/>
        </w:trPr>
        <w:tc>
          <w:tcPr>
            <w:tcW w:w="777" w:type="dxa"/>
          </w:tcPr>
          <w:p w14:paraId="2D155D9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14:paraId="27B3ACB7" w14:textId="77777777"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a bejelentendő termék összetevői</w:t>
            </w:r>
          </w:p>
        </w:tc>
      </w:tr>
      <w:tr w:rsidR="00A2416E" w14:paraId="64FD007D" w14:textId="77777777">
        <w:trPr>
          <w:trHeight w:val="526"/>
        </w:trPr>
        <w:tc>
          <w:tcPr>
            <w:tcW w:w="777" w:type="dxa"/>
          </w:tcPr>
          <w:p w14:paraId="17EAA3F3" w14:textId="77777777" w:rsidR="00A2416E" w:rsidRPr="00843713" w:rsidRDefault="00534832">
            <w:pPr>
              <w:pStyle w:val="TableParagraph"/>
              <w:spacing w:before="23"/>
              <w:ind w:left="200"/>
              <w:rPr>
                <w:sz w:val="19"/>
                <w:lang w:val="sv-SE"/>
              </w:rPr>
            </w:pPr>
            <w:r w:rsidRPr="00843713">
              <w:rPr>
                <w:sz w:val="19"/>
                <w:lang w:val="sv-SE"/>
              </w:rPr>
              <w:t>GHGix</w:t>
            </w:r>
          </w:p>
        </w:tc>
        <w:tc>
          <w:tcPr>
            <w:tcW w:w="5495" w:type="dxa"/>
          </w:tcPr>
          <w:p w14:paraId="1FA05581" w14:textId="77777777" w:rsidR="00A2416E" w:rsidRPr="00843713" w:rsidRDefault="00534832">
            <w:pPr>
              <w:pStyle w:val="TableParagraph"/>
              <w:spacing w:before="17" w:line="230" w:lineRule="exact"/>
              <w:ind w:left="57"/>
              <w:rPr>
                <w:sz w:val="19"/>
                <w:lang w:val="sv-SE"/>
              </w:rPr>
            </w:pPr>
            <w:r w:rsidRPr="00843713">
              <w:rPr>
                <w:sz w:val="19"/>
                <w:lang w:val="sv-SE"/>
              </w:rPr>
              <w:t>a termékben található összetevőkre vonatkozó üvegházhatásúgáz-intenzitás, g CO2eq/MJ-ban kifejezve</w:t>
            </w:r>
          </w:p>
        </w:tc>
      </w:tr>
      <w:tr w:rsidR="00A2416E" w14:paraId="473B90F4" w14:textId="77777777">
        <w:trPr>
          <w:trHeight w:val="480"/>
        </w:trPr>
        <w:tc>
          <w:tcPr>
            <w:tcW w:w="777" w:type="dxa"/>
          </w:tcPr>
          <w:p w14:paraId="5908B850" w14:textId="77777777"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3E93CD66" w14:textId="77777777"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az a termékben található összetevőkben lévő energia, megajoule-ban kifejezve</w:t>
            </w:r>
          </w:p>
        </w:tc>
      </w:tr>
      <w:tr w:rsidR="00A2416E" w14:paraId="245B7179" w14:textId="77777777">
        <w:trPr>
          <w:trHeight w:val="702"/>
        </w:trPr>
        <w:tc>
          <w:tcPr>
            <w:tcW w:w="777" w:type="dxa"/>
          </w:tcPr>
          <w:p w14:paraId="5334C4BE" w14:textId="77777777" w:rsidR="00A2416E" w:rsidRPr="00843713" w:rsidRDefault="00534832">
            <w:pPr>
              <w:pStyle w:val="TableParagraph"/>
              <w:spacing w:before="23"/>
              <w:ind w:left="200"/>
              <w:rPr>
                <w:sz w:val="19"/>
                <w:lang w:val="sv-SE"/>
              </w:rPr>
            </w:pPr>
            <w:r w:rsidRPr="00843713">
              <w:rPr>
                <w:sz w:val="19"/>
                <w:lang w:val="sv-SE"/>
              </w:rPr>
              <w:t>GHGia</w:t>
            </w:r>
          </w:p>
        </w:tc>
        <w:tc>
          <w:tcPr>
            <w:tcW w:w="5495" w:type="dxa"/>
          </w:tcPr>
          <w:p w14:paraId="2A6CA0A4" w14:textId="77777777" w:rsidR="00A2416E" w:rsidRPr="00843713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  <w:lang w:val="sv-SE"/>
              </w:rPr>
            </w:pPr>
            <w:r w:rsidRPr="00843713">
              <w:rPr>
                <w:sz w:val="19"/>
                <w:lang w:val="sv-SE"/>
              </w:rPr>
              <w:t>a szállított üzemanyagban található bioösszetevőkből és fosszilis összetevőkből származó, g CO2eq/MJ-ben kifejezett üvegházhatásúgáz-kibocsátás.</w:t>
            </w:r>
          </w:p>
        </w:tc>
      </w:tr>
    </w:tbl>
    <w:p w14:paraId="631CE3C8" w14:textId="77777777" w:rsidR="00A2416E" w:rsidRDefault="00A2416E">
      <w:pPr>
        <w:pStyle w:val="Brdtext"/>
        <w:rPr>
          <w:sz w:val="20"/>
        </w:rPr>
      </w:pPr>
    </w:p>
    <w:p w14:paraId="5772BB0F" w14:textId="3EB005E3" w:rsidR="00A2416E" w:rsidRDefault="00843713" w:rsidP="00843713">
      <w:pPr>
        <w:pStyle w:val="Rubrik3"/>
        <w:ind w:left="0" w:right="155"/>
      </w:pPr>
      <w:r>
        <w:t xml:space="preserve">                                                                                                                                              </w:t>
      </w:r>
      <w:r w:rsidR="00534832">
        <w:t>3</w:t>
      </w:r>
    </w:p>
    <w:p w14:paraId="677F036A" w14:textId="77777777"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EB2F8F7" w14:textId="77777777"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lastRenderedPageBreak/>
        <w:t>STEMFS 2021:2</w:t>
      </w:r>
    </w:p>
    <w:p w14:paraId="0305CE16" w14:textId="77777777" w:rsidR="00A2416E" w:rsidRDefault="00534832">
      <w:pPr>
        <w:pStyle w:val="Brdtext"/>
        <w:spacing w:before="72" w:line="273" w:lineRule="auto"/>
        <w:ind w:left="117" w:right="381"/>
        <w:jc w:val="both"/>
      </w:pPr>
      <w:r>
        <w:br w:type="column"/>
      </w:r>
      <w:r>
        <w:rPr>
          <w:b/>
        </w:rPr>
        <w:t xml:space="preserve">13. § </w:t>
      </w:r>
      <w:r>
        <w:t>A 12. § szerinti számítások során az üzemanyag-beszállító az üvegházhatásúgáz-kibocsátást a fosszilis üzemanyagokból számítja ki az 1. mellékletben található súlyozott rendes értékekkel összhangban.</w:t>
      </w:r>
    </w:p>
    <w:p w14:paraId="10BFD7DE" w14:textId="77777777" w:rsidR="00A2416E" w:rsidRDefault="00534832">
      <w:pPr>
        <w:pStyle w:val="Brdtext"/>
        <w:spacing w:before="115" w:line="273" w:lineRule="auto"/>
        <w:ind w:left="117" w:right="381"/>
        <w:jc w:val="both"/>
      </w:pPr>
      <w:r>
        <w:t>A 12a. § szerinti számítások során az üzemanyag-beszállító az üvegházhatásúgáz-kibocsátást a fosszilis üzemanyagokból számítja ki az 1. mellékletben található, az adott nyersanyagra vonatkozó rendes értékekkel összhangban.</w:t>
      </w:r>
    </w:p>
    <w:p w14:paraId="2AC92A22" w14:textId="77777777" w:rsidR="00A2416E" w:rsidRDefault="00A2416E">
      <w:pPr>
        <w:pStyle w:val="Brdtext"/>
        <w:spacing w:before="5"/>
        <w:rPr>
          <w:sz w:val="26"/>
        </w:rPr>
      </w:pPr>
    </w:p>
    <w:p w14:paraId="0262139A" w14:textId="77777777" w:rsidR="00A2416E" w:rsidRDefault="00534832">
      <w:pPr>
        <w:pStyle w:val="Rubrik2"/>
        <w:spacing w:before="0"/>
      </w:pPr>
      <w:r>
        <w:t>A termelésoldali kibocsátás csökkentése</w:t>
      </w:r>
    </w:p>
    <w:p w14:paraId="0796A5BC" w14:textId="77777777"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 xml:space="preserve">16. § </w:t>
      </w:r>
      <w:r>
        <w:t>Annak érdekében, hogy az üzemanyag-beszállító számára jóváírható legyen a termelésoldali kibocsátás csökkentése az üvegházhatásúgáz-intenzitás 12. § kiszámítása során, az üzemanyag-beszállítónak jelentést kell tennie az alábbiakról a Svéd Energiaügynökség számára:</w:t>
      </w:r>
    </w:p>
    <w:p w14:paraId="3960C5E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a projekt kezdő dátuma, amely nem lehet 2011. január 1-jénél később;</w:t>
      </w:r>
    </w:p>
    <w:p w14:paraId="5095575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az éves termelésoldali kibocsátás csökkentése g CO</w:t>
      </w:r>
      <w:r>
        <w:rPr>
          <w:sz w:val="11"/>
        </w:rPr>
        <w:t>2</w:t>
      </w:r>
      <w:r>
        <w:rPr>
          <w:sz w:val="19"/>
        </w:rPr>
        <w:t>eq-ban kifejezve;</w:t>
      </w:r>
    </w:p>
    <w:p w14:paraId="0C44C87A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az időszak, amely során a hivatkozott csökkentésre sor került;</w:t>
      </w:r>
    </w:p>
    <w:p w14:paraId="45CBAD50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a kibocsátások forrásához legközelebb eső projekthelyszín földrajzi szélessége és hosszúsága fokokban, négy tizedesnyi pontossággal meghatározva;</w:t>
      </w:r>
    </w:p>
    <w:p w14:paraId="31C4AA5C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az éves kibocsátásokra vonatkozó minimumszabvány a csökkentési intézkedések végrehajtása előtt, és az éves kibocsátások a csökkentési intézkedések végrehajtását követően, CO</w:t>
      </w:r>
      <w:r>
        <w:rPr>
          <w:sz w:val="11"/>
        </w:rPr>
        <w:t>2</w:t>
      </w:r>
      <w:r>
        <w:rPr>
          <w:sz w:val="19"/>
        </w:rPr>
        <w:t>eq/MJ-ban kifejezve az előállított nyersanyag tekintetében;</w:t>
      </w:r>
    </w:p>
    <w:p w14:paraId="60C84C2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nem újrahasználható tanúsítványszám, amely egyedi módon azonosítja a rendszert, valamint,</w:t>
      </w:r>
    </w:p>
    <w:p w14:paraId="7F1E9855" w14:textId="77777777" w:rsidR="00A2416E" w:rsidRDefault="00534832">
      <w:pPr>
        <w:pStyle w:val="Brdtext"/>
        <w:spacing w:before="12"/>
        <w:ind w:left="315"/>
        <w:jc w:val="both"/>
      </w:pPr>
      <w:r>
        <w:t>a hivatkozott üvegházhatásúgáz-csökkentést;</w:t>
      </w:r>
    </w:p>
    <w:p w14:paraId="53C6F41B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nem újrahasználható szám, amely egyedi módon azonosítja a számítási módszert és</w:t>
      </w:r>
    </w:p>
    <w:p w14:paraId="128F9A23" w14:textId="77777777" w:rsidR="00A2416E" w:rsidRDefault="00534832">
      <w:pPr>
        <w:pStyle w:val="Brdtext"/>
        <w:spacing w:before="11"/>
        <w:ind w:left="315"/>
        <w:jc w:val="both"/>
      </w:pPr>
      <w:r>
        <w:t xml:space="preserve"> a kapcsolódó rendszert.</w:t>
      </w:r>
    </w:p>
    <w:p w14:paraId="2A18DA87" w14:textId="77777777" w:rsidR="00A2416E" w:rsidRDefault="00A2416E">
      <w:pPr>
        <w:pStyle w:val="Brdtext"/>
        <w:rPr>
          <w:sz w:val="29"/>
        </w:rPr>
      </w:pPr>
    </w:p>
    <w:p w14:paraId="16842E29" w14:textId="77777777" w:rsidR="00A2416E" w:rsidRDefault="00534832">
      <w:pPr>
        <w:pStyle w:val="Rubrik2"/>
        <w:spacing w:before="0"/>
      </w:pPr>
      <w:r>
        <w:t>Hatályba léptető rendelkezések</w:t>
      </w:r>
    </w:p>
    <w:p w14:paraId="67EB8873" w14:textId="77777777" w:rsidR="00A2416E" w:rsidRDefault="00534832">
      <w:pPr>
        <w:pStyle w:val="Brdtext"/>
        <w:spacing w:before="140" w:line="460" w:lineRule="auto"/>
        <w:ind w:left="117" w:right="2287"/>
      </w:pPr>
      <w:r>
        <w:t>Jelen rendelkezések 2021. február 24. napján válnak hatályossá. A Svéd Energia Ügynökség részéről</w:t>
      </w:r>
    </w:p>
    <w:p w14:paraId="51DE8E66" w14:textId="77777777"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6209CB19" w14:textId="77777777" w:rsidR="00A2416E" w:rsidRDefault="00A2416E">
      <w:pPr>
        <w:pStyle w:val="Brdtext"/>
        <w:spacing w:before="8"/>
        <w:rPr>
          <w:sz w:val="28"/>
        </w:rPr>
      </w:pPr>
    </w:p>
    <w:p w14:paraId="2CC17B70" w14:textId="77777777" w:rsidR="00A2416E" w:rsidRDefault="00534832">
      <w:pPr>
        <w:pStyle w:val="Brdtext"/>
        <w:spacing w:before="92"/>
        <w:ind w:left="1817"/>
      </w:pPr>
      <w:r>
        <w:t>Robert Andrén</w:t>
      </w:r>
    </w:p>
    <w:p w14:paraId="15A94D1C" w14:textId="77777777" w:rsidR="00A2416E" w:rsidRDefault="00A2416E">
      <w:pPr>
        <w:pStyle w:val="Brdtext"/>
        <w:spacing w:before="6"/>
        <w:rPr>
          <w:sz w:val="17"/>
        </w:rPr>
      </w:pPr>
    </w:p>
    <w:p w14:paraId="1AFFE159" w14:textId="77777777" w:rsidR="00A2416E" w:rsidRDefault="00534832">
      <w:pPr>
        <w:pStyle w:val="Brdtext"/>
        <w:ind w:left="3265" w:right="2636"/>
        <w:jc w:val="center"/>
      </w:pPr>
      <w:r>
        <w:t>Ulf Jonson</w:t>
      </w:r>
    </w:p>
    <w:p w14:paraId="6574D352" w14:textId="77777777" w:rsidR="00A2416E" w:rsidRDefault="00A2416E">
      <w:pPr>
        <w:pStyle w:val="Brdtext"/>
        <w:rPr>
          <w:sz w:val="20"/>
        </w:rPr>
      </w:pPr>
    </w:p>
    <w:p w14:paraId="4DDBCF46" w14:textId="77777777" w:rsidR="00A2416E" w:rsidRDefault="00A2416E">
      <w:pPr>
        <w:pStyle w:val="Brdtext"/>
        <w:rPr>
          <w:sz w:val="20"/>
        </w:rPr>
      </w:pPr>
    </w:p>
    <w:p w14:paraId="04AB8C25" w14:textId="77777777" w:rsidR="00A2416E" w:rsidRDefault="00A2416E">
      <w:pPr>
        <w:pStyle w:val="Brdtext"/>
        <w:rPr>
          <w:sz w:val="20"/>
        </w:rPr>
      </w:pPr>
    </w:p>
    <w:p w14:paraId="442C2781" w14:textId="77777777" w:rsidR="00A2416E" w:rsidRDefault="00A2416E">
      <w:pPr>
        <w:pStyle w:val="Brdtext"/>
        <w:rPr>
          <w:sz w:val="20"/>
        </w:rPr>
      </w:pPr>
    </w:p>
    <w:p w14:paraId="6CF46550" w14:textId="77777777" w:rsidR="00A2416E" w:rsidRDefault="00A2416E">
      <w:pPr>
        <w:pStyle w:val="Brdtext"/>
        <w:rPr>
          <w:sz w:val="20"/>
        </w:rPr>
      </w:pPr>
    </w:p>
    <w:p w14:paraId="76DFAC04" w14:textId="77777777" w:rsidR="00A2416E" w:rsidRDefault="00A2416E">
      <w:pPr>
        <w:pStyle w:val="Brdtext"/>
        <w:rPr>
          <w:sz w:val="20"/>
        </w:rPr>
      </w:pPr>
    </w:p>
    <w:p w14:paraId="7DD6FC54" w14:textId="77777777" w:rsidR="00A2416E" w:rsidRDefault="00A2416E">
      <w:pPr>
        <w:pStyle w:val="Brdtext"/>
        <w:rPr>
          <w:sz w:val="20"/>
        </w:rPr>
      </w:pPr>
    </w:p>
    <w:p w14:paraId="247B32BC" w14:textId="77777777" w:rsidR="00A2416E" w:rsidRDefault="00534832" w:rsidP="00BC733F">
      <w:pPr>
        <w:pStyle w:val="Rubrik3"/>
        <w:spacing w:before="112"/>
        <w:ind w:left="0"/>
      </w:pPr>
      <w:r>
        <w:t>4</w:t>
      </w:r>
    </w:p>
    <w:p w14:paraId="25560BB9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10C7F3D" w14:textId="77777777"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lastRenderedPageBreak/>
        <w:t>1. melléklet</w:t>
      </w:r>
    </w:p>
    <w:p w14:paraId="077A287F" w14:textId="77777777" w:rsidR="00A2416E" w:rsidRDefault="00A2416E">
      <w:pPr>
        <w:pStyle w:val="Brdtext"/>
        <w:spacing w:before="6"/>
        <w:rPr>
          <w:b/>
          <w:sz w:val="28"/>
        </w:rPr>
      </w:pPr>
    </w:p>
    <w:p w14:paraId="747041D0" w14:textId="77777777"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Átlagos életciklus alatti normál üvegházhatásúgáz-intenzitás fosszilis tüzelőanyag-összetevők esetében</w:t>
      </w:r>
    </w:p>
    <w:p w14:paraId="1199B2D0" w14:textId="77777777" w:rsidR="00A2416E" w:rsidRDefault="00534832">
      <w:pPr>
        <w:pStyle w:val="Rubrik2"/>
        <w:spacing w:before="93" w:line="228" w:lineRule="auto"/>
        <w:ind w:left="400" w:right="134"/>
      </w:pPr>
      <w:r>
        <w:br w:type="column"/>
      </w:r>
      <w:r>
        <w:t>STEMFS 2021:2</w:t>
      </w:r>
    </w:p>
    <w:p w14:paraId="506D9EEB" w14:textId="77777777"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14:paraId="1876708B" w14:textId="77777777"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1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985"/>
        <w:gridCol w:w="1275"/>
        <w:gridCol w:w="1698"/>
      </w:tblGrid>
      <w:tr w:rsidR="00A2416E" w14:paraId="13BAB754" w14:textId="77777777" w:rsidTr="00BC733F">
        <w:trPr>
          <w:trHeight w:val="895"/>
        </w:trPr>
        <w:tc>
          <w:tcPr>
            <w:tcW w:w="2010" w:type="dxa"/>
            <w:tcBorders>
              <w:left w:val="nil"/>
              <w:right w:val="single" w:sz="6" w:space="0" w:color="000000"/>
            </w:tcBorders>
          </w:tcPr>
          <w:p w14:paraId="12C84FCD" w14:textId="77777777" w:rsidR="00A2416E" w:rsidRDefault="00534832">
            <w:pPr>
              <w:pStyle w:val="TableParagraph"/>
              <w:spacing w:before="67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Nyersanyagforrás és -feldolgozás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9AA3401" w14:textId="77777777" w:rsidR="00A2416E" w:rsidRDefault="00534832">
            <w:pPr>
              <w:pStyle w:val="TableParagraph"/>
              <w:spacing w:before="67" w:line="247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Forgalomba hozott tüzelőanyag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14:paraId="0199DD9D" w14:textId="77777777" w:rsidR="00A2416E" w:rsidRDefault="00534832">
            <w:pPr>
              <w:pStyle w:val="TableParagraph"/>
              <w:spacing w:before="67" w:line="247" w:lineRule="auto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Életciklus üvegházhatásúgáz-intenzitás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  <w:tc>
          <w:tcPr>
            <w:tcW w:w="1698" w:type="dxa"/>
            <w:tcBorders>
              <w:left w:val="single" w:sz="6" w:space="0" w:color="000000"/>
              <w:right w:val="nil"/>
            </w:tcBorders>
          </w:tcPr>
          <w:p w14:paraId="06D77BF2" w14:textId="77777777" w:rsidR="00A2416E" w:rsidRDefault="00534832" w:rsidP="00BC733F">
            <w:pPr>
              <w:pStyle w:val="TableParagraph"/>
              <w:spacing w:before="67" w:line="247" w:lineRule="auto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Súlyozott életciklusra vonatkozó üvegházhatásúgáz-intenzitás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</w:tr>
      <w:tr w:rsidR="00A2416E" w14:paraId="3873426A" w14:textId="77777777" w:rsidTr="00BC733F">
        <w:trPr>
          <w:trHeight w:val="280"/>
        </w:trPr>
        <w:tc>
          <w:tcPr>
            <w:tcW w:w="201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17CA45" w14:textId="77777777"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>Hagyományos nyersolaj</w:t>
            </w:r>
            <w:r>
              <w:rPr>
                <w:sz w:val="10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CD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Benzin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B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93,2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6CEAA9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93,3</w:t>
            </w:r>
          </w:p>
        </w:tc>
      </w:tr>
      <w:tr w:rsidR="00A2416E" w14:paraId="73B9A7AC" w14:textId="77777777" w:rsidTr="00BC733F">
        <w:trPr>
          <w:trHeight w:val="27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7C15D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Cseppfolyósított földgáz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FE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BA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66125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BAF8354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26C85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Szénből nyert szintetikus olaj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E7AF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F559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629D4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12BEE648" w14:textId="77777777" w:rsidTr="00BC733F">
        <w:trPr>
          <w:trHeight w:val="27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E1B23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Természetes bitumen</w:t>
            </w:r>
            <w:r>
              <w:rPr>
                <w:sz w:val="10"/>
              </w:rPr>
              <w:t xml:space="preserve"> 2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DD9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57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62DFB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17E91C6" w14:textId="77777777" w:rsidTr="00BC733F">
        <w:trPr>
          <w:trHeight w:val="27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5017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Olajpala</w:t>
            </w:r>
            <w:r>
              <w:rPr>
                <w:sz w:val="10"/>
              </w:rPr>
              <w:t xml:space="preserve"> 3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29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07F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131,3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86A2F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B1F697D" w14:textId="77777777" w:rsidTr="00BC733F">
        <w:trPr>
          <w:trHeight w:val="27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B26C8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Hagyományos nyersolaj</w:t>
            </w:r>
            <w:r>
              <w:rPr>
                <w:sz w:val="1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95E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Dízel- vagy gázolaj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AC0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010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95,1</w:t>
            </w:r>
          </w:p>
        </w:tc>
      </w:tr>
      <w:tr w:rsidR="00A2416E" w14:paraId="45915519" w14:textId="77777777" w:rsidTr="00BC733F">
        <w:trPr>
          <w:trHeight w:val="27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1ED05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Cseppfolyósított földgáz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F4EB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EB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8FE5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428360F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7AAB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Szénből nyert szintetikus olaj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3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614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11F3C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0AAD108" w14:textId="77777777" w:rsidTr="00BC733F">
        <w:trPr>
          <w:trHeight w:val="27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EC1A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Természetes bitumen</w:t>
            </w:r>
            <w:r>
              <w:rPr>
                <w:sz w:val="10"/>
              </w:rPr>
              <w:t xml:space="preserve"> 2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11B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2CE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DC07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76BFD6A" w14:textId="77777777" w:rsidTr="00BC733F">
        <w:trPr>
          <w:trHeight w:val="27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20D99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Olajpala</w:t>
            </w:r>
            <w:r>
              <w:rPr>
                <w:sz w:val="10"/>
              </w:rPr>
              <w:t xml:space="preserve"> 3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3CA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3D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133,7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5A1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EFD38CA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5B10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Valamennyi fosszilis forrás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4D4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PB-gáz szikragyújtású motorban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9BB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2DE0C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</w:tr>
      <w:tr w:rsidR="00A2416E" w14:paraId="235193A8" w14:textId="77777777" w:rsidTr="00BC733F">
        <w:trPr>
          <w:trHeight w:val="493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893B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Földgáz, uniós energiakeverék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64F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Sűrített földgáz szikragyújtású motorban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BF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48EA8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</w:tr>
      <w:tr w:rsidR="00A2416E" w14:paraId="748DCDF5" w14:textId="77777777" w:rsidTr="00BC733F">
        <w:trPr>
          <w:trHeight w:val="65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A5898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Földgáz, uniós energiakeverék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A6A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Cseppfolyósított földgáz (LNG) szikragyújtású motorban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B0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B9F6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</w:tr>
      <w:tr w:rsidR="00A2416E" w14:paraId="6E44497F" w14:textId="77777777" w:rsidTr="00BC733F">
        <w:trPr>
          <w:trHeight w:val="65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33705" w14:textId="77777777" w:rsidR="00A2416E" w:rsidRDefault="00534832" w:rsidP="00BC733F">
            <w:pPr>
              <w:pStyle w:val="TableParagraph"/>
              <w:spacing w:before="41" w:line="232" w:lineRule="auto"/>
              <w:ind w:left="6"/>
              <w:rPr>
                <w:sz w:val="17"/>
              </w:rPr>
            </w:pPr>
            <w:r>
              <w:rPr>
                <w:sz w:val="17"/>
              </w:rPr>
              <w:t>A hidrogén Sabatier-reakciója elektrolízissel</w:t>
            </w:r>
          </w:p>
          <w:p w14:paraId="0502C750" w14:textId="77777777" w:rsidR="00A2416E" w:rsidRDefault="00534832" w:rsidP="00BC733F">
            <w:pPr>
              <w:pStyle w:val="TableParagraph"/>
              <w:spacing w:before="0" w:line="191" w:lineRule="exact"/>
              <w:ind w:left="6"/>
              <w:rPr>
                <w:sz w:val="17"/>
              </w:rPr>
            </w:pPr>
            <w:r>
              <w:rPr>
                <w:sz w:val="17"/>
              </w:rPr>
              <w:t>nem biológiailag megújuló energia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5A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Sűrített szintetikus metán szikragyújtású motorban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B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F95D7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</w:tr>
      <w:tr w:rsidR="00A2416E" w14:paraId="3DEDD229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478A9" w14:textId="77777777" w:rsidR="00A2416E" w:rsidRDefault="00534832" w:rsidP="00BC733F">
            <w:pPr>
              <w:pStyle w:val="TableParagraph"/>
              <w:spacing w:before="41" w:line="233" w:lineRule="auto"/>
              <w:ind w:left="6"/>
              <w:rPr>
                <w:sz w:val="17"/>
              </w:rPr>
            </w:pPr>
            <w:r>
              <w:rPr>
                <w:sz w:val="17"/>
              </w:rPr>
              <w:t>Földgáz gőzzel történő formálással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0C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Sűrített hidrogén üzemanyagcellában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7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4E8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</w:tr>
      <w:tr w:rsidR="00A2416E" w14:paraId="08CAB5BA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4479C" w14:textId="77777777" w:rsidR="00A2416E" w:rsidRDefault="00534832">
            <w:pPr>
              <w:pStyle w:val="TableParagraph"/>
              <w:spacing w:before="41" w:line="232" w:lineRule="auto"/>
              <w:ind w:left="7" w:right="127"/>
              <w:rPr>
                <w:sz w:val="17"/>
              </w:rPr>
            </w:pPr>
            <w:r>
              <w:rPr>
                <w:sz w:val="17"/>
              </w:rPr>
              <w:t>Teljes mértékben megújuló, nem biológiai energiával működő elektrolízis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7E9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Sűrített hidrogén üzemanyagcellában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401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0D43B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</w:tr>
      <w:tr w:rsidR="00A2416E" w14:paraId="0C1EC040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A4F5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Szén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A2E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Sűrített hidrogén üzemanyagcellában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73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6830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</w:tr>
      <w:tr w:rsidR="00A2416E" w14:paraId="789D2C95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21D03" w14:textId="77777777" w:rsidR="00A2416E" w:rsidRDefault="00534832">
            <w:pPr>
              <w:pStyle w:val="TableParagraph"/>
              <w:spacing w:before="41" w:line="232" w:lineRule="auto"/>
              <w:ind w:left="7" w:right="174"/>
              <w:rPr>
                <w:sz w:val="17"/>
              </w:rPr>
            </w:pPr>
            <w:r>
              <w:rPr>
                <w:sz w:val="17"/>
              </w:rPr>
              <w:t>Szén szén-dioxid-leválasztással és a technológiai kibocsátások tárolásával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3B0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Sűrített hidrogén üzemanyagcellában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83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332B6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</w:tr>
      <w:tr w:rsidR="00A2416E" w14:paraId="1F750C81" w14:textId="77777777" w:rsidTr="00BC733F">
        <w:trPr>
          <w:trHeight w:val="462"/>
        </w:trPr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44060" w14:textId="77777777" w:rsidR="00A2416E" w:rsidRDefault="00534832" w:rsidP="00BC733F">
            <w:pPr>
              <w:pStyle w:val="TableParagraph"/>
              <w:spacing w:before="41" w:line="233" w:lineRule="auto"/>
              <w:ind w:left="6"/>
              <w:rPr>
                <w:sz w:val="17"/>
              </w:rPr>
            </w:pPr>
            <w:r>
              <w:rPr>
                <w:sz w:val="17"/>
              </w:rPr>
              <w:t>Fosszilis nyersanyagokból kivont műanyaghulladék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687C" w14:textId="77777777" w:rsidR="00A2416E" w:rsidRDefault="00534832" w:rsidP="00BC733F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Benzin, dízel- vagy gázolaj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D11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4E51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14:paraId="686D7B57" w14:textId="77777777" w:rsidR="00A2416E" w:rsidRDefault="00534832" w:rsidP="002E5121">
      <w:pPr>
        <w:spacing w:before="126" w:line="233" w:lineRule="auto"/>
        <w:ind w:left="403" w:right="964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hagyományos nyersolaj: minden olyan finomítói nyersanyag, amely az ASTM D287 vizsgálati módszer szerint mérve 10 foknál magasabb API (American Petroleum Institute) súllyal rendelkezik, és amely nem tartozik a 2714-es KN-kód meghatározása alá</w:t>
      </w:r>
      <w:r>
        <w:t>.</w:t>
      </w:r>
    </w:p>
    <w:p w14:paraId="4B21A793" w14:textId="77777777"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a 2658/87/EGK rendeletben meghatározottak szerint.</w:t>
      </w:r>
      <w:r>
        <w:rPr>
          <w:sz w:val="17"/>
        </w:rPr>
        <w:tab/>
      </w:r>
      <w:r>
        <w:rPr>
          <w:rFonts w:ascii="HelveticaNeueLT Std Cn" w:hAnsi="HelveticaNeueLT Std Cn"/>
          <w:sz w:val="20"/>
        </w:rPr>
        <w:t>5</w:t>
      </w:r>
    </w:p>
    <w:p w14:paraId="65268C9D" w14:textId="77777777"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2ED578D" w14:textId="77777777" w:rsidR="00A2416E" w:rsidRDefault="00534832">
      <w:pPr>
        <w:pStyle w:val="Rubrik2"/>
        <w:spacing w:line="228" w:lineRule="auto"/>
        <w:ind w:right="19"/>
      </w:pPr>
      <w:r>
        <w:lastRenderedPageBreak/>
        <w:t>STEMFS 2021:2</w:t>
      </w:r>
    </w:p>
    <w:p w14:paraId="36448102" w14:textId="77777777"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sz w:val="10"/>
        </w:rPr>
        <w:t xml:space="preserve">2 </w:t>
      </w:r>
      <w:r>
        <w:rPr>
          <w:sz w:val="17"/>
        </w:rPr>
        <w:t>Természetes bitumen: minden olyan finomítói nyersanyag, amelynek a) az American Petroleum Institute (API) által mért sűrűsége legfeljebb 10 fok, ha a kitermelés helyén az American Society for Testing and Materials (ASTM) D287 vizsgálati módszere szerint meghatározott tározó képződményben található;; b) éves átlagos viszkozitása a tartályhőmérsékleten nagyobb, mint a Viscosity (Centipoise) = 518.98e-0,038T egyenlettel kiszámított érték, ahol T a Celsius-ban kifejezett hőmérséklet; c) a 2658/87/EGK tanácsi rendeletben meghatározott, a Kombinált Nómenklatúra (KN) 2714 kódja szerinti kátrányhomok fogalommeghatározása alá tartozik; és d) ha a nyersanyag forrásának mobilizálását bányászati kitermeléssel vagy hőerősített gravitációs vízelvezetéssel érik el, amennyiben a hőenergia főként nem magából az alapanyagforrásból származik.</w:t>
      </w:r>
    </w:p>
    <w:p w14:paraId="7D15F9D2" w14:textId="77777777"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sz w:val="10"/>
        </w:rPr>
        <w:t xml:space="preserve">3 </w:t>
      </w:r>
      <w:r>
        <w:rPr>
          <w:sz w:val="17"/>
        </w:rPr>
        <w:t>Olajpala: bármely olyan finomítói nyersanyag, amely szilárd kerogént tartalmazó kőzetformációban található, és amely a 2658/87/EGK rendeletben a 2714 KN-kód alá tartozó olajpala fogalommeghatározása alá tartozik. A nyersanyag forrásának mobilizálása bányászati kitermeléssel vagy termikusan megnövelt gravitációs vízelvezetéssel érhető el.</w:t>
      </w:r>
    </w:p>
    <w:p w14:paraId="4F1DF429" w14:textId="77777777"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4B2CA0EF" w14:textId="77777777" w:rsidR="00A2416E" w:rsidRDefault="00A2416E">
      <w:pPr>
        <w:pStyle w:val="Brdtext"/>
        <w:rPr>
          <w:sz w:val="26"/>
        </w:rPr>
      </w:pPr>
    </w:p>
    <w:p w14:paraId="0A26DB13" w14:textId="77777777" w:rsidR="00A2416E" w:rsidRDefault="00A2416E">
      <w:pPr>
        <w:pStyle w:val="Brdtext"/>
        <w:rPr>
          <w:sz w:val="26"/>
        </w:rPr>
      </w:pPr>
    </w:p>
    <w:p w14:paraId="0FAF311C" w14:textId="77777777" w:rsidR="00A2416E" w:rsidRDefault="00A2416E">
      <w:pPr>
        <w:pStyle w:val="Brdtext"/>
        <w:rPr>
          <w:sz w:val="26"/>
        </w:rPr>
      </w:pPr>
    </w:p>
    <w:p w14:paraId="4EFBC468" w14:textId="77777777" w:rsidR="00A2416E" w:rsidRDefault="00A2416E">
      <w:pPr>
        <w:pStyle w:val="Brdtext"/>
        <w:rPr>
          <w:sz w:val="26"/>
        </w:rPr>
      </w:pPr>
    </w:p>
    <w:p w14:paraId="2BAA9D54" w14:textId="77777777" w:rsidR="00A2416E" w:rsidRDefault="00A2416E">
      <w:pPr>
        <w:pStyle w:val="Brdtext"/>
        <w:rPr>
          <w:sz w:val="26"/>
        </w:rPr>
      </w:pPr>
    </w:p>
    <w:p w14:paraId="4B62674C" w14:textId="77777777" w:rsidR="00A2416E" w:rsidRDefault="00A2416E">
      <w:pPr>
        <w:pStyle w:val="Brdtext"/>
        <w:rPr>
          <w:sz w:val="26"/>
        </w:rPr>
      </w:pPr>
    </w:p>
    <w:p w14:paraId="1921A8E7" w14:textId="77777777" w:rsidR="00A2416E" w:rsidRDefault="00A2416E">
      <w:pPr>
        <w:pStyle w:val="Brdtext"/>
        <w:rPr>
          <w:sz w:val="26"/>
        </w:rPr>
      </w:pPr>
    </w:p>
    <w:p w14:paraId="3B5954AD" w14:textId="77777777" w:rsidR="00A2416E" w:rsidRDefault="00A2416E">
      <w:pPr>
        <w:pStyle w:val="Brdtext"/>
        <w:rPr>
          <w:sz w:val="26"/>
        </w:rPr>
      </w:pPr>
    </w:p>
    <w:p w14:paraId="6D123182" w14:textId="77777777" w:rsidR="00A2416E" w:rsidRDefault="00A2416E">
      <w:pPr>
        <w:pStyle w:val="Brdtext"/>
        <w:rPr>
          <w:sz w:val="26"/>
        </w:rPr>
      </w:pPr>
    </w:p>
    <w:p w14:paraId="6E023F0F" w14:textId="77777777" w:rsidR="00A2416E" w:rsidRDefault="00A2416E">
      <w:pPr>
        <w:pStyle w:val="Brdtext"/>
        <w:rPr>
          <w:sz w:val="26"/>
        </w:rPr>
      </w:pPr>
    </w:p>
    <w:p w14:paraId="673A25F2" w14:textId="77777777" w:rsidR="00A2416E" w:rsidRDefault="00A2416E">
      <w:pPr>
        <w:pStyle w:val="Brdtext"/>
        <w:rPr>
          <w:sz w:val="26"/>
        </w:rPr>
      </w:pPr>
    </w:p>
    <w:p w14:paraId="3CCEACBA" w14:textId="77777777" w:rsidR="00A2416E" w:rsidRDefault="00A2416E">
      <w:pPr>
        <w:pStyle w:val="Brdtext"/>
        <w:rPr>
          <w:sz w:val="26"/>
        </w:rPr>
      </w:pPr>
    </w:p>
    <w:p w14:paraId="5FC5200E" w14:textId="77777777" w:rsidR="00A2416E" w:rsidRDefault="00A2416E">
      <w:pPr>
        <w:pStyle w:val="Brdtext"/>
        <w:rPr>
          <w:sz w:val="26"/>
        </w:rPr>
      </w:pPr>
    </w:p>
    <w:p w14:paraId="286B93AD" w14:textId="77777777" w:rsidR="00A2416E" w:rsidRDefault="00A2416E">
      <w:pPr>
        <w:pStyle w:val="Brdtext"/>
        <w:rPr>
          <w:sz w:val="26"/>
        </w:rPr>
      </w:pPr>
    </w:p>
    <w:p w14:paraId="420D1E7A" w14:textId="77777777" w:rsidR="00A2416E" w:rsidRDefault="00A2416E">
      <w:pPr>
        <w:pStyle w:val="Brdtext"/>
        <w:rPr>
          <w:sz w:val="26"/>
        </w:rPr>
      </w:pPr>
    </w:p>
    <w:p w14:paraId="0C5704DE" w14:textId="77777777" w:rsidR="00A2416E" w:rsidRDefault="00A2416E">
      <w:pPr>
        <w:pStyle w:val="Brdtext"/>
        <w:rPr>
          <w:sz w:val="26"/>
        </w:rPr>
      </w:pPr>
    </w:p>
    <w:p w14:paraId="01626443" w14:textId="77777777" w:rsidR="00A2416E" w:rsidRDefault="00A2416E">
      <w:pPr>
        <w:pStyle w:val="Brdtext"/>
        <w:rPr>
          <w:sz w:val="26"/>
        </w:rPr>
      </w:pPr>
    </w:p>
    <w:p w14:paraId="36AD06E0" w14:textId="77777777" w:rsidR="00A2416E" w:rsidRDefault="00A2416E">
      <w:pPr>
        <w:pStyle w:val="Brdtext"/>
        <w:rPr>
          <w:sz w:val="26"/>
        </w:rPr>
      </w:pPr>
    </w:p>
    <w:p w14:paraId="26EDA37B" w14:textId="77777777" w:rsidR="00A2416E" w:rsidRDefault="00A2416E">
      <w:pPr>
        <w:pStyle w:val="Brdtext"/>
        <w:rPr>
          <w:sz w:val="26"/>
        </w:rPr>
      </w:pPr>
    </w:p>
    <w:p w14:paraId="05A57E67" w14:textId="77777777" w:rsidR="00A2416E" w:rsidRDefault="00A2416E">
      <w:pPr>
        <w:pStyle w:val="Brdtext"/>
        <w:rPr>
          <w:sz w:val="26"/>
        </w:rPr>
      </w:pPr>
    </w:p>
    <w:p w14:paraId="38EEEB4B" w14:textId="77777777" w:rsidR="00A2416E" w:rsidRDefault="00A2416E">
      <w:pPr>
        <w:pStyle w:val="Brdtext"/>
        <w:rPr>
          <w:sz w:val="26"/>
        </w:rPr>
      </w:pPr>
    </w:p>
    <w:p w14:paraId="40C566BA" w14:textId="77777777" w:rsidR="00A2416E" w:rsidRDefault="00A2416E">
      <w:pPr>
        <w:pStyle w:val="Brdtext"/>
        <w:rPr>
          <w:sz w:val="26"/>
        </w:rPr>
      </w:pPr>
    </w:p>
    <w:p w14:paraId="7002B62C" w14:textId="77777777" w:rsidR="00A2416E" w:rsidRDefault="00A2416E">
      <w:pPr>
        <w:pStyle w:val="Brdtext"/>
        <w:rPr>
          <w:sz w:val="26"/>
        </w:rPr>
      </w:pPr>
    </w:p>
    <w:p w14:paraId="3313B690" w14:textId="77777777" w:rsidR="00A2416E" w:rsidRDefault="00A2416E">
      <w:pPr>
        <w:pStyle w:val="Brdtext"/>
        <w:rPr>
          <w:sz w:val="26"/>
        </w:rPr>
      </w:pPr>
    </w:p>
    <w:p w14:paraId="164F8077" w14:textId="77777777" w:rsidR="00A2416E" w:rsidRDefault="00A2416E">
      <w:pPr>
        <w:pStyle w:val="Brdtext"/>
        <w:rPr>
          <w:sz w:val="26"/>
        </w:rPr>
      </w:pPr>
    </w:p>
    <w:p w14:paraId="03001A05" w14:textId="77777777" w:rsidR="00A2416E" w:rsidRDefault="00A2416E">
      <w:pPr>
        <w:pStyle w:val="Brdtext"/>
        <w:rPr>
          <w:sz w:val="26"/>
        </w:rPr>
      </w:pPr>
    </w:p>
    <w:p w14:paraId="35F2DB8D" w14:textId="77777777" w:rsidR="00A2416E" w:rsidRDefault="00A2416E">
      <w:pPr>
        <w:pStyle w:val="Brdtext"/>
        <w:rPr>
          <w:sz w:val="26"/>
        </w:rPr>
      </w:pPr>
    </w:p>
    <w:p w14:paraId="40DD90BC" w14:textId="77777777" w:rsidR="00A2416E" w:rsidRDefault="00534832">
      <w:pPr>
        <w:pStyle w:val="Rubrik3"/>
        <w:spacing w:before="224"/>
      </w:pPr>
      <w:r>
        <w:t>6</w:t>
      </w:r>
    </w:p>
    <w:p w14:paraId="0F0644FB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E910C00" w14:textId="77777777"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14:paraId="1D864C65" w14:textId="77777777"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14:paraId="442D83D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1280EC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8CB8DD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0CFE4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1845BE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C5E8B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C7E42E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D939C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B1C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D21BD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083FCE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E27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51DFAC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A2B0D4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A8100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A7B330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61A1F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38FFF7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649281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F92DC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0327EA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C32F2E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9CDD4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E205C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705398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E7BCDE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E96DEB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CEA537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90DF5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D5B22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521357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60C531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DCA327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86BC4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4DA32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79245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C74010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57219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B0BC7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D3A12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7EB7451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DA141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F4286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61E477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A8064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06BE0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B49D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1BA4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F896C4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60C6538" w14:textId="77777777"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14:paraId="6493E55E" w14:textId="77777777" w:rsidR="00A2416E" w:rsidRDefault="00534832">
      <w:pPr>
        <w:spacing w:before="94"/>
        <w:ind w:left="3265" w:right="3303"/>
        <w:jc w:val="center"/>
        <w:rPr>
          <w:sz w:val="16"/>
        </w:rPr>
      </w:pPr>
      <w:r>
        <w:rPr>
          <w:sz w:val="16"/>
        </w:rPr>
        <w:t>Arkitektkopia AB, 2021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16EF72B3"/>
    <w:multiLevelType w:val="hybridMultilevel"/>
    <w:tmpl w:val="8E42ED6C"/>
    <w:lvl w:ilvl="0" w:tplc="57A6F16E">
      <w:start w:val="1"/>
      <w:numFmt w:val="decimal"/>
      <w:lvlText w:val="%1"/>
      <w:lvlJc w:val="left"/>
      <w:pPr>
        <w:ind w:left="760" w:hanging="360"/>
      </w:pPr>
      <w:rPr>
        <w:rFonts w:hint="default"/>
        <w:sz w:val="10"/>
      </w:rPr>
    </w:lvl>
    <w:lvl w:ilvl="1" w:tplc="041D0019" w:tentative="1">
      <w:start w:val="1"/>
      <w:numFmt w:val="lowerLetter"/>
      <w:lvlText w:val="%2."/>
      <w:lvlJc w:val="left"/>
      <w:pPr>
        <w:ind w:left="1480" w:hanging="360"/>
      </w:pPr>
    </w:lvl>
    <w:lvl w:ilvl="2" w:tplc="041D001B" w:tentative="1">
      <w:start w:val="1"/>
      <w:numFmt w:val="lowerRoman"/>
      <w:lvlText w:val="%3."/>
      <w:lvlJc w:val="right"/>
      <w:pPr>
        <w:ind w:left="2200" w:hanging="180"/>
      </w:pPr>
    </w:lvl>
    <w:lvl w:ilvl="3" w:tplc="041D000F" w:tentative="1">
      <w:start w:val="1"/>
      <w:numFmt w:val="decimal"/>
      <w:lvlText w:val="%4."/>
      <w:lvlJc w:val="left"/>
      <w:pPr>
        <w:ind w:left="2920" w:hanging="360"/>
      </w:pPr>
    </w:lvl>
    <w:lvl w:ilvl="4" w:tplc="041D0019" w:tentative="1">
      <w:start w:val="1"/>
      <w:numFmt w:val="lowerLetter"/>
      <w:lvlText w:val="%5."/>
      <w:lvlJc w:val="left"/>
      <w:pPr>
        <w:ind w:left="3640" w:hanging="360"/>
      </w:pPr>
    </w:lvl>
    <w:lvl w:ilvl="5" w:tplc="041D001B" w:tentative="1">
      <w:start w:val="1"/>
      <w:numFmt w:val="lowerRoman"/>
      <w:lvlText w:val="%6."/>
      <w:lvlJc w:val="right"/>
      <w:pPr>
        <w:ind w:left="4360" w:hanging="180"/>
      </w:pPr>
    </w:lvl>
    <w:lvl w:ilvl="6" w:tplc="041D000F" w:tentative="1">
      <w:start w:val="1"/>
      <w:numFmt w:val="decimal"/>
      <w:lvlText w:val="%7."/>
      <w:lvlJc w:val="left"/>
      <w:pPr>
        <w:ind w:left="5080" w:hanging="360"/>
      </w:pPr>
    </w:lvl>
    <w:lvl w:ilvl="7" w:tplc="041D0019" w:tentative="1">
      <w:start w:val="1"/>
      <w:numFmt w:val="lowerLetter"/>
      <w:lvlText w:val="%8."/>
      <w:lvlJc w:val="left"/>
      <w:pPr>
        <w:ind w:left="5800" w:hanging="360"/>
      </w:pPr>
    </w:lvl>
    <w:lvl w:ilvl="8" w:tplc="041D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4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5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0729D1"/>
    <w:rsid w:val="002E5121"/>
    <w:rsid w:val="00534832"/>
    <w:rsid w:val="00581354"/>
    <w:rsid w:val="00843713"/>
    <w:rsid w:val="00A2416E"/>
    <w:rsid w:val="00B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78AA5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1777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STEMFS 2021:2 Föreskrifter om ändring av Statens energimyndighets föreskrifter (STEMFS 2017:3) om rapportering och beräkning enligt drivmedelslagen</vt:lpstr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Edison Moises Parraga Chica</cp:lastModifiedBy>
  <cp:revision>5</cp:revision>
  <dcterms:created xsi:type="dcterms:W3CDTF">2021-04-07T09:34:00Z</dcterms:created>
  <dcterms:modified xsi:type="dcterms:W3CDTF">2022-01-17T20:54:00Z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