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9292D" w14:textId="77777777" w:rsidR="00A2416E" w:rsidRDefault="00534832" w:rsidP="00581354">
      <w:pPr>
        <w:spacing w:before="92" w:line="220" w:lineRule="auto"/>
        <w:ind w:left="400" w:right="3390"/>
        <w:rPr>
          <w:b/>
          <w:sz w:val="36"/>
        </w:rPr>
      </w:pPr>
      <w:bookmarkStart w:id="0" w:name="Inledande_bestämmelser_och_definitioner"/>
      <w:bookmarkEnd w:id="0"/>
      <w:r>
        <w:rPr>
          <w:b/>
          <w:sz w:val="36"/>
        </w:rPr>
        <w:t>Švedijos energetikos agentūros įstatų kodeksas</w:t>
      </w:r>
    </w:p>
    <w:p w14:paraId="347D5EC4" w14:textId="77777777" w:rsidR="00A2416E" w:rsidRDefault="0067707B" w:rsidP="00C763BB">
      <w:pPr>
        <w:spacing w:before="148" w:line="262" w:lineRule="auto"/>
        <w:ind w:left="403" w:right="3969"/>
        <w:rPr>
          <w:sz w:val="16"/>
        </w:rPr>
      </w:pPr>
      <w:r>
        <w:pict w14:anchorId="18D320B1">
          <v:shape id="_x0000_s1028" style="position:absolute;left:0;text-align:left;margin-left:51pt;margin-top:29.9pt;width:380.35pt;height:.1pt;z-index:-251658240;mso-wrap-distance-left:0;mso-wrap-distance-right:0;mso-position-horizontal-relative:page" coordorigin="1020,598" coordsize="7607,0" path="m1020,598r7607,e" filled="f" strokeweight=".34994mm">
            <v:path arrowok="t"/>
            <w10:wrap type="topAndBottom" anchorx="page"/>
          </v:shape>
        </w:pict>
      </w:r>
      <w:r w:rsidR="00581354">
        <w:rPr>
          <w:sz w:val="16"/>
        </w:rPr>
        <w:t>Paskelbė Rikard Janson (vyriausiasis teisės pareigūnas) ISSN 1650-7703</w:t>
      </w:r>
    </w:p>
    <w:p w14:paraId="48A9609E" w14:textId="77777777" w:rsidR="00A2416E" w:rsidRDefault="00A2416E">
      <w:pPr>
        <w:pStyle w:val="Brdtext"/>
        <w:spacing w:before="1"/>
        <w:rPr>
          <w:sz w:val="13"/>
        </w:rPr>
      </w:pPr>
    </w:p>
    <w:p w14:paraId="24EC6EF5" w14:textId="77777777" w:rsidR="00A2416E" w:rsidRDefault="00A2416E">
      <w:pPr>
        <w:rPr>
          <w:sz w:val="13"/>
        </w:rPr>
        <w:sectPr w:rsidR="00A2416E">
          <w:type w:val="continuous"/>
          <w:pgSz w:w="9360" w:h="13720"/>
          <w:pgMar w:top="900" w:right="580" w:bottom="280" w:left="620" w:header="720" w:footer="720" w:gutter="0"/>
          <w:cols w:space="720"/>
        </w:sectPr>
      </w:pPr>
    </w:p>
    <w:p w14:paraId="1D697384" w14:textId="3B8DE8C9" w:rsidR="00A2416E" w:rsidRDefault="00534832">
      <w:pPr>
        <w:pStyle w:val="Rubrik1"/>
        <w:spacing w:before="103" w:line="225" w:lineRule="auto"/>
        <w:ind w:left="400"/>
      </w:pPr>
      <w:r>
        <w:t>Reglamentas, kuriuo iš dalies keičiamas Švedijos energetikos agentūros reglamentas</w:t>
      </w:r>
      <w:r w:rsidR="00C763BB">
        <w:t xml:space="preserve"> </w:t>
      </w:r>
      <w:r>
        <w:t>Nr. STEMFS 2017:3 dėl pranešimų teikimo ir skaičiavimo pagal Degalų įstatymą</w:t>
      </w:r>
    </w:p>
    <w:p w14:paraId="71813F81" w14:textId="77777777" w:rsidR="00A2416E" w:rsidRDefault="00534832">
      <w:pPr>
        <w:pStyle w:val="Brdtext"/>
        <w:spacing w:before="188"/>
        <w:ind w:left="400"/>
        <w:jc w:val="both"/>
      </w:pPr>
      <w:r>
        <w:t>Priimta 2021 m. sausio 20 d.</w:t>
      </w:r>
    </w:p>
    <w:p w14:paraId="066E2CAE" w14:textId="77777777" w:rsidR="00A2416E" w:rsidRDefault="00A2416E">
      <w:pPr>
        <w:pStyle w:val="Brdtext"/>
        <w:spacing w:before="6"/>
        <w:rPr>
          <w:sz w:val="17"/>
        </w:rPr>
      </w:pPr>
    </w:p>
    <w:p w14:paraId="4BB4C994" w14:textId="77777777" w:rsidR="00A2416E" w:rsidRDefault="00534832">
      <w:pPr>
        <w:pStyle w:val="Brdtext"/>
        <w:spacing w:line="273" w:lineRule="auto"/>
        <w:ind w:left="400"/>
        <w:jc w:val="both"/>
      </w:pPr>
      <w:r>
        <w:t>Remdamasi Degalų potvarkio Nr. 2011:346 13 straipsniu, Švedijos energetikos agentūra nustato</w:t>
      </w:r>
      <w:r>
        <w:rPr>
          <w:sz w:val="11"/>
        </w:rPr>
        <w:t>1</w:t>
      </w:r>
      <w:r>
        <w:t>, kad Švedijos energetikos agentūros reglamentas dėl pranešimų teikimo ir skaičiavimo pagal Degalų įstatymą iš dalies keičiamas ir išdėstomas taip:</w:t>
      </w:r>
    </w:p>
    <w:p w14:paraId="71A61FB5" w14:textId="77777777" w:rsidR="00A2416E" w:rsidRDefault="00534832">
      <w:pPr>
        <w:pStyle w:val="Brdtext"/>
        <w:spacing w:before="173" w:line="398" w:lineRule="auto"/>
        <w:ind w:left="400" w:right="1681"/>
        <w:jc w:val="both"/>
      </w:pPr>
      <w:r>
        <w:t>įterpiamas naujas 12a straipsnis, o šeši straipsniai – 2, 4–7, 12, 13 ir 16 straipsniai – iš dalies keičiami ir išdėstomi, kaip nurodyta toliau.</w:t>
      </w:r>
    </w:p>
    <w:p w14:paraId="0D1B6701" w14:textId="77777777" w:rsidR="00A2416E" w:rsidRDefault="00A2416E">
      <w:pPr>
        <w:pStyle w:val="Brdtext"/>
        <w:spacing w:before="6"/>
        <w:rPr>
          <w:sz w:val="16"/>
        </w:rPr>
      </w:pPr>
    </w:p>
    <w:p w14:paraId="6F4B5BC4" w14:textId="77777777" w:rsidR="00A2416E" w:rsidRDefault="00534832">
      <w:pPr>
        <w:pStyle w:val="Rubrik2"/>
        <w:spacing w:before="0"/>
        <w:ind w:left="400"/>
        <w:jc w:val="both"/>
      </w:pPr>
      <w:r>
        <w:t>Preliminariosios nuostatos ir apibrėžtys</w:t>
      </w:r>
    </w:p>
    <w:p w14:paraId="390C5634" w14:textId="77777777" w:rsidR="00A2416E" w:rsidRDefault="00534832">
      <w:pPr>
        <w:pStyle w:val="Brdtext"/>
        <w:spacing w:before="140" w:line="273" w:lineRule="auto"/>
        <w:ind w:left="400"/>
        <w:jc w:val="both"/>
      </w:pPr>
      <w:r>
        <w:rPr>
          <w:b/>
        </w:rPr>
        <w:t xml:space="preserve">2 straipsnis. </w:t>
      </w:r>
      <w:r>
        <w:t>Šiame reglamente vartojamos tokios pat sąvokos ir formuluotės, kaip Degalų įstatyme Nr. 2011:319 ir Degalų potvarkyje Nr. 2011:346. Toliau nurodyti terminai vartojami čia nurodyta prasme:</w:t>
      </w:r>
    </w:p>
    <w:p w14:paraId="2953E73A" w14:textId="77777777" w:rsidR="00A2416E" w:rsidRDefault="00534832">
      <w:pPr>
        <w:spacing w:before="3" w:line="364" w:lineRule="exact"/>
        <w:ind w:left="400" w:right="-11"/>
        <w:rPr>
          <w:sz w:val="19"/>
        </w:rPr>
      </w:pPr>
      <w:r>
        <w:rPr>
          <w:i/>
          <w:sz w:val="19"/>
        </w:rPr>
        <w:t>biokomponentas</w:t>
      </w:r>
      <w:r>
        <w:rPr>
          <w:sz w:val="19"/>
        </w:rPr>
        <w:t xml:space="preserve"> – iš biomasės pagamintas degalų komponentas; </w:t>
      </w:r>
      <w:r>
        <w:rPr>
          <w:i/>
          <w:sz w:val="19"/>
        </w:rPr>
        <w:t>iškastinis komponentas</w:t>
      </w:r>
      <w:r>
        <w:rPr>
          <w:sz w:val="19"/>
        </w:rPr>
        <w:t xml:space="preserve"> – degalų mineralinės kilmės komponentas; </w:t>
      </w:r>
      <w:r>
        <w:rPr>
          <w:i/>
          <w:sz w:val="19"/>
        </w:rPr>
        <w:t>degalų tipas</w:t>
      </w:r>
      <w:r>
        <w:rPr>
          <w:sz w:val="19"/>
        </w:rPr>
        <w:t> – degalai, kurie atitinka tam tikros klasifikacijos nuostatas pagal</w:t>
      </w:r>
    </w:p>
    <w:p w14:paraId="12DA69D9" w14:textId="77777777" w:rsidR="00A2416E" w:rsidRDefault="00534832">
      <w:pPr>
        <w:pStyle w:val="Brdtext"/>
        <w:spacing w:line="273" w:lineRule="auto"/>
        <w:ind w:left="400"/>
        <w:jc w:val="both"/>
      </w:pPr>
      <w:r>
        <w:t>Degalų įstatymo Nr. 2011:319 3–15 straipsnius arba tam tikrus nacionalinius arba tarptautinius degalų standartus, ir bet kurie kiti degalai, kurie neatitinka klasifikacijos nuostatų arba standartų, taip pat kaip degalai naudojama elektra;</w:t>
      </w:r>
    </w:p>
    <w:p w14:paraId="601B7223" w14:textId="77777777" w:rsidR="00A2416E" w:rsidRDefault="00534832">
      <w:pPr>
        <w:pStyle w:val="Brdtext"/>
        <w:spacing w:before="114" w:line="273" w:lineRule="auto"/>
        <w:ind w:left="400"/>
        <w:jc w:val="both"/>
      </w:pPr>
      <w:r>
        <w:rPr>
          <w:i/>
        </w:rPr>
        <w:t>produktas</w:t>
      </w:r>
      <w:r>
        <w:t> – teikiamas rinkai atitinkamo degalų tipo produktas. Tais atvejais, kuriais tiekėjas teikia rinkai kelis skirtingus degalų produktus, atitinkančius tą pačią specifikaciją arba standartą, reikia atskirai pranešti apie skirtingus produktus pagal produkto pavadinimus;</w:t>
      </w:r>
    </w:p>
    <w:p w14:paraId="17F68D6C" w14:textId="77777777" w:rsidR="00A2416E" w:rsidRDefault="00534832">
      <w:pPr>
        <w:pStyle w:val="Brdtext"/>
        <w:spacing w:before="118" w:line="273" w:lineRule="auto"/>
        <w:ind w:left="400"/>
        <w:jc w:val="both"/>
      </w:pPr>
      <w:r>
        <w:rPr>
          <w:i/>
        </w:rPr>
        <w:t>ankstyvojo etapo teršalų išmetimo sumažinimas</w:t>
      </w:r>
      <w:r>
        <w:t> – priemonė, skirta sumažinti išmetamam šiltnamio efektą sukeliančių dujų kiekiui, kuris susidaro iki tol, kol žaliava apdorojama perdirbimo įrenginyje arba kitame įrenginyje, skirtame iškastinio kuro komponentui gaminti.</w:t>
      </w:r>
    </w:p>
    <w:p w14:paraId="689C2081" w14:textId="77777777" w:rsidR="00A2416E" w:rsidRDefault="00534832">
      <w:pPr>
        <w:spacing w:before="107" w:line="225" w:lineRule="auto"/>
        <w:ind w:left="252" w:right="476"/>
        <w:rPr>
          <w:b/>
          <w:sz w:val="24"/>
        </w:rPr>
      </w:pPr>
      <w:r>
        <w:br w:type="column"/>
      </w:r>
      <w:r>
        <w:rPr>
          <w:b/>
          <w:sz w:val="24"/>
        </w:rPr>
        <w:t>STEMFS 2021:2</w:t>
      </w:r>
    </w:p>
    <w:p w14:paraId="4897DE83" w14:textId="77777777" w:rsidR="00A2416E" w:rsidRDefault="00534832">
      <w:pPr>
        <w:spacing w:before="60" w:line="256" w:lineRule="auto"/>
        <w:ind w:left="252" w:right="101"/>
        <w:rPr>
          <w:sz w:val="17"/>
        </w:rPr>
      </w:pPr>
      <w:r>
        <w:rPr>
          <w:sz w:val="17"/>
        </w:rPr>
        <w:t>Paskelbta 2021 m. vasario 2 d.</w:t>
      </w:r>
    </w:p>
    <w:p w14:paraId="054025C7" w14:textId="77777777" w:rsidR="00A2416E" w:rsidRDefault="00A2416E">
      <w:pPr>
        <w:spacing w:line="256" w:lineRule="auto"/>
        <w:rPr>
          <w:sz w:val="17"/>
        </w:rPr>
        <w:sectPr w:rsidR="00A2416E">
          <w:type w:val="continuous"/>
          <w:pgSz w:w="9360" w:h="13720"/>
          <w:pgMar w:top="900" w:right="580" w:bottom="280" w:left="620" w:header="720" w:footer="720" w:gutter="0"/>
          <w:cols w:num="2" w:space="720" w:equalWidth="0">
            <w:col w:w="6411" w:space="40"/>
            <w:col w:w="1709"/>
          </w:cols>
        </w:sectPr>
      </w:pPr>
    </w:p>
    <w:p w14:paraId="7F7FFE81" w14:textId="77777777" w:rsidR="00A2416E" w:rsidRDefault="00A2416E">
      <w:pPr>
        <w:pStyle w:val="Brdtext"/>
        <w:rPr>
          <w:sz w:val="20"/>
        </w:rPr>
      </w:pPr>
    </w:p>
    <w:p w14:paraId="6C53A6E7" w14:textId="77777777" w:rsidR="00A2416E" w:rsidRDefault="00A2416E">
      <w:pPr>
        <w:pStyle w:val="Brdtext"/>
        <w:spacing w:before="11"/>
        <w:rPr>
          <w:sz w:val="23"/>
        </w:rPr>
      </w:pPr>
    </w:p>
    <w:p w14:paraId="6036D87D" w14:textId="77777777" w:rsidR="00A2416E" w:rsidRDefault="0067707B">
      <w:pPr>
        <w:pStyle w:val="Brdtext"/>
        <w:spacing w:line="20" w:lineRule="exact"/>
        <w:ind w:left="390"/>
        <w:rPr>
          <w:sz w:val="2"/>
        </w:rPr>
      </w:pPr>
      <w:r>
        <w:rPr>
          <w:sz w:val="2"/>
        </w:rPr>
      </w:r>
      <w:r>
        <w:rPr>
          <w:sz w:val="2"/>
        </w:rPr>
        <w:pict w14:anchorId="079D94F6">
          <v:group id="_x0000_s1026" style="width:1in;height:1pt;mso-position-horizontal-relative:char;mso-position-vertical-relative:line" coordsize="1440,20">
            <v:line id="_x0000_s1027" style="position:absolute" from="0,10" to="1440,10" strokeweight="1pt"/>
            <w10:anchorlock/>
          </v:group>
        </w:pict>
      </w:r>
    </w:p>
    <w:p w14:paraId="772DC209" w14:textId="77777777" w:rsidR="00C763BB" w:rsidRDefault="00534832" w:rsidP="00C763BB">
      <w:pPr>
        <w:spacing w:before="31"/>
        <w:ind w:left="403" w:right="1701"/>
        <w:jc w:val="both"/>
        <w:rPr>
          <w:sz w:val="17"/>
        </w:rPr>
      </w:pPr>
      <w:r>
        <w:rPr>
          <w:sz w:val="10"/>
        </w:rPr>
        <w:t xml:space="preserve">1 </w:t>
      </w:r>
      <w:r>
        <w:rPr>
          <w:sz w:val="17"/>
        </w:rPr>
        <w:t>Žr. 2015 m. rugsėjo 9 d. Europos Parlamento ir Tarybos direktyvą (ES) 2015/1535, kuria nustatoma informacijos apie techninius reglamentus ir informacinės visuomenės paslaugų taisykles teikimo tvarka.</w:t>
      </w:r>
      <w:r>
        <w:rPr>
          <w:sz w:val="17"/>
        </w:rPr>
        <w:tab/>
      </w:r>
    </w:p>
    <w:p w14:paraId="3F7164F9" w14:textId="027B0CDF" w:rsidR="00A2416E" w:rsidRDefault="00C763BB" w:rsidP="00581354">
      <w:pPr>
        <w:spacing w:before="31"/>
        <w:ind w:left="400"/>
        <w:rPr>
          <w:rFonts w:ascii="HelveticaNeueLT Std Cn" w:hAnsi="HelveticaNeueLT Std Cn"/>
          <w:sz w:val="20"/>
        </w:rPr>
      </w:pPr>
      <w:r>
        <w:rPr>
          <w:rFonts w:ascii="HelveticaNeueLT Std Cn" w:hAnsi="HelveticaNeueLT Std Cn"/>
          <w:sz w:val="20"/>
        </w:rPr>
        <w:t xml:space="preserve">                                                                                                                                         </w:t>
      </w:r>
      <w:r w:rsidR="00534832">
        <w:rPr>
          <w:rFonts w:ascii="HelveticaNeueLT Std Cn" w:hAnsi="HelveticaNeueLT Std Cn"/>
          <w:sz w:val="20"/>
        </w:rPr>
        <w:t>1</w:t>
      </w:r>
    </w:p>
    <w:p w14:paraId="7C3B7287" w14:textId="77777777" w:rsidR="00A2416E" w:rsidRDefault="00A2416E">
      <w:pPr>
        <w:spacing w:line="222" w:lineRule="exact"/>
        <w:rPr>
          <w:rFonts w:ascii="HelveticaNeueLT Std Cn" w:hAnsi="HelveticaNeueLT Std Cn"/>
          <w:sz w:val="20"/>
        </w:rPr>
        <w:sectPr w:rsidR="00A2416E">
          <w:type w:val="continuous"/>
          <w:pgSz w:w="9360" w:h="13720"/>
          <w:pgMar w:top="900" w:right="580" w:bottom="280" w:left="620" w:header="720" w:footer="720" w:gutter="0"/>
          <w:cols w:space="720"/>
        </w:sectPr>
      </w:pPr>
    </w:p>
    <w:p w14:paraId="0FA5AF97" w14:textId="77777777" w:rsidR="00A2416E" w:rsidRDefault="00534832">
      <w:pPr>
        <w:pStyle w:val="Rubrik2"/>
        <w:spacing w:line="228" w:lineRule="auto"/>
        <w:ind w:right="19"/>
      </w:pPr>
      <w:bookmarkStart w:id="1" w:name="Rapportering"/>
      <w:bookmarkEnd w:id="1"/>
      <w:r>
        <w:lastRenderedPageBreak/>
        <w:t>STEMFS 2021:2</w:t>
      </w:r>
    </w:p>
    <w:p w14:paraId="624DE1C9" w14:textId="77777777" w:rsidR="00A2416E" w:rsidRDefault="00534832">
      <w:pPr>
        <w:spacing w:before="63"/>
        <w:ind w:left="117"/>
        <w:rPr>
          <w:b/>
          <w:sz w:val="21"/>
        </w:rPr>
      </w:pPr>
      <w:r>
        <w:br w:type="column"/>
      </w:r>
      <w:r>
        <w:rPr>
          <w:b/>
          <w:sz w:val="21"/>
        </w:rPr>
        <w:t>Pranešimų teikimas</w:t>
      </w:r>
    </w:p>
    <w:p w14:paraId="60DBC31F" w14:textId="77777777" w:rsidR="00A2416E" w:rsidRDefault="00534832">
      <w:pPr>
        <w:pStyle w:val="Liststycke"/>
        <w:numPr>
          <w:ilvl w:val="0"/>
          <w:numId w:val="5"/>
        </w:numPr>
        <w:tabs>
          <w:tab w:val="left" w:pos="308"/>
        </w:tabs>
        <w:spacing w:before="141" w:line="273" w:lineRule="auto"/>
        <w:ind w:right="438" w:firstLine="0"/>
        <w:jc w:val="both"/>
        <w:rPr>
          <w:sz w:val="19"/>
        </w:rPr>
      </w:pPr>
      <w:r>
        <w:rPr>
          <w:b/>
          <w:sz w:val="19"/>
        </w:rPr>
        <w:t xml:space="preserve">Straipsnis. </w:t>
      </w:r>
      <w:r>
        <w:rPr>
          <w:sz w:val="19"/>
        </w:rPr>
        <w:t>Pranešime apie išmetamuosius teršalus nurodomi visi degalų produktai, kuriuos pristatė degalų tiekėjas ir kuriems tais metais, su kuriais yra susijęs pranešimas, skiriamas mokestis pagal Energijos mokesčių įstatymo Nr. 1994:1776 5 skyrių, nurodant</w:t>
      </w:r>
    </w:p>
    <w:p w14:paraId="69D953B3" w14:textId="77777777" w:rsidR="00A2416E" w:rsidRDefault="00534832">
      <w:pPr>
        <w:pStyle w:val="Liststycke"/>
        <w:numPr>
          <w:ilvl w:val="0"/>
          <w:numId w:val="4"/>
        </w:numPr>
        <w:tabs>
          <w:tab w:val="left" w:pos="316"/>
        </w:tabs>
        <w:spacing w:before="69"/>
        <w:rPr>
          <w:sz w:val="19"/>
        </w:rPr>
      </w:pPr>
      <w:r>
        <w:rPr>
          <w:sz w:val="19"/>
        </w:rPr>
        <w:t>kiekį;</w:t>
      </w:r>
    </w:p>
    <w:p w14:paraId="516CF941" w14:textId="77777777" w:rsidR="00A2416E" w:rsidRDefault="00534832">
      <w:pPr>
        <w:pStyle w:val="Liststycke"/>
        <w:numPr>
          <w:ilvl w:val="0"/>
          <w:numId w:val="4"/>
        </w:numPr>
        <w:tabs>
          <w:tab w:val="left" w:pos="316"/>
        </w:tabs>
        <w:rPr>
          <w:sz w:val="19"/>
        </w:rPr>
      </w:pPr>
      <w:r>
        <w:rPr>
          <w:sz w:val="19"/>
        </w:rPr>
        <w:t>apatinį šilumingumą;</w:t>
      </w:r>
    </w:p>
    <w:p w14:paraId="5CA31CC9" w14:textId="77777777" w:rsidR="00A2416E" w:rsidRDefault="00534832">
      <w:pPr>
        <w:pStyle w:val="Liststycke"/>
        <w:numPr>
          <w:ilvl w:val="0"/>
          <w:numId w:val="4"/>
        </w:numPr>
        <w:tabs>
          <w:tab w:val="left" w:pos="316"/>
        </w:tabs>
        <w:rPr>
          <w:sz w:val="19"/>
        </w:rPr>
      </w:pPr>
      <w:r>
        <w:rPr>
          <w:sz w:val="19"/>
        </w:rPr>
        <w:t>tiekiamos elektros energijos šaltinį tais atvejais, kai elektra turi kilmės ženklą.</w:t>
      </w:r>
    </w:p>
    <w:p w14:paraId="7894339E" w14:textId="77777777" w:rsidR="00A2416E" w:rsidRDefault="00A2416E">
      <w:pPr>
        <w:pStyle w:val="Brdtext"/>
        <w:spacing w:before="5"/>
        <w:rPr>
          <w:sz w:val="22"/>
        </w:rPr>
      </w:pPr>
    </w:p>
    <w:p w14:paraId="688D241D" w14:textId="77777777" w:rsidR="00A2416E" w:rsidRDefault="00534832">
      <w:pPr>
        <w:pStyle w:val="Liststycke"/>
        <w:numPr>
          <w:ilvl w:val="0"/>
          <w:numId w:val="5"/>
        </w:numPr>
        <w:tabs>
          <w:tab w:val="left" w:pos="277"/>
        </w:tabs>
        <w:spacing w:before="0" w:line="273" w:lineRule="auto"/>
        <w:ind w:right="438" w:firstLine="0"/>
        <w:rPr>
          <w:sz w:val="19"/>
        </w:rPr>
      </w:pPr>
      <w:r>
        <w:rPr>
          <w:b/>
          <w:sz w:val="19"/>
        </w:rPr>
        <w:t xml:space="preserve">Straipsnis. </w:t>
      </w:r>
      <w:r>
        <w:rPr>
          <w:sz w:val="19"/>
        </w:rPr>
        <w:t>Pranešime apie išmetamuosius teršalus nurodomi visi iškastiniai komponentai, įtraukti į pristatomus degalų produktus pagal 4 straipsnį, nurodant:</w:t>
      </w:r>
    </w:p>
    <w:p w14:paraId="09AF6626" w14:textId="77777777" w:rsidR="00A2416E" w:rsidRDefault="00534832">
      <w:pPr>
        <w:pStyle w:val="Liststycke"/>
        <w:numPr>
          <w:ilvl w:val="0"/>
          <w:numId w:val="3"/>
        </w:numPr>
        <w:tabs>
          <w:tab w:val="left" w:pos="316"/>
        </w:tabs>
        <w:spacing w:before="96"/>
        <w:rPr>
          <w:sz w:val="19"/>
        </w:rPr>
      </w:pPr>
      <w:r>
        <w:rPr>
          <w:sz w:val="19"/>
        </w:rPr>
        <w:t>produktus, į kuriuos komponentai yra įtraukti;</w:t>
      </w:r>
    </w:p>
    <w:p w14:paraId="28EE6BB7" w14:textId="77777777" w:rsidR="00A2416E" w:rsidRDefault="00534832">
      <w:pPr>
        <w:pStyle w:val="Liststycke"/>
        <w:numPr>
          <w:ilvl w:val="0"/>
          <w:numId w:val="3"/>
        </w:numPr>
        <w:tabs>
          <w:tab w:val="left" w:pos="316"/>
        </w:tabs>
        <w:rPr>
          <w:sz w:val="19"/>
        </w:rPr>
      </w:pPr>
      <w:r>
        <w:rPr>
          <w:sz w:val="19"/>
        </w:rPr>
        <w:t>iškastinių komponentų, suskirstytų pagal žaliavų šaltinį ir procesą pagal 1 priedą, tipus;</w:t>
      </w:r>
    </w:p>
    <w:p w14:paraId="5DA70FE3" w14:textId="77777777" w:rsidR="00A2416E" w:rsidRDefault="00534832">
      <w:pPr>
        <w:pStyle w:val="Liststycke"/>
        <w:numPr>
          <w:ilvl w:val="0"/>
          <w:numId w:val="3"/>
        </w:numPr>
        <w:tabs>
          <w:tab w:val="left" w:pos="316"/>
        </w:tabs>
        <w:rPr>
          <w:sz w:val="19"/>
        </w:rPr>
      </w:pPr>
      <w:r>
        <w:rPr>
          <w:sz w:val="19"/>
        </w:rPr>
        <w:t>kiekį;</w:t>
      </w:r>
    </w:p>
    <w:p w14:paraId="6D197172" w14:textId="77777777" w:rsidR="00A2416E" w:rsidRDefault="00534832">
      <w:pPr>
        <w:pStyle w:val="Liststycke"/>
        <w:numPr>
          <w:ilvl w:val="0"/>
          <w:numId w:val="3"/>
        </w:numPr>
        <w:tabs>
          <w:tab w:val="left" w:pos="316"/>
        </w:tabs>
        <w:rPr>
          <w:sz w:val="19"/>
        </w:rPr>
      </w:pPr>
      <w:r>
        <w:rPr>
          <w:sz w:val="19"/>
        </w:rPr>
        <w:t>apatinį šilumingumą ir</w:t>
      </w:r>
    </w:p>
    <w:p w14:paraId="04221788" w14:textId="77777777" w:rsidR="00A2416E" w:rsidRDefault="00534832">
      <w:pPr>
        <w:pStyle w:val="Liststycke"/>
        <w:numPr>
          <w:ilvl w:val="0"/>
          <w:numId w:val="3"/>
        </w:numPr>
        <w:tabs>
          <w:tab w:val="left" w:pos="316"/>
        </w:tabs>
        <w:spacing w:before="69"/>
        <w:rPr>
          <w:sz w:val="19"/>
        </w:rPr>
      </w:pPr>
      <w:r>
        <w:rPr>
          <w:sz w:val="19"/>
        </w:rPr>
        <w:t>žaliavos kilmės šalį.</w:t>
      </w:r>
    </w:p>
    <w:p w14:paraId="2AED6C49" w14:textId="77777777" w:rsidR="00A2416E" w:rsidRDefault="00A2416E">
      <w:pPr>
        <w:pStyle w:val="Brdtext"/>
        <w:spacing w:before="5"/>
        <w:rPr>
          <w:sz w:val="22"/>
        </w:rPr>
      </w:pPr>
    </w:p>
    <w:p w14:paraId="716008FA" w14:textId="77777777" w:rsidR="00A2416E" w:rsidRDefault="00534832">
      <w:pPr>
        <w:pStyle w:val="Liststycke"/>
        <w:numPr>
          <w:ilvl w:val="0"/>
          <w:numId w:val="5"/>
        </w:numPr>
        <w:tabs>
          <w:tab w:val="left" w:pos="265"/>
        </w:tabs>
        <w:spacing w:before="0" w:line="273" w:lineRule="auto"/>
        <w:ind w:right="438" w:firstLine="0"/>
        <w:rPr>
          <w:sz w:val="19"/>
        </w:rPr>
      </w:pPr>
      <w:r>
        <w:rPr>
          <w:b/>
          <w:sz w:val="19"/>
        </w:rPr>
        <w:t xml:space="preserve">Straipsnis. </w:t>
      </w:r>
      <w:r>
        <w:rPr>
          <w:sz w:val="19"/>
        </w:rPr>
        <w:t>Pranešime apie išmetamuosius teršalus nurodomi visi biokomponentai, įtraukti į pristatomus degalų produktus pagal 4 straipsnį, nurodant:</w:t>
      </w:r>
    </w:p>
    <w:p w14:paraId="0C456492" w14:textId="77777777" w:rsidR="00A2416E" w:rsidRDefault="00534832">
      <w:pPr>
        <w:pStyle w:val="Liststycke"/>
        <w:numPr>
          <w:ilvl w:val="0"/>
          <w:numId w:val="2"/>
        </w:numPr>
        <w:tabs>
          <w:tab w:val="left" w:pos="316"/>
        </w:tabs>
        <w:spacing w:before="67"/>
        <w:rPr>
          <w:sz w:val="19"/>
        </w:rPr>
      </w:pPr>
      <w:r>
        <w:rPr>
          <w:sz w:val="19"/>
        </w:rPr>
        <w:t>produktus, į kuriuos biokomponentai yra įtraukti;</w:t>
      </w:r>
    </w:p>
    <w:p w14:paraId="5D2FF15B" w14:textId="77777777" w:rsidR="00A2416E" w:rsidRDefault="00534832">
      <w:pPr>
        <w:pStyle w:val="Liststycke"/>
        <w:numPr>
          <w:ilvl w:val="0"/>
          <w:numId w:val="2"/>
        </w:numPr>
        <w:tabs>
          <w:tab w:val="left" w:pos="316"/>
        </w:tabs>
        <w:rPr>
          <w:sz w:val="19"/>
        </w:rPr>
      </w:pPr>
      <w:r>
        <w:rPr>
          <w:sz w:val="19"/>
        </w:rPr>
        <w:t>biokomponento tipą;</w:t>
      </w:r>
    </w:p>
    <w:p w14:paraId="134B125E" w14:textId="77777777" w:rsidR="00A2416E" w:rsidRDefault="00534832">
      <w:pPr>
        <w:pStyle w:val="Liststycke"/>
        <w:numPr>
          <w:ilvl w:val="0"/>
          <w:numId w:val="2"/>
        </w:numPr>
        <w:tabs>
          <w:tab w:val="left" w:pos="316"/>
        </w:tabs>
        <w:rPr>
          <w:sz w:val="19"/>
        </w:rPr>
      </w:pPr>
      <w:r>
        <w:rPr>
          <w:sz w:val="19"/>
        </w:rPr>
        <w:t>kiekį;</w:t>
      </w:r>
    </w:p>
    <w:p w14:paraId="420C5F9D" w14:textId="77777777" w:rsidR="00A2416E" w:rsidRDefault="00534832">
      <w:pPr>
        <w:pStyle w:val="Liststycke"/>
        <w:numPr>
          <w:ilvl w:val="0"/>
          <w:numId w:val="2"/>
        </w:numPr>
        <w:tabs>
          <w:tab w:val="left" w:pos="316"/>
        </w:tabs>
        <w:rPr>
          <w:sz w:val="19"/>
        </w:rPr>
      </w:pPr>
      <w:r>
        <w:rPr>
          <w:sz w:val="19"/>
        </w:rPr>
        <w:t>apatinį šilumingumą;</w:t>
      </w:r>
    </w:p>
    <w:p w14:paraId="6FBCDE1A" w14:textId="77777777" w:rsidR="00A2416E" w:rsidRDefault="00534832">
      <w:pPr>
        <w:pStyle w:val="Liststycke"/>
        <w:numPr>
          <w:ilvl w:val="0"/>
          <w:numId w:val="2"/>
        </w:numPr>
        <w:tabs>
          <w:tab w:val="left" w:pos="316"/>
        </w:tabs>
        <w:spacing w:before="69"/>
        <w:rPr>
          <w:sz w:val="19"/>
        </w:rPr>
      </w:pPr>
      <w:r>
        <w:rPr>
          <w:sz w:val="19"/>
        </w:rPr>
        <w:t>žaliavas;</w:t>
      </w:r>
    </w:p>
    <w:p w14:paraId="3BA18401" w14:textId="77777777" w:rsidR="00A2416E" w:rsidRDefault="00534832">
      <w:pPr>
        <w:pStyle w:val="Liststycke"/>
        <w:numPr>
          <w:ilvl w:val="0"/>
          <w:numId w:val="2"/>
        </w:numPr>
        <w:tabs>
          <w:tab w:val="left" w:pos="316"/>
        </w:tabs>
        <w:rPr>
          <w:sz w:val="19"/>
        </w:rPr>
      </w:pPr>
      <w:r>
        <w:rPr>
          <w:sz w:val="19"/>
        </w:rPr>
        <w:t>žaliavų kilmės šalį;</w:t>
      </w:r>
    </w:p>
    <w:p w14:paraId="3E51FE3E" w14:textId="77777777" w:rsidR="00A2416E" w:rsidRDefault="00534832">
      <w:pPr>
        <w:pStyle w:val="Liststycke"/>
        <w:numPr>
          <w:ilvl w:val="0"/>
          <w:numId w:val="2"/>
        </w:numPr>
        <w:tabs>
          <w:tab w:val="left" w:pos="316"/>
        </w:tabs>
        <w:spacing w:line="252" w:lineRule="auto"/>
        <w:ind w:right="438"/>
        <w:jc w:val="both"/>
        <w:rPr>
          <w:sz w:val="19"/>
        </w:rPr>
      </w:pPr>
      <w:r>
        <w:rPr>
          <w:sz w:val="19"/>
        </w:rPr>
        <w:t>ar biokomponentai atitinka tinkamumo kriterijus, nustatytus Įstatyme Nr. 2010:598 dėl biodegalams ir skystiesiems bioproduktams taikomų tvarumo kriterijų, ir</w:t>
      </w:r>
    </w:p>
    <w:p w14:paraId="6A936F3B" w14:textId="77777777" w:rsidR="00A2416E" w:rsidRDefault="00534832">
      <w:pPr>
        <w:pStyle w:val="Liststycke"/>
        <w:numPr>
          <w:ilvl w:val="0"/>
          <w:numId w:val="2"/>
        </w:numPr>
        <w:tabs>
          <w:tab w:val="left" w:pos="316"/>
        </w:tabs>
        <w:spacing w:before="58"/>
        <w:jc w:val="both"/>
        <w:rPr>
          <w:sz w:val="19"/>
        </w:rPr>
      </w:pPr>
      <w:r>
        <w:rPr>
          <w:sz w:val="19"/>
        </w:rPr>
        <w:t>ar biokomponentai naudojami aviaciniuose degaluose.</w:t>
      </w:r>
    </w:p>
    <w:p w14:paraId="351F1B0D" w14:textId="77777777" w:rsidR="00A2416E" w:rsidRDefault="00A2416E">
      <w:pPr>
        <w:pStyle w:val="Brdtext"/>
        <w:spacing w:before="6"/>
        <w:rPr>
          <w:sz w:val="22"/>
        </w:rPr>
      </w:pPr>
    </w:p>
    <w:p w14:paraId="055D9BCA" w14:textId="77777777" w:rsidR="00A2416E" w:rsidRDefault="00534832">
      <w:pPr>
        <w:pStyle w:val="Liststycke"/>
        <w:numPr>
          <w:ilvl w:val="0"/>
          <w:numId w:val="5"/>
        </w:numPr>
        <w:tabs>
          <w:tab w:val="left" w:pos="269"/>
        </w:tabs>
        <w:spacing w:before="0" w:line="273" w:lineRule="auto"/>
        <w:ind w:right="438" w:firstLine="0"/>
        <w:jc w:val="both"/>
        <w:rPr>
          <w:sz w:val="19"/>
        </w:rPr>
      </w:pPr>
      <w:r>
        <w:rPr>
          <w:b/>
          <w:sz w:val="19"/>
        </w:rPr>
        <w:t xml:space="preserve">Straipsnis. </w:t>
      </w:r>
      <w:r>
        <w:rPr>
          <w:sz w:val="19"/>
        </w:rPr>
        <w:t>Jei kilmės šalis yra už Europos Sąjungos ar EEE ribų, tačiau nėra informacijos apie tai, kuri šalis yra kilmės šalis, pranešime apie išmetamuosius teršalus galima nurodyti, kad informacijos apie kilmės šalį nėra.</w:t>
      </w:r>
    </w:p>
    <w:p w14:paraId="732E5498" w14:textId="77777777" w:rsidR="00A2416E" w:rsidRDefault="00A2416E">
      <w:pPr>
        <w:spacing w:line="273" w:lineRule="auto"/>
        <w:jc w:val="both"/>
        <w:rPr>
          <w:sz w:val="19"/>
        </w:rPr>
        <w:sectPr w:rsidR="00A2416E">
          <w:pgSz w:w="9360" w:h="13720"/>
          <w:pgMar w:top="940" w:right="580" w:bottom="280" w:left="620" w:header="720" w:footer="720" w:gutter="0"/>
          <w:cols w:num="2" w:space="720" w:equalWidth="0">
            <w:col w:w="997" w:space="703"/>
            <w:col w:w="6460"/>
          </w:cols>
        </w:sectPr>
      </w:pPr>
    </w:p>
    <w:p w14:paraId="53703E9C" w14:textId="77777777" w:rsidR="00A2416E" w:rsidRDefault="00A2416E">
      <w:pPr>
        <w:pStyle w:val="Brdtext"/>
        <w:rPr>
          <w:sz w:val="20"/>
        </w:rPr>
      </w:pPr>
    </w:p>
    <w:p w14:paraId="141EB606" w14:textId="77777777" w:rsidR="00A2416E" w:rsidRDefault="00A2416E">
      <w:pPr>
        <w:pStyle w:val="Brdtext"/>
        <w:rPr>
          <w:sz w:val="20"/>
        </w:rPr>
      </w:pPr>
    </w:p>
    <w:p w14:paraId="7939C55D" w14:textId="77777777" w:rsidR="00A2416E" w:rsidRDefault="00A2416E">
      <w:pPr>
        <w:pStyle w:val="Brdtext"/>
        <w:rPr>
          <w:sz w:val="20"/>
        </w:rPr>
      </w:pPr>
    </w:p>
    <w:p w14:paraId="3855820A" w14:textId="77777777" w:rsidR="00A2416E" w:rsidRDefault="00A2416E">
      <w:pPr>
        <w:pStyle w:val="Brdtext"/>
        <w:rPr>
          <w:sz w:val="20"/>
        </w:rPr>
      </w:pPr>
    </w:p>
    <w:p w14:paraId="436A79D9" w14:textId="77777777" w:rsidR="00A2416E" w:rsidRDefault="00A2416E">
      <w:pPr>
        <w:pStyle w:val="Brdtext"/>
        <w:rPr>
          <w:sz w:val="20"/>
        </w:rPr>
      </w:pPr>
    </w:p>
    <w:p w14:paraId="66D146DB" w14:textId="77777777" w:rsidR="00A2416E" w:rsidRDefault="00A2416E">
      <w:pPr>
        <w:pStyle w:val="Brdtext"/>
        <w:rPr>
          <w:sz w:val="20"/>
        </w:rPr>
      </w:pPr>
    </w:p>
    <w:p w14:paraId="05983546" w14:textId="77777777" w:rsidR="00A2416E" w:rsidRDefault="00A2416E">
      <w:pPr>
        <w:pStyle w:val="Brdtext"/>
        <w:rPr>
          <w:sz w:val="20"/>
        </w:rPr>
      </w:pPr>
    </w:p>
    <w:p w14:paraId="3B407F9E" w14:textId="77777777" w:rsidR="00A2416E" w:rsidRDefault="00A2416E">
      <w:pPr>
        <w:pStyle w:val="Brdtext"/>
        <w:spacing w:before="8"/>
        <w:rPr>
          <w:sz w:val="26"/>
        </w:rPr>
      </w:pPr>
    </w:p>
    <w:p w14:paraId="346CAB4A" w14:textId="77777777" w:rsidR="00A2416E" w:rsidRDefault="00534832">
      <w:pPr>
        <w:pStyle w:val="Rubrik3"/>
        <w:spacing w:before="111"/>
      </w:pPr>
      <w:r>
        <w:t>2</w:t>
      </w:r>
    </w:p>
    <w:p w14:paraId="47F3F605" w14:textId="77777777" w:rsidR="00A2416E" w:rsidRDefault="00A2416E">
      <w:pPr>
        <w:sectPr w:rsidR="00A2416E">
          <w:type w:val="continuous"/>
          <w:pgSz w:w="9360" w:h="13720"/>
          <w:pgMar w:top="900" w:right="580" w:bottom="280" w:left="620" w:header="720" w:footer="720" w:gutter="0"/>
          <w:cols w:space="720"/>
        </w:sectPr>
      </w:pPr>
    </w:p>
    <w:p w14:paraId="75320A3C" w14:textId="77777777" w:rsidR="00A2416E" w:rsidRDefault="00534832">
      <w:pPr>
        <w:spacing w:before="63"/>
        <w:ind w:left="400"/>
        <w:jc w:val="both"/>
        <w:rPr>
          <w:b/>
          <w:sz w:val="21"/>
        </w:rPr>
      </w:pPr>
      <w:bookmarkStart w:id="2" w:name="Beräkning_av_växthusgasintensitet"/>
      <w:bookmarkEnd w:id="2"/>
      <w:r>
        <w:rPr>
          <w:b/>
          <w:sz w:val="21"/>
        </w:rPr>
        <w:lastRenderedPageBreak/>
        <w:t>Šiltnamio efektą sukeliančių dujų intensyvumo apskaičiavimas</w:t>
      </w:r>
    </w:p>
    <w:p w14:paraId="1BBF99A2" w14:textId="77777777" w:rsidR="00A2416E" w:rsidRDefault="00534832">
      <w:pPr>
        <w:pStyle w:val="Brdtext"/>
        <w:spacing w:before="141" w:line="273" w:lineRule="auto"/>
        <w:ind w:left="400" w:right="238"/>
        <w:jc w:val="both"/>
      </w:pPr>
      <w:r>
        <w:rPr>
          <w:b/>
        </w:rPr>
        <w:t xml:space="preserve">12 straipsnis. </w:t>
      </w:r>
      <w:r>
        <w:t>Skaičiuojant, kiek degalų tiekėjas sumažina šiltnamio efektą sukeliančių dujų kiekį, kaip nurodyta Degalų įstatymo Nr. 2011:319 21 straipsnyje, apskaičiuojamas šiltnamio efektą sukeliančių dujų intensyvumas pagal šią formulę:</w:t>
      </w:r>
    </w:p>
    <w:p w14:paraId="20759CD1" w14:textId="77777777" w:rsidR="00A2416E" w:rsidRDefault="00534832" w:rsidP="00C763BB">
      <w:pPr>
        <w:pStyle w:val="Brdtext"/>
        <w:spacing w:before="86" w:line="213" w:lineRule="exact"/>
        <w:ind w:left="2364" w:right="-1871"/>
        <w:jc w:val="center"/>
      </w:pPr>
      <w:r>
        <w:rPr>
          <w:color w:val="010102"/>
        </w:rPr>
        <w:t xml:space="preserve">∑ </w:t>
      </w:r>
      <w:r>
        <w:rPr>
          <w:color w:val="010102"/>
          <w:vertAlign w:val="subscript"/>
        </w:rPr>
        <w:t>x</w:t>
      </w:r>
      <w:r>
        <w:rPr>
          <w:color w:val="010102"/>
        </w:rPr>
        <w:t xml:space="preserve"> (GHGi</w:t>
      </w:r>
      <w:r>
        <w:rPr>
          <w:color w:val="010102"/>
          <w:vertAlign w:val="subscript"/>
        </w:rPr>
        <w:t>x</w:t>
      </w:r>
      <w:r>
        <w:rPr>
          <w:color w:val="010102"/>
        </w:rPr>
        <w:t>×AF×MJ</w:t>
      </w:r>
      <w:r>
        <w:rPr>
          <w:color w:val="010102"/>
          <w:vertAlign w:val="subscript"/>
        </w:rPr>
        <w:t>x</w:t>
      </w:r>
      <w:r>
        <w:rPr>
          <w:color w:val="010102"/>
        </w:rPr>
        <w:t>) – UER</w:t>
      </w:r>
    </w:p>
    <w:p w14:paraId="5B0DC3E8" w14:textId="0087CC39" w:rsidR="00A2416E" w:rsidRDefault="00534832">
      <w:pPr>
        <w:pStyle w:val="Brdtext"/>
        <w:spacing w:line="191" w:lineRule="exact"/>
        <w:ind w:left="400"/>
        <w:jc w:val="both"/>
      </w:pPr>
      <w:r>
        <w:rPr>
          <w:color w:val="010102"/>
        </w:rPr>
        <w:t>Šiltnamio efektą sukeliančių dujų intensyvumas</w:t>
      </w:r>
      <w:r>
        <w:rPr>
          <w:color w:val="010102"/>
          <w:vertAlign w:val="subscript"/>
        </w:rPr>
        <w:t>#</w:t>
      </w:r>
      <w:r>
        <w:rPr>
          <w:color w:val="010102"/>
        </w:rPr>
        <w:t xml:space="preserve"> = –––––––––––––––––––––––</w:t>
      </w:r>
    </w:p>
    <w:p w14:paraId="3A218E26" w14:textId="77777777" w:rsidR="00A2416E" w:rsidRDefault="00534832" w:rsidP="00C763BB">
      <w:pPr>
        <w:pStyle w:val="Brdtext"/>
        <w:spacing w:line="217" w:lineRule="exact"/>
        <w:ind w:left="2121" w:right="-2041"/>
        <w:jc w:val="center"/>
      </w:pPr>
      <w:r>
        <w:rPr>
          <w:color w:val="010102"/>
        </w:rPr>
        <w:t xml:space="preserve">∑ </w:t>
      </w:r>
      <w:r>
        <w:rPr>
          <w:color w:val="010102"/>
          <w:vertAlign w:val="subscript"/>
        </w:rPr>
        <w:t>x</w:t>
      </w:r>
      <w:r>
        <w:rPr>
          <w:color w:val="010102"/>
        </w:rPr>
        <w:t xml:space="preserve"> MJ</w:t>
      </w:r>
      <w:r>
        <w:rPr>
          <w:color w:val="010102"/>
          <w:vertAlign w:val="subscript"/>
        </w:rPr>
        <w:t>x</w:t>
      </w:r>
    </w:p>
    <w:p w14:paraId="34570CBD" w14:textId="77777777" w:rsidR="00A2416E" w:rsidRDefault="00A2416E">
      <w:pPr>
        <w:pStyle w:val="Brdtext"/>
        <w:spacing w:before="4"/>
        <w:rPr>
          <w:sz w:val="15"/>
        </w:rPr>
      </w:pPr>
    </w:p>
    <w:tbl>
      <w:tblPr>
        <w:tblStyle w:val="TableNormal1"/>
        <w:tblW w:w="0" w:type="auto"/>
        <w:tblInd w:w="207" w:type="dxa"/>
        <w:tblLayout w:type="fixed"/>
        <w:tblLook w:val="01E0" w:firstRow="1" w:lastRow="1" w:firstColumn="1" w:lastColumn="1" w:noHBand="0" w:noVBand="0"/>
      </w:tblPr>
      <w:tblGrid>
        <w:gridCol w:w="800"/>
        <w:gridCol w:w="5497"/>
      </w:tblGrid>
      <w:tr w:rsidR="00A2416E" w14:paraId="4CFD6340" w14:textId="77777777">
        <w:trPr>
          <w:trHeight w:val="251"/>
        </w:trPr>
        <w:tc>
          <w:tcPr>
            <w:tcW w:w="800" w:type="dxa"/>
          </w:tcPr>
          <w:p w14:paraId="0A908CB3" w14:textId="4A765909" w:rsidR="00A2416E" w:rsidRDefault="00534832">
            <w:pPr>
              <w:pStyle w:val="TableParagraph"/>
              <w:spacing w:before="0" w:line="210" w:lineRule="exact"/>
              <w:ind w:left="200"/>
              <w:rPr>
                <w:sz w:val="19"/>
              </w:rPr>
            </w:pPr>
            <w:r>
              <w:rPr>
                <w:sz w:val="19"/>
              </w:rPr>
              <w:t>#</w:t>
            </w:r>
            <w:r>
              <w:rPr>
                <w:sz w:val="19"/>
              </w:rPr>
              <w:tab/>
            </w:r>
          </w:p>
        </w:tc>
        <w:tc>
          <w:tcPr>
            <w:tcW w:w="5497" w:type="dxa"/>
          </w:tcPr>
          <w:p w14:paraId="667260ED" w14:textId="39428530" w:rsidR="00A2416E" w:rsidRDefault="00C763BB">
            <w:pPr>
              <w:pStyle w:val="TableParagraph"/>
              <w:spacing w:before="0" w:line="210" w:lineRule="exact"/>
              <w:ind w:left="85"/>
              <w:rPr>
                <w:sz w:val="19"/>
              </w:rPr>
            </w:pPr>
            <w:r>
              <w:rPr>
                <w:sz w:val="19"/>
              </w:rPr>
              <w:t>tiekėjo identifikaciniai duomenys</w:t>
            </w:r>
          </w:p>
        </w:tc>
      </w:tr>
      <w:tr w:rsidR="00A2416E" w14:paraId="66C6F643" w14:textId="77777777">
        <w:trPr>
          <w:trHeight w:val="291"/>
        </w:trPr>
        <w:tc>
          <w:tcPr>
            <w:tcW w:w="800" w:type="dxa"/>
          </w:tcPr>
          <w:p w14:paraId="2FD57175" w14:textId="77777777" w:rsidR="00A2416E" w:rsidRDefault="00534832">
            <w:pPr>
              <w:pStyle w:val="TableParagraph"/>
              <w:spacing w:before="32"/>
              <w:ind w:left="200"/>
              <w:rPr>
                <w:i/>
                <w:sz w:val="19"/>
              </w:rPr>
            </w:pPr>
            <w:r>
              <w:rPr>
                <w:i/>
                <w:sz w:val="19"/>
              </w:rPr>
              <w:t>x</w:t>
            </w:r>
          </w:p>
        </w:tc>
        <w:tc>
          <w:tcPr>
            <w:tcW w:w="5497" w:type="dxa"/>
          </w:tcPr>
          <w:p w14:paraId="2A6E5BDD" w14:textId="77777777" w:rsidR="00A2416E" w:rsidRDefault="00534832">
            <w:pPr>
              <w:pStyle w:val="TableParagraph"/>
              <w:spacing w:before="32"/>
              <w:ind w:left="85"/>
              <w:rPr>
                <w:sz w:val="19"/>
              </w:rPr>
            </w:pPr>
            <w:r>
              <w:rPr>
                <w:sz w:val="19"/>
              </w:rPr>
              <w:t>degalai, kurie pristatyti ir apie kuriuos reikia pranešti</w:t>
            </w:r>
          </w:p>
        </w:tc>
      </w:tr>
      <w:tr w:rsidR="00A2416E" w14:paraId="4EEEE19A" w14:textId="77777777">
        <w:trPr>
          <w:trHeight w:val="751"/>
        </w:trPr>
        <w:tc>
          <w:tcPr>
            <w:tcW w:w="800" w:type="dxa"/>
          </w:tcPr>
          <w:p w14:paraId="79E26564" w14:textId="77777777" w:rsidR="00A2416E" w:rsidRDefault="00534832">
            <w:pPr>
              <w:pStyle w:val="TableParagraph"/>
              <w:spacing w:before="32"/>
              <w:ind w:left="200"/>
              <w:rPr>
                <w:i/>
                <w:sz w:val="11"/>
              </w:rPr>
            </w:pPr>
            <w:r>
              <w:rPr>
                <w:i/>
                <w:sz w:val="19"/>
              </w:rPr>
              <w:t>GHGi</w:t>
            </w:r>
            <w:r>
              <w:rPr>
                <w:i/>
                <w:sz w:val="11"/>
              </w:rPr>
              <w:t>x</w:t>
            </w:r>
          </w:p>
        </w:tc>
        <w:tc>
          <w:tcPr>
            <w:tcW w:w="5497" w:type="dxa"/>
          </w:tcPr>
          <w:p w14:paraId="7D58B399" w14:textId="77777777" w:rsidR="00A2416E" w:rsidRDefault="00534832">
            <w:pPr>
              <w:pStyle w:val="TableParagraph"/>
              <w:spacing w:before="38" w:line="230" w:lineRule="auto"/>
              <w:ind w:left="85" w:right="198"/>
              <w:jc w:val="both"/>
              <w:rPr>
                <w:sz w:val="19"/>
              </w:rPr>
            </w:pPr>
            <w:r>
              <w:rPr>
                <w:sz w:val="19"/>
              </w:rPr>
              <w:t>šiltnamio efektą sukeliančių dujų suma, išreikšta g CO</w:t>
            </w:r>
            <w:r>
              <w:rPr>
                <w:sz w:val="11"/>
              </w:rPr>
              <w:t>2</w:t>
            </w:r>
            <w:r>
              <w:rPr>
                <w:sz w:val="19"/>
              </w:rPr>
              <w:t>eq/MJ pagal visus biokomponentus ir iškastinius komponentus, įtrauktus į pristatytus degalus</w:t>
            </w:r>
          </w:p>
        </w:tc>
      </w:tr>
      <w:tr w:rsidR="00A2416E" w14:paraId="5FB64182" w14:textId="77777777">
        <w:trPr>
          <w:trHeight w:val="521"/>
        </w:trPr>
        <w:tc>
          <w:tcPr>
            <w:tcW w:w="800" w:type="dxa"/>
          </w:tcPr>
          <w:p w14:paraId="3D51B5E0" w14:textId="77777777" w:rsidR="00A2416E" w:rsidRDefault="00534832">
            <w:pPr>
              <w:pStyle w:val="TableParagraph"/>
              <w:spacing w:before="32"/>
              <w:ind w:left="200"/>
              <w:rPr>
                <w:i/>
                <w:sz w:val="11"/>
              </w:rPr>
            </w:pPr>
            <w:r>
              <w:rPr>
                <w:i/>
                <w:sz w:val="19"/>
              </w:rPr>
              <w:t>MJ</w:t>
            </w:r>
            <w:r>
              <w:rPr>
                <w:i/>
                <w:sz w:val="11"/>
              </w:rPr>
              <w:t>x</w:t>
            </w:r>
          </w:p>
        </w:tc>
        <w:tc>
          <w:tcPr>
            <w:tcW w:w="5497" w:type="dxa"/>
          </w:tcPr>
          <w:p w14:paraId="02BB1F8E" w14:textId="77777777" w:rsidR="00A2416E" w:rsidRDefault="00534832">
            <w:pPr>
              <w:pStyle w:val="TableParagraph"/>
              <w:spacing w:before="32" w:line="252" w:lineRule="auto"/>
              <w:ind w:left="85" w:right="170"/>
              <w:rPr>
                <w:sz w:val="19"/>
              </w:rPr>
            </w:pPr>
            <w:r>
              <w:rPr>
                <w:sz w:val="19"/>
              </w:rPr>
              <w:t>energija, esanti iškastiniuose komponentuose ir biokomponentuose, įtrauktuose į pristatytus degalus, išreikšta megadžauliais</w:t>
            </w:r>
          </w:p>
        </w:tc>
      </w:tr>
      <w:tr w:rsidR="00A2416E" w14:paraId="5072D8FC" w14:textId="77777777">
        <w:trPr>
          <w:trHeight w:val="521"/>
        </w:trPr>
        <w:tc>
          <w:tcPr>
            <w:tcW w:w="800" w:type="dxa"/>
          </w:tcPr>
          <w:p w14:paraId="6DFBF789" w14:textId="77777777" w:rsidR="00A2416E" w:rsidRDefault="00534832">
            <w:pPr>
              <w:pStyle w:val="TableParagraph"/>
              <w:spacing w:before="32"/>
              <w:ind w:left="200"/>
              <w:rPr>
                <w:i/>
                <w:sz w:val="19"/>
              </w:rPr>
            </w:pPr>
            <w:r>
              <w:rPr>
                <w:i/>
                <w:sz w:val="19"/>
              </w:rPr>
              <w:t>AF</w:t>
            </w:r>
          </w:p>
        </w:tc>
        <w:tc>
          <w:tcPr>
            <w:tcW w:w="5497" w:type="dxa"/>
          </w:tcPr>
          <w:p w14:paraId="76543568" w14:textId="77777777" w:rsidR="00A2416E" w:rsidRDefault="00534832">
            <w:pPr>
              <w:pStyle w:val="TableParagraph"/>
              <w:spacing w:before="32"/>
              <w:ind w:left="85"/>
              <w:rPr>
                <w:sz w:val="19"/>
              </w:rPr>
            </w:pPr>
            <w:r>
              <w:rPr>
                <w:sz w:val="19"/>
              </w:rPr>
              <w:t>koregavimo koeficientai, taikomi pavarų sistemos veiksmingumui pagal toliau nurodytą</w:t>
            </w:r>
          </w:p>
          <w:p w14:paraId="1791D3B1" w14:textId="77777777" w:rsidR="00A2416E" w:rsidRDefault="00534832">
            <w:pPr>
              <w:pStyle w:val="TableParagraph"/>
              <w:spacing w:before="12"/>
              <w:ind w:left="85"/>
              <w:rPr>
                <w:sz w:val="19"/>
              </w:rPr>
            </w:pPr>
            <w:r>
              <w:rPr>
                <w:sz w:val="19"/>
              </w:rPr>
              <w:t>lentelę</w:t>
            </w:r>
          </w:p>
        </w:tc>
      </w:tr>
      <w:tr w:rsidR="00A2416E" w14:paraId="690B8266" w14:textId="77777777">
        <w:trPr>
          <w:trHeight w:val="297"/>
        </w:trPr>
        <w:tc>
          <w:tcPr>
            <w:tcW w:w="800" w:type="dxa"/>
          </w:tcPr>
          <w:p w14:paraId="60FB116A" w14:textId="77777777" w:rsidR="00A2416E" w:rsidRDefault="00534832">
            <w:pPr>
              <w:pStyle w:val="TableParagraph"/>
              <w:spacing w:before="32"/>
              <w:ind w:left="200"/>
              <w:rPr>
                <w:i/>
                <w:sz w:val="19"/>
              </w:rPr>
            </w:pPr>
            <w:r>
              <w:rPr>
                <w:i/>
                <w:sz w:val="19"/>
              </w:rPr>
              <w:t>UER</w:t>
            </w:r>
          </w:p>
        </w:tc>
        <w:tc>
          <w:tcPr>
            <w:tcW w:w="5497" w:type="dxa"/>
          </w:tcPr>
          <w:p w14:paraId="1AD7EF7E" w14:textId="77777777" w:rsidR="00A2416E" w:rsidRDefault="00534832">
            <w:pPr>
              <w:pStyle w:val="TableParagraph"/>
              <w:spacing w:before="32" w:line="245" w:lineRule="exact"/>
              <w:ind w:left="85"/>
              <w:rPr>
                <w:sz w:val="19"/>
              </w:rPr>
            </w:pPr>
            <w:r>
              <w:rPr>
                <w:sz w:val="19"/>
              </w:rPr>
              <w:t>ankstyvojo etapo teršalų išmetimo sumažinimas, išmatuotas kaip g CO</w:t>
            </w:r>
            <w:r>
              <w:rPr>
                <w:sz w:val="11"/>
              </w:rPr>
              <w:t>2</w:t>
            </w:r>
            <w:r>
              <w:rPr>
                <w:sz w:val="19"/>
              </w:rPr>
              <w:t>eq</w:t>
            </w:r>
          </w:p>
        </w:tc>
      </w:tr>
    </w:tbl>
    <w:p w14:paraId="799663C9" w14:textId="77777777" w:rsidR="00A2416E" w:rsidRDefault="00534832">
      <w:pPr>
        <w:pStyle w:val="Brdtext"/>
        <w:spacing w:before="132"/>
        <w:ind w:left="400"/>
        <w:jc w:val="both"/>
      </w:pPr>
      <w:r>
        <w:t>Išmetamųjų teršalų kiekis koreguojamas pagal pavarų sistemos veiksmingumą ir ankstyvojo etapo teršalų išmetimo sumažinimą.</w:t>
      </w:r>
    </w:p>
    <w:p w14:paraId="197F02F8" w14:textId="77777777" w:rsidR="00A2416E" w:rsidRDefault="00A2416E">
      <w:pPr>
        <w:pStyle w:val="Brdtext"/>
        <w:rPr>
          <w:sz w:val="28"/>
        </w:rPr>
      </w:pPr>
    </w:p>
    <w:tbl>
      <w:tblPr>
        <w:tblStyle w:val="TableNormal1"/>
        <w:tblW w:w="0" w:type="auto"/>
        <w:tblInd w:w="407" w:type="dxa"/>
        <w:tblLayout w:type="fixed"/>
        <w:tblLook w:val="01E0" w:firstRow="1" w:lastRow="1" w:firstColumn="1" w:lastColumn="1" w:noHBand="0" w:noVBand="0"/>
      </w:tblPr>
      <w:tblGrid>
        <w:gridCol w:w="3368"/>
        <w:gridCol w:w="1656"/>
      </w:tblGrid>
      <w:tr w:rsidR="00A2416E" w14:paraId="28F08263" w14:textId="77777777">
        <w:trPr>
          <w:trHeight w:val="325"/>
        </w:trPr>
        <w:tc>
          <w:tcPr>
            <w:tcW w:w="3368" w:type="dxa"/>
            <w:tcBorders>
              <w:top w:val="single" w:sz="4" w:space="0" w:color="000000"/>
              <w:bottom w:val="single" w:sz="4" w:space="0" w:color="000000"/>
            </w:tcBorders>
          </w:tcPr>
          <w:p w14:paraId="38A19BC4" w14:textId="77777777" w:rsidR="00A2416E" w:rsidRDefault="00534832">
            <w:pPr>
              <w:pStyle w:val="TableParagraph"/>
              <w:spacing w:before="67"/>
              <w:ind w:left="0"/>
              <w:rPr>
                <w:b/>
                <w:sz w:val="16"/>
              </w:rPr>
            </w:pPr>
            <w:r>
              <w:rPr>
                <w:b/>
                <w:sz w:val="16"/>
              </w:rPr>
              <w:t>Pagrindinė naudojimo sritis</w:t>
            </w:r>
          </w:p>
        </w:tc>
        <w:tc>
          <w:tcPr>
            <w:tcW w:w="1656" w:type="dxa"/>
            <w:tcBorders>
              <w:top w:val="single" w:sz="4" w:space="0" w:color="000000"/>
              <w:bottom w:val="single" w:sz="4" w:space="0" w:color="000000"/>
            </w:tcBorders>
          </w:tcPr>
          <w:p w14:paraId="2AE18678" w14:textId="77777777" w:rsidR="00A2416E" w:rsidRDefault="00534832">
            <w:pPr>
              <w:pStyle w:val="TableParagraph"/>
              <w:spacing w:before="67"/>
              <w:ind w:left="237"/>
              <w:rPr>
                <w:b/>
                <w:sz w:val="16"/>
              </w:rPr>
            </w:pPr>
            <w:r>
              <w:rPr>
                <w:b/>
                <w:sz w:val="16"/>
              </w:rPr>
              <w:t>Veiksmingumo koeficientas</w:t>
            </w:r>
          </w:p>
        </w:tc>
      </w:tr>
      <w:tr w:rsidR="00A2416E" w14:paraId="63DF21ED" w14:textId="77777777">
        <w:trPr>
          <w:trHeight w:val="295"/>
        </w:trPr>
        <w:tc>
          <w:tcPr>
            <w:tcW w:w="3368" w:type="dxa"/>
            <w:tcBorders>
              <w:top w:val="single" w:sz="4" w:space="0" w:color="000000"/>
            </w:tcBorders>
          </w:tcPr>
          <w:p w14:paraId="2DC6CCCF" w14:textId="77777777" w:rsidR="00A2416E" w:rsidRDefault="00534832">
            <w:pPr>
              <w:pStyle w:val="TableParagraph"/>
              <w:spacing w:before="72"/>
              <w:ind w:left="0"/>
              <w:rPr>
                <w:sz w:val="17"/>
              </w:rPr>
            </w:pPr>
            <w:r>
              <w:rPr>
                <w:sz w:val="17"/>
              </w:rPr>
              <w:t>Vidaus degimo varikliai</w:t>
            </w:r>
          </w:p>
        </w:tc>
        <w:tc>
          <w:tcPr>
            <w:tcW w:w="1656" w:type="dxa"/>
            <w:tcBorders>
              <w:top w:val="single" w:sz="4" w:space="0" w:color="000000"/>
            </w:tcBorders>
          </w:tcPr>
          <w:p w14:paraId="3EABE78F" w14:textId="4006BE70" w:rsidR="00A2416E" w:rsidRDefault="00E241AB">
            <w:pPr>
              <w:pStyle w:val="TableParagraph"/>
              <w:spacing w:before="72"/>
              <w:ind w:left="237"/>
              <w:rPr>
                <w:sz w:val="17"/>
              </w:rPr>
            </w:pPr>
            <w:r>
              <w:rPr>
                <w:sz w:val="17"/>
              </w:rPr>
              <w:t xml:space="preserve">            </w:t>
            </w:r>
            <w:r w:rsidR="00534832">
              <w:rPr>
                <w:sz w:val="17"/>
              </w:rPr>
              <w:t>1</w:t>
            </w:r>
          </w:p>
        </w:tc>
      </w:tr>
      <w:tr w:rsidR="00A2416E" w14:paraId="17A28BEE" w14:textId="77777777">
        <w:trPr>
          <w:trHeight w:val="242"/>
        </w:trPr>
        <w:tc>
          <w:tcPr>
            <w:tcW w:w="3368" w:type="dxa"/>
          </w:tcPr>
          <w:p w14:paraId="02257E28" w14:textId="77777777" w:rsidR="00A2416E" w:rsidRDefault="00534832">
            <w:pPr>
              <w:pStyle w:val="TableParagraph"/>
              <w:spacing w:before="20"/>
              <w:ind w:left="0"/>
              <w:rPr>
                <w:sz w:val="17"/>
              </w:rPr>
            </w:pPr>
            <w:r>
              <w:rPr>
                <w:sz w:val="17"/>
              </w:rPr>
              <w:t>Baterijomis varomos elektros sistemos</w:t>
            </w:r>
          </w:p>
        </w:tc>
        <w:tc>
          <w:tcPr>
            <w:tcW w:w="1656" w:type="dxa"/>
          </w:tcPr>
          <w:p w14:paraId="73657E13" w14:textId="15F5779E" w:rsidR="00A2416E" w:rsidRDefault="00E241AB">
            <w:pPr>
              <w:pStyle w:val="TableParagraph"/>
              <w:spacing w:before="20"/>
              <w:ind w:left="237"/>
              <w:rPr>
                <w:sz w:val="17"/>
              </w:rPr>
            </w:pPr>
            <w:r>
              <w:rPr>
                <w:sz w:val="17"/>
              </w:rPr>
              <w:t xml:space="preserve">         </w:t>
            </w:r>
            <w:r w:rsidR="0067707B">
              <w:rPr>
                <w:sz w:val="17"/>
              </w:rPr>
              <w:t xml:space="preserve">  </w:t>
            </w:r>
            <w:r>
              <w:rPr>
                <w:sz w:val="17"/>
              </w:rPr>
              <w:t xml:space="preserve">  </w:t>
            </w:r>
            <w:r w:rsidR="00534832">
              <w:rPr>
                <w:sz w:val="17"/>
              </w:rPr>
              <w:t>0,4</w:t>
            </w:r>
          </w:p>
        </w:tc>
      </w:tr>
      <w:tr w:rsidR="00A2416E" w14:paraId="320937A7" w14:textId="77777777" w:rsidTr="0067707B">
        <w:trPr>
          <w:trHeight w:val="270"/>
        </w:trPr>
        <w:tc>
          <w:tcPr>
            <w:tcW w:w="3368" w:type="dxa"/>
            <w:tcBorders>
              <w:bottom w:val="single" w:sz="4" w:space="0" w:color="000000"/>
            </w:tcBorders>
          </w:tcPr>
          <w:p w14:paraId="51DED897" w14:textId="4EBF47F3" w:rsidR="00A2416E" w:rsidRDefault="00534832" w:rsidP="0067707B">
            <w:pPr>
              <w:pStyle w:val="TableParagraph"/>
              <w:spacing w:before="20"/>
              <w:ind w:left="0"/>
              <w:rPr>
                <w:sz w:val="17"/>
              </w:rPr>
            </w:pPr>
            <w:r>
              <w:rPr>
                <w:sz w:val="17"/>
              </w:rPr>
              <w:t>Vandenilio elementais varomos elektrinių pavarų</w:t>
            </w:r>
            <w:r w:rsidR="0067707B">
              <w:rPr>
                <w:sz w:val="17"/>
              </w:rPr>
              <w:t xml:space="preserve"> </w:t>
            </w:r>
            <w:r>
              <w:rPr>
                <w:sz w:val="17"/>
              </w:rPr>
              <w:t>sistemos</w:t>
            </w:r>
          </w:p>
        </w:tc>
        <w:tc>
          <w:tcPr>
            <w:tcW w:w="1656" w:type="dxa"/>
            <w:tcBorders>
              <w:bottom w:val="single" w:sz="4" w:space="0" w:color="000000"/>
            </w:tcBorders>
          </w:tcPr>
          <w:p w14:paraId="6D27FC5C" w14:textId="5D324166" w:rsidR="00A2416E" w:rsidRDefault="00E241AB" w:rsidP="0067707B">
            <w:pPr>
              <w:pStyle w:val="TableParagraph"/>
              <w:spacing w:before="20"/>
              <w:rPr>
                <w:sz w:val="17"/>
              </w:rPr>
            </w:pPr>
            <w:r>
              <w:rPr>
                <w:sz w:val="17"/>
              </w:rPr>
              <w:t xml:space="preserve">            </w:t>
            </w:r>
            <w:r w:rsidR="0067707B">
              <w:rPr>
                <w:sz w:val="17"/>
              </w:rPr>
              <w:t xml:space="preserve">    </w:t>
            </w:r>
            <w:r w:rsidR="00534832">
              <w:rPr>
                <w:sz w:val="17"/>
              </w:rPr>
              <w:t>0,4</w:t>
            </w:r>
          </w:p>
        </w:tc>
      </w:tr>
    </w:tbl>
    <w:p w14:paraId="26A8E09B" w14:textId="77777777" w:rsidR="00A2416E" w:rsidRDefault="00A2416E">
      <w:pPr>
        <w:pStyle w:val="Brdtext"/>
        <w:spacing w:before="10"/>
        <w:rPr>
          <w:sz w:val="28"/>
        </w:rPr>
      </w:pPr>
    </w:p>
    <w:p w14:paraId="37BD531B" w14:textId="77777777" w:rsidR="00A2416E" w:rsidRDefault="00534832">
      <w:pPr>
        <w:pStyle w:val="Brdtext"/>
        <w:spacing w:before="1" w:line="273" w:lineRule="auto"/>
        <w:ind w:left="400" w:right="238"/>
        <w:jc w:val="both"/>
      </w:pPr>
      <w:r>
        <w:rPr>
          <w:b/>
        </w:rPr>
        <w:t xml:space="preserve">12a straipsnis. </w:t>
      </w:r>
      <w:r>
        <w:t>Rengdamas aplinkosaugos informaciją, degalų tiekėjas apskaičiuoja rinkai tiekiamų produktų šiltnamio efektą sukeliančių dujų intensyvumą pagal šią formulę:</w:t>
      </w:r>
    </w:p>
    <w:p w14:paraId="752A0082" w14:textId="77777777" w:rsidR="00A2416E" w:rsidRDefault="00534832">
      <w:pPr>
        <w:pStyle w:val="Brdtext"/>
        <w:spacing w:before="177" w:line="170" w:lineRule="auto"/>
        <w:ind w:left="400" w:right="3425" w:firstLine="808"/>
      </w:pPr>
      <w:r>
        <w:rPr>
          <w:color w:val="010102"/>
        </w:rPr>
        <w:t xml:space="preserve">∑ </w:t>
      </w:r>
      <w:r>
        <w:rPr>
          <w:color w:val="010102"/>
          <w:sz w:val="12"/>
        </w:rPr>
        <w:t xml:space="preserve">x </w:t>
      </w:r>
      <w:r>
        <w:rPr>
          <w:color w:val="010102"/>
        </w:rPr>
        <w:t>(GHGi</w:t>
      </w:r>
      <w:r>
        <w:rPr>
          <w:color w:val="010102"/>
          <w:sz w:val="12"/>
        </w:rPr>
        <w:t xml:space="preserve">x </w:t>
      </w:r>
      <w:r>
        <w:rPr>
          <w:color w:val="010102"/>
        </w:rPr>
        <w:t>× MJ</w:t>
      </w:r>
      <w:r>
        <w:rPr>
          <w:color w:val="010102"/>
          <w:sz w:val="12"/>
        </w:rPr>
        <w:t>x</w:t>
      </w:r>
      <w:r>
        <w:rPr>
          <w:color w:val="010102"/>
        </w:rPr>
        <w:t>) GHGi</w:t>
      </w:r>
      <w:r>
        <w:rPr>
          <w:color w:val="010102"/>
          <w:sz w:val="11"/>
        </w:rPr>
        <w:t xml:space="preserve">a </w:t>
      </w:r>
      <w:r>
        <w:rPr>
          <w:color w:val="010102"/>
        </w:rPr>
        <w:t>= ––––––––––––––––</w:t>
      </w:r>
    </w:p>
    <w:p w14:paraId="676262ED" w14:textId="77777777" w:rsidR="00A2416E" w:rsidRDefault="00534832">
      <w:pPr>
        <w:spacing w:line="201" w:lineRule="auto"/>
        <w:ind w:left="1610"/>
        <w:rPr>
          <w:sz w:val="12"/>
        </w:rPr>
      </w:pPr>
      <w:r>
        <w:rPr>
          <w:color w:val="010102"/>
          <w:sz w:val="19"/>
        </w:rPr>
        <w:t xml:space="preserve">∑ </w:t>
      </w:r>
      <w:r>
        <w:rPr>
          <w:color w:val="010102"/>
          <w:sz w:val="12"/>
        </w:rPr>
        <w:t xml:space="preserve">x </w:t>
      </w:r>
      <w:r>
        <w:rPr>
          <w:color w:val="010102"/>
          <w:sz w:val="19"/>
        </w:rPr>
        <w:t>MJ</w:t>
      </w:r>
      <w:r>
        <w:rPr>
          <w:color w:val="010102"/>
          <w:sz w:val="12"/>
        </w:rPr>
        <w:t>x</w:t>
      </w:r>
    </w:p>
    <w:p w14:paraId="447A06EC" w14:textId="77777777" w:rsidR="00A2416E" w:rsidRDefault="00534832">
      <w:pPr>
        <w:pStyle w:val="Rubrik2"/>
        <w:spacing w:line="228" w:lineRule="auto"/>
        <w:ind w:left="200" w:right="134"/>
      </w:pPr>
      <w:r>
        <w:br w:type="column"/>
      </w:r>
      <w:r>
        <w:t>STEMFS 2021:2</w:t>
      </w:r>
    </w:p>
    <w:p w14:paraId="186869FF" w14:textId="77777777" w:rsidR="00A2416E" w:rsidRDefault="00A2416E">
      <w:pPr>
        <w:spacing w:line="228" w:lineRule="auto"/>
        <w:sectPr w:rsidR="00A2416E">
          <w:pgSz w:w="9360" w:h="13720"/>
          <w:pgMar w:top="940" w:right="580" w:bottom="280" w:left="620" w:header="720" w:footer="720" w:gutter="0"/>
          <w:cols w:num="2" w:space="720" w:equalWidth="0">
            <w:col w:w="6538" w:space="427"/>
            <w:col w:w="1195"/>
          </w:cols>
        </w:sectPr>
      </w:pPr>
    </w:p>
    <w:p w14:paraId="78B72271" w14:textId="77777777" w:rsidR="00A2416E" w:rsidRDefault="00534832">
      <w:pPr>
        <w:pStyle w:val="Brdtext"/>
        <w:spacing w:before="129" w:after="58"/>
        <w:ind w:left="400"/>
      </w:pPr>
      <w:r>
        <w:t>Čia:</w:t>
      </w:r>
    </w:p>
    <w:tbl>
      <w:tblPr>
        <w:tblStyle w:val="TableNormal1"/>
        <w:tblW w:w="0" w:type="auto"/>
        <w:tblInd w:w="207" w:type="dxa"/>
        <w:tblLayout w:type="fixed"/>
        <w:tblLook w:val="01E0" w:firstRow="1" w:lastRow="1" w:firstColumn="1" w:lastColumn="1" w:noHBand="0" w:noVBand="0"/>
      </w:tblPr>
      <w:tblGrid>
        <w:gridCol w:w="777"/>
        <w:gridCol w:w="5495"/>
      </w:tblGrid>
      <w:tr w:rsidR="00A2416E" w14:paraId="595F037B" w14:textId="77777777">
        <w:trPr>
          <w:trHeight w:val="242"/>
        </w:trPr>
        <w:tc>
          <w:tcPr>
            <w:tcW w:w="777" w:type="dxa"/>
          </w:tcPr>
          <w:p w14:paraId="24B13BD8" w14:textId="77777777" w:rsidR="00A2416E" w:rsidRDefault="00534832">
            <w:pPr>
              <w:pStyle w:val="TableParagraph"/>
              <w:spacing w:before="0" w:line="211" w:lineRule="exact"/>
              <w:ind w:left="200"/>
              <w:rPr>
                <w:i/>
                <w:sz w:val="19"/>
              </w:rPr>
            </w:pPr>
            <w:r>
              <w:rPr>
                <w:i/>
                <w:sz w:val="19"/>
              </w:rPr>
              <w:t>a</w:t>
            </w:r>
          </w:p>
        </w:tc>
        <w:tc>
          <w:tcPr>
            <w:tcW w:w="5495" w:type="dxa"/>
          </w:tcPr>
          <w:p w14:paraId="3E518B6F" w14:textId="77777777" w:rsidR="00A2416E" w:rsidRDefault="00534832">
            <w:pPr>
              <w:pStyle w:val="TableParagraph"/>
              <w:spacing w:before="0" w:line="210" w:lineRule="exact"/>
              <w:ind w:left="57"/>
              <w:rPr>
                <w:sz w:val="19"/>
              </w:rPr>
            </w:pPr>
            <w:r>
              <w:rPr>
                <w:sz w:val="19"/>
              </w:rPr>
              <w:t>degalų produktai, kurie pristatyti ir apie kuriuos reikia pranešti</w:t>
            </w:r>
          </w:p>
        </w:tc>
      </w:tr>
      <w:tr w:rsidR="00A2416E" w14:paraId="32F5B9EE" w14:textId="77777777">
        <w:trPr>
          <w:trHeight w:val="273"/>
        </w:trPr>
        <w:tc>
          <w:tcPr>
            <w:tcW w:w="777" w:type="dxa"/>
          </w:tcPr>
          <w:p w14:paraId="2D155D93" w14:textId="77777777" w:rsidR="00A2416E" w:rsidRDefault="00534832">
            <w:pPr>
              <w:pStyle w:val="TableParagraph"/>
              <w:spacing w:before="23"/>
              <w:ind w:left="200"/>
              <w:rPr>
                <w:i/>
                <w:sz w:val="19"/>
              </w:rPr>
            </w:pPr>
            <w:r>
              <w:rPr>
                <w:i/>
                <w:sz w:val="19"/>
              </w:rPr>
              <w:t>x</w:t>
            </w:r>
          </w:p>
        </w:tc>
        <w:tc>
          <w:tcPr>
            <w:tcW w:w="5495" w:type="dxa"/>
          </w:tcPr>
          <w:p w14:paraId="27B3ACB7" w14:textId="77777777" w:rsidR="00A2416E" w:rsidRDefault="00534832">
            <w:pPr>
              <w:pStyle w:val="TableParagraph"/>
              <w:spacing w:before="23"/>
              <w:ind w:left="57"/>
              <w:rPr>
                <w:sz w:val="19"/>
              </w:rPr>
            </w:pPr>
            <w:r>
              <w:rPr>
                <w:sz w:val="19"/>
              </w:rPr>
              <w:t>produkto komponentai, apie kuriuos reikia pranešti</w:t>
            </w:r>
          </w:p>
        </w:tc>
      </w:tr>
      <w:tr w:rsidR="00A2416E" w14:paraId="64FD007D" w14:textId="77777777">
        <w:trPr>
          <w:trHeight w:val="526"/>
        </w:trPr>
        <w:tc>
          <w:tcPr>
            <w:tcW w:w="777" w:type="dxa"/>
          </w:tcPr>
          <w:p w14:paraId="17EAA3F3" w14:textId="77777777" w:rsidR="00A2416E" w:rsidRDefault="00534832">
            <w:pPr>
              <w:pStyle w:val="TableParagraph"/>
              <w:spacing w:before="23"/>
              <w:ind w:left="200"/>
              <w:rPr>
                <w:i/>
                <w:sz w:val="11"/>
              </w:rPr>
            </w:pPr>
            <w:r>
              <w:rPr>
                <w:i/>
                <w:sz w:val="19"/>
              </w:rPr>
              <w:t>GHGi</w:t>
            </w:r>
            <w:r>
              <w:rPr>
                <w:i/>
                <w:sz w:val="11"/>
              </w:rPr>
              <w:t>x</w:t>
            </w:r>
          </w:p>
        </w:tc>
        <w:tc>
          <w:tcPr>
            <w:tcW w:w="5495" w:type="dxa"/>
          </w:tcPr>
          <w:p w14:paraId="1FA05581" w14:textId="77777777" w:rsidR="00A2416E" w:rsidRDefault="00534832">
            <w:pPr>
              <w:pStyle w:val="TableParagraph"/>
              <w:spacing w:before="17" w:line="230" w:lineRule="exact"/>
              <w:ind w:left="57"/>
              <w:rPr>
                <w:sz w:val="19"/>
              </w:rPr>
            </w:pPr>
            <w:r>
              <w:rPr>
                <w:sz w:val="19"/>
              </w:rPr>
              <w:t>įtrauktų į produktą a atitinkamų komponentų šiltnamio efektą sukeliančių dujų intensyvumas, išreikštas g CO</w:t>
            </w:r>
            <w:r>
              <w:rPr>
                <w:sz w:val="11"/>
              </w:rPr>
              <w:t>2</w:t>
            </w:r>
            <w:r>
              <w:rPr>
                <w:sz w:val="19"/>
              </w:rPr>
              <w:t>eq/MJ</w:t>
            </w:r>
          </w:p>
        </w:tc>
      </w:tr>
      <w:tr w:rsidR="00A2416E" w14:paraId="473B90F4" w14:textId="77777777">
        <w:trPr>
          <w:trHeight w:val="480"/>
        </w:trPr>
        <w:tc>
          <w:tcPr>
            <w:tcW w:w="777" w:type="dxa"/>
          </w:tcPr>
          <w:p w14:paraId="5908B850" w14:textId="77777777" w:rsidR="00A2416E" w:rsidRDefault="00534832">
            <w:pPr>
              <w:pStyle w:val="TableParagraph"/>
              <w:spacing w:before="0"/>
              <w:ind w:left="200"/>
              <w:rPr>
                <w:i/>
                <w:sz w:val="11"/>
              </w:rPr>
            </w:pPr>
            <w:r>
              <w:rPr>
                <w:i/>
                <w:sz w:val="19"/>
              </w:rPr>
              <w:t>MJ</w:t>
            </w:r>
            <w:r>
              <w:rPr>
                <w:i/>
                <w:sz w:val="11"/>
              </w:rPr>
              <w:t>x</w:t>
            </w:r>
          </w:p>
        </w:tc>
        <w:tc>
          <w:tcPr>
            <w:tcW w:w="5495" w:type="dxa"/>
          </w:tcPr>
          <w:p w14:paraId="3E93CD66" w14:textId="77777777" w:rsidR="00A2416E" w:rsidRDefault="00534832">
            <w:pPr>
              <w:pStyle w:val="TableParagraph"/>
              <w:spacing w:before="0" w:line="252" w:lineRule="auto"/>
              <w:ind w:left="57"/>
              <w:rPr>
                <w:sz w:val="19"/>
              </w:rPr>
            </w:pPr>
            <w:r>
              <w:rPr>
                <w:sz w:val="19"/>
              </w:rPr>
              <w:t>energija, esanti komponentuose, įtrauktuose į produktą a, išreikšta megadžauliais</w:t>
            </w:r>
          </w:p>
        </w:tc>
      </w:tr>
      <w:tr w:rsidR="00A2416E" w14:paraId="245B7179" w14:textId="77777777">
        <w:trPr>
          <w:trHeight w:val="702"/>
        </w:trPr>
        <w:tc>
          <w:tcPr>
            <w:tcW w:w="777" w:type="dxa"/>
          </w:tcPr>
          <w:p w14:paraId="5334C4BE" w14:textId="77777777" w:rsidR="00A2416E" w:rsidRDefault="00534832">
            <w:pPr>
              <w:pStyle w:val="TableParagraph"/>
              <w:spacing w:before="23"/>
              <w:ind w:left="200"/>
              <w:rPr>
                <w:i/>
                <w:sz w:val="11"/>
              </w:rPr>
            </w:pPr>
            <w:r>
              <w:rPr>
                <w:i/>
                <w:sz w:val="19"/>
              </w:rPr>
              <w:t>GHGi</w:t>
            </w:r>
            <w:r>
              <w:rPr>
                <w:i/>
                <w:sz w:val="11"/>
              </w:rPr>
              <w:t>a</w:t>
            </w:r>
          </w:p>
        </w:tc>
        <w:tc>
          <w:tcPr>
            <w:tcW w:w="5495" w:type="dxa"/>
          </w:tcPr>
          <w:p w14:paraId="2A6CA0A4" w14:textId="77777777" w:rsidR="00A2416E" w:rsidRDefault="00534832">
            <w:pPr>
              <w:pStyle w:val="TableParagraph"/>
              <w:spacing w:before="17" w:line="230" w:lineRule="exact"/>
              <w:ind w:left="57" w:right="197"/>
              <w:jc w:val="both"/>
              <w:rPr>
                <w:sz w:val="19"/>
              </w:rPr>
            </w:pPr>
            <w:r>
              <w:rPr>
                <w:sz w:val="19"/>
              </w:rPr>
              <w:t>šiltnamio efektą sukeliančios dujos, išreikštos g CO</w:t>
            </w:r>
            <w:r>
              <w:rPr>
                <w:sz w:val="11"/>
              </w:rPr>
              <w:t>2</w:t>
            </w:r>
            <w:r>
              <w:rPr>
                <w:sz w:val="19"/>
              </w:rPr>
              <w:t>eq/MJ pagal visus biokomponentus ir iškastinius komponentus, įtrauktus į pristatytus produktus</w:t>
            </w:r>
          </w:p>
        </w:tc>
      </w:tr>
    </w:tbl>
    <w:p w14:paraId="5772BB0F" w14:textId="509F1620" w:rsidR="00A2416E" w:rsidRDefault="0067707B" w:rsidP="0067707B">
      <w:pPr>
        <w:pStyle w:val="Rubrik3"/>
        <w:ind w:left="0" w:right="155"/>
      </w:pPr>
      <w:r>
        <w:t xml:space="preserve">                                                                                                                                              </w:t>
      </w:r>
      <w:r w:rsidR="00534832">
        <w:t>3</w:t>
      </w:r>
    </w:p>
    <w:p w14:paraId="677F036A" w14:textId="77777777" w:rsidR="00A2416E" w:rsidRDefault="00A2416E">
      <w:pPr>
        <w:jc w:val="right"/>
        <w:sectPr w:rsidR="00A2416E">
          <w:type w:val="continuous"/>
          <w:pgSz w:w="9360" w:h="13720"/>
          <w:pgMar w:top="900" w:right="580" w:bottom="280" w:left="620" w:header="720" w:footer="720" w:gutter="0"/>
          <w:cols w:space="720"/>
        </w:sectPr>
      </w:pPr>
    </w:p>
    <w:p w14:paraId="0EB2F8F7" w14:textId="77777777" w:rsidR="00A2416E" w:rsidRDefault="00534832">
      <w:pPr>
        <w:spacing w:before="73" w:line="228" w:lineRule="auto"/>
        <w:ind w:left="117" w:right="19"/>
        <w:rPr>
          <w:b/>
          <w:sz w:val="21"/>
        </w:rPr>
      </w:pPr>
      <w:bookmarkStart w:id="3" w:name="Utsläppsminskning_i_tidigare_led"/>
      <w:bookmarkStart w:id="4" w:name="Ikraftträdandebestämmelser"/>
      <w:bookmarkEnd w:id="3"/>
      <w:bookmarkEnd w:id="4"/>
      <w:r>
        <w:rPr>
          <w:b/>
          <w:sz w:val="21"/>
        </w:rPr>
        <w:lastRenderedPageBreak/>
        <w:t>STEMFS 2021:2</w:t>
      </w:r>
    </w:p>
    <w:p w14:paraId="0305CE16" w14:textId="77777777" w:rsidR="00A2416E" w:rsidRDefault="00534832">
      <w:pPr>
        <w:pStyle w:val="Brdtext"/>
        <w:spacing w:before="72" w:line="273" w:lineRule="auto"/>
        <w:ind w:left="117" w:right="381"/>
        <w:jc w:val="both"/>
      </w:pPr>
      <w:r>
        <w:br w:type="column"/>
      </w:r>
      <w:r>
        <w:rPr>
          <w:b/>
        </w:rPr>
        <w:t xml:space="preserve">13 straipsnis. </w:t>
      </w:r>
      <w:r>
        <w:t>Atlikdamas skaičiavimus pagal 12 straipsnį, degalų tiekėjas apskaičiuoja išsiskiriančių iš iškastinių komponentų šiltnamio efektą sukeliančių dujų kiekį pagal 1 priede nurodytas svertines įprastas vertes.</w:t>
      </w:r>
    </w:p>
    <w:p w14:paraId="10BFD7DE" w14:textId="77777777" w:rsidR="00A2416E" w:rsidRDefault="00534832">
      <w:pPr>
        <w:pStyle w:val="Brdtext"/>
        <w:spacing w:before="115" w:line="273" w:lineRule="auto"/>
        <w:ind w:left="117" w:right="381"/>
        <w:jc w:val="both"/>
      </w:pPr>
      <w:r>
        <w:t>Atlikdamas skaičiavimus pagal 12a straipsnį, degalų tiekėjas apskaičiuoja išsiskiriančių iš iškastinių komponentų šiltnamio efektą sukeliančių dujų kiekį pagal 1 priede nurodytas įprastas konkrečių žaliavų šaltinio vertes.</w:t>
      </w:r>
    </w:p>
    <w:p w14:paraId="2AC92A22" w14:textId="77777777" w:rsidR="00A2416E" w:rsidRDefault="00A2416E">
      <w:pPr>
        <w:pStyle w:val="Brdtext"/>
        <w:spacing w:before="5"/>
        <w:rPr>
          <w:sz w:val="26"/>
        </w:rPr>
      </w:pPr>
    </w:p>
    <w:p w14:paraId="0262139A" w14:textId="77777777" w:rsidR="00A2416E" w:rsidRDefault="00534832">
      <w:pPr>
        <w:pStyle w:val="Rubrik2"/>
        <w:spacing w:before="0"/>
      </w:pPr>
      <w:r>
        <w:t>Ankstyvojo etapo teršalų išmetimo sumažinimas</w:t>
      </w:r>
    </w:p>
    <w:p w14:paraId="0796A5BC" w14:textId="77777777" w:rsidR="00A2416E" w:rsidRDefault="00534832">
      <w:pPr>
        <w:pStyle w:val="Brdtext"/>
        <w:spacing w:before="141" w:line="273" w:lineRule="auto"/>
        <w:ind w:left="117" w:right="380"/>
        <w:jc w:val="both"/>
      </w:pPr>
      <w:r>
        <w:rPr>
          <w:b/>
        </w:rPr>
        <w:t xml:space="preserve">16 straipsnis. </w:t>
      </w:r>
      <w:r>
        <w:t>Tam, kad degalų tiekėjui būtų įskaitytas ankstyvojo etapo teršalų išmetimo sumažinimas skaičiuojant šiltnamio efektą sukeliančių dujų intensyvumą pagal 12 straipsnį, degalų tiekėjas praneša Švedijos energetikos agentūrai šią informaciją:</w:t>
      </w:r>
    </w:p>
    <w:p w14:paraId="3960C5E9" w14:textId="77777777" w:rsidR="00A2416E" w:rsidRDefault="00534832">
      <w:pPr>
        <w:pStyle w:val="Liststycke"/>
        <w:numPr>
          <w:ilvl w:val="0"/>
          <w:numId w:val="1"/>
        </w:numPr>
        <w:tabs>
          <w:tab w:val="left" w:pos="316"/>
        </w:tabs>
        <w:jc w:val="both"/>
        <w:rPr>
          <w:sz w:val="19"/>
        </w:rPr>
      </w:pPr>
      <w:r>
        <w:rPr>
          <w:sz w:val="19"/>
        </w:rPr>
        <w:t>projekto pradžios data (vėlesnė nei 2011 m. sausio 1 d.);</w:t>
      </w:r>
    </w:p>
    <w:p w14:paraId="50955759" w14:textId="77777777" w:rsidR="00A2416E" w:rsidRDefault="00534832">
      <w:pPr>
        <w:pStyle w:val="Liststycke"/>
        <w:numPr>
          <w:ilvl w:val="0"/>
          <w:numId w:val="1"/>
        </w:numPr>
        <w:tabs>
          <w:tab w:val="left" w:pos="316"/>
        </w:tabs>
        <w:jc w:val="both"/>
        <w:rPr>
          <w:sz w:val="19"/>
        </w:rPr>
      </w:pPr>
      <w:r>
        <w:rPr>
          <w:sz w:val="19"/>
        </w:rPr>
        <w:t>metinis teršalų išmetimo sumažinimas, įvertintas kaip g CO</w:t>
      </w:r>
      <w:r>
        <w:rPr>
          <w:sz w:val="11"/>
        </w:rPr>
        <w:t>2</w:t>
      </w:r>
      <w:r>
        <w:rPr>
          <w:sz w:val="19"/>
        </w:rPr>
        <w:t>eq;</w:t>
      </w:r>
    </w:p>
    <w:p w14:paraId="0C44C87A" w14:textId="77777777" w:rsidR="00A2416E" w:rsidRDefault="00534832">
      <w:pPr>
        <w:pStyle w:val="Liststycke"/>
        <w:numPr>
          <w:ilvl w:val="0"/>
          <w:numId w:val="1"/>
        </w:numPr>
        <w:tabs>
          <w:tab w:val="left" w:pos="316"/>
        </w:tabs>
        <w:spacing w:before="25"/>
        <w:jc w:val="both"/>
        <w:rPr>
          <w:sz w:val="19"/>
        </w:rPr>
      </w:pPr>
      <w:r>
        <w:rPr>
          <w:sz w:val="19"/>
        </w:rPr>
        <w:t>laikotarpis, kuriuo, kaip teigiama, įvyko sumažinimas;</w:t>
      </w:r>
    </w:p>
    <w:p w14:paraId="45CBAD50" w14:textId="77777777" w:rsidR="00A2416E" w:rsidRDefault="00534832">
      <w:pPr>
        <w:pStyle w:val="Liststycke"/>
        <w:numPr>
          <w:ilvl w:val="0"/>
          <w:numId w:val="1"/>
        </w:numPr>
        <w:tabs>
          <w:tab w:val="left" w:pos="316"/>
        </w:tabs>
        <w:spacing w:line="252" w:lineRule="auto"/>
        <w:ind w:right="381"/>
        <w:jc w:val="both"/>
        <w:rPr>
          <w:sz w:val="19"/>
        </w:rPr>
      </w:pPr>
      <w:r>
        <w:rPr>
          <w:sz w:val="19"/>
        </w:rPr>
        <w:t>geografinė artimiausio išmetamųjų teršalų šaltiniui projekto vieta, nurodoma ilgumos ir platumos koordinatėmis, laipsniais iki ketvirto trupmenos skaičiaus;</w:t>
      </w:r>
    </w:p>
    <w:p w14:paraId="31C4AA5C" w14:textId="77777777" w:rsidR="00A2416E" w:rsidRDefault="00534832">
      <w:pPr>
        <w:pStyle w:val="Liststycke"/>
        <w:numPr>
          <w:ilvl w:val="0"/>
          <w:numId w:val="1"/>
        </w:numPr>
        <w:tabs>
          <w:tab w:val="left" w:pos="316"/>
        </w:tabs>
        <w:spacing w:before="65" w:line="230" w:lineRule="auto"/>
        <w:ind w:right="382"/>
        <w:jc w:val="both"/>
        <w:rPr>
          <w:sz w:val="19"/>
        </w:rPr>
      </w:pPr>
      <w:r>
        <w:rPr>
          <w:sz w:val="19"/>
        </w:rPr>
        <w:t>minimalusis standartas, taikomas metiniam išmetamųjų teršalų kiekiui prieš įrengiant mažinimo priemones, ir metiniam išmetamųjų teršalų kiekiui įrengus mažinimo priemones, skaičiuojamas pagamintų žaliavų CO</w:t>
      </w:r>
      <w:r>
        <w:rPr>
          <w:sz w:val="11"/>
        </w:rPr>
        <w:t>2</w:t>
      </w:r>
      <w:r>
        <w:rPr>
          <w:sz w:val="19"/>
        </w:rPr>
        <w:t>eq/MJ;</w:t>
      </w:r>
    </w:p>
    <w:p w14:paraId="60C84C29" w14:textId="77777777" w:rsidR="00A2416E" w:rsidRDefault="00534832">
      <w:pPr>
        <w:pStyle w:val="Liststycke"/>
        <w:numPr>
          <w:ilvl w:val="0"/>
          <w:numId w:val="1"/>
        </w:numPr>
        <w:tabs>
          <w:tab w:val="left" w:pos="316"/>
        </w:tabs>
        <w:jc w:val="both"/>
        <w:rPr>
          <w:sz w:val="19"/>
        </w:rPr>
      </w:pPr>
      <w:r>
        <w:rPr>
          <w:sz w:val="19"/>
        </w:rPr>
        <w:t>vienkartinio sertifikato numeris, pagal kurį unikaliai identifikuojama sistema ir</w:t>
      </w:r>
    </w:p>
    <w:p w14:paraId="7F1E9855" w14:textId="77777777" w:rsidR="00A2416E" w:rsidRDefault="00534832">
      <w:pPr>
        <w:pStyle w:val="Brdtext"/>
        <w:spacing w:before="12"/>
        <w:ind w:left="315"/>
        <w:jc w:val="both"/>
      </w:pPr>
      <w:r>
        <w:t>deklaruojamasis šiltnamio efektą sukeliančių dujų kiekio sumažinimas;</w:t>
      </w:r>
    </w:p>
    <w:p w14:paraId="53C6F41B" w14:textId="77777777" w:rsidR="00A2416E" w:rsidRDefault="00534832">
      <w:pPr>
        <w:pStyle w:val="Liststycke"/>
        <w:numPr>
          <w:ilvl w:val="0"/>
          <w:numId w:val="1"/>
        </w:numPr>
        <w:tabs>
          <w:tab w:val="left" w:pos="316"/>
        </w:tabs>
        <w:jc w:val="both"/>
        <w:rPr>
          <w:sz w:val="19"/>
        </w:rPr>
      </w:pPr>
      <w:r>
        <w:rPr>
          <w:sz w:val="19"/>
        </w:rPr>
        <w:t>vienkartinis skaičius, pagal kurį unikaliai identifikuojamas skaičiavimo metodas ir</w:t>
      </w:r>
    </w:p>
    <w:p w14:paraId="128F9A23" w14:textId="77777777" w:rsidR="00A2416E" w:rsidRDefault="00534832">
      <w:pPr>
        <w:pStyle w:val="Brdtext"/>
        <w:spacing w:before="11"/>
        <w:ind w:left="315"/>
        <w:jc w:val="both"/>
      </w:pPr>
      <w:r>
        <w:t>susijusi sistema.</w:t>
      </w:r>
    </w:p>
    <w:p w14:paraId="2A18DA87" w14:textId="77777777" w:rsidR="00A2416E" w:rsidRDefault="00A2416E">
      <w:pPr>
        <w:pStyle w:val="Brdtext"/>
        <w:rPr>
          <w:sz w:val="29"/>
        </w:rPr>
      </w:pPr>
    </w:p>
    <w:p w14:paraId="16842E29" w14:textId="77777777" w:rsidR="00A2416E" w:rsidRDefault="00534832">
      <w:pPr>
        <w:pStyle w:val="Rubrik2"/>
        <w:spacing w:before="0"/>
      </w:pPr>
      <w:r>
        <w:t>Įsigaliojimo nuostatos</w:t>
      </w:r>
    </w:p>
    <w:p w14:paraId="67EB8873" w14:textId="77777777" w:rsidR="00A2416E" w:rsidRDefault="00534832">
      <w:pPr>
        <w:pStyle w:val="Brdtext"/>
        <w:spacing w:before="140" w:line="460" w:lineRule="auto"/>
        <w:ind w:left="117" w:right="2287"/>
      </w:pPr>
      <w:r>
        <w:t>Šis reglamentas įsigalioja 2021 m. vasario 24 d. Švedijos energetikos agentūros vardu</w:t>
      </w:r>
    </w:p>
    <w:p w14:paraId="51DE8E66" w14:textId="77777777" w:rsidR="00A2416E" w:rsidRDefault="00A2416E">
      <w:pPr>
        <w:spacing w:line="460" w:lineRule="auto"/>
        <w:sectPr w:rsidR="00A2416E">
          <w:pgSz w:w="9360" w:h="13720"/>
          <w:pgMar w:top="940" w:right="580" w:bottom="280" w:left="620" w:header="720" w:footer="720" w:gutter="0"/>
          <w:cols w:num="2" w:space="720" w:equalWidth="0">
            <w:col w:w="997" w:space="703"/>
            <w:col w:w="6460"/>
          </w:cols>
        </w:sectPr>
      </w:pPr>
    </w:p>
    <w:p w14:paraId="6209CB19" w14:textId="77777777" w:rsidR="00A2416E" w:rsidRDefault="00A2416E">
      <w:pPr>
        <w:pStyle w:val="Brdtext"/>
        <w:spacing w:before="8"/>
        <w:rPr>
          <w:sz w:val="28"/>
        </w:rPr>
      </w:pPr>
    </w:p>
    <w:p w14:paraId="2CC17B70" w14:textId="77777777" w:rsidR="00A2416E" w:rsidRDefault="00534832">
      <w:pPr>
        <w:pStyle w:val="Brdtext"/>
        <w:spacing w:before="92"/>
        <w:ind w:left="1817"/>
      </w:pPr>
      <w:r>
        <w:t>Robert Andrén</w:t>
      </w:r>
    </w:p>
    <w:p w14:paraId="15A94D1C" w14:textId="77777777" w:rsidR="00A2416E" w:rsidRDefault="00A2416E">
      <w:pPr>
        <w:pStyle w:val="Brdtext"/>
        <w:spacing w:before="6"/>
        <w:rPr>
          <w:sz w:val="17"/>
        </w:rPr>
      </w:pPr>
    </w:p>
    <w:p w14:paraId="1AFFE159" w14:textId="77777777" w:rsidR="00A2416E" w:rsidRDefault="00534832">
      <w:pPr>
        <w:pStyle w:val="Brdtext"/>
        <w:ind w:left="3265" w:right="2636"/>
        <w:jc w:val="center"/>
      </w:pPr>
      <w:r>
        <w:t>Ulf Jonson</w:t>
      </w:r>
    </w:p>
    <w:p w14:paraId="6574D352" w14:textId="77777777" w:rsidR="00A2416E" w:rsidRDefault="00A2416E">
      <w:pPr>
        <w:pStyle w:val="Brdtext"/>
        <w:rPr>
          <w:sz w:val="20"/>
        </w:rPr>
      </w:pPr>
    </w:p>
    <w:p w14:paraId="4DDBCF46" w14:textId="77777777" w:rsidR="00A2416E" w:rsidRDefault="00A2416E">
      <w:pPr>
        <w:pStyle w:val="Brdtext"/>
        <w:rPr>
          <w:sz w:val="20"/>
        </w:rPr>
      </w:pPr>
    </w:p>
    <w:p w14:paraId="04AB8C25" w14:textId="77777777" w:rsidR="00A2416E" w:rsidRDefault="00A2416E">
      <w:pPr>
        <w:pStyle w:val="Brdtext"/>
        <w:rPr>
          <w:sz w:val="20"/>
        </w:rPr>
      </w:pPr>
    </w:p>
    <w:p w14:paraId="442C2781" w14:textId="77777777" w:rsidR="00A2416E" w:rsidRDefault="00A2416E">
      <w:pPr>
        <w:pStyle w:val="Brdtext"/>
        <w:rPr>
          <w:sz w:val="20"/>
        </w:rPr>
      </w:pPr>
    </w:p>
    <w:p w14:paraId="6CF46550" w14:textId="77777777" w:rsidR="00A2416E" w:rsidRDefault="00A2416E">
      <w:pPr>
        <w:pStyle w:val="Brdtext"/>
        <w:rPr>
          <w:sz w:val="20"/>
        </w:rPr>
      </w:pPr>
    </w:p>
    <w:p w14:paraId="76DFAC04" w14:textId="77777777" w:rsidR="00A2416E" w:rsidRDefault="00A2416E">
      <w:pPr>
        <w:pStyle w:val="Brdtext"/>
        <w:rPr>
          <w:sz w:val="20"/>
        </w:rPr>
      </w:pPr>
    </w:p>
    <w:p w14:paraId="7DD6FC54" w14:textId="77777777" w:rsidR="00A2416E" w:rsidRDefault="00A2416E">
      <w:pPr>
        <w:pStyle w:val="Brdtext"/>
        <w:rPr>
          <w:sz w:val="20"/>
        </w:rPr>
      </w:pPr>
    </w:p>
    <w:p w14:paraId="3B9B0B7E" w14:textId="77777777" w:rsidR="00A2416E" w:rsidRDefault="00A2416E">
      <w:pPr>
        <w:pStyle w:val="Brdtext"/>
        <w:rPr>
          <w:sz w:val="20"/>
        </w:rPr>
      </w:pPr>
    </w:p>
    <w:p w14:paraId="4614A6AE" w14:textId="77777777" w:rsidR="00A2416E" w:rsidRDefault="00A2416E">
      <w:pPr>
        <w:pStyle w:val="Brdtext"/>
        <w:rPr>
          <w:sz w:val="20"/>
        </w:rPr>
      </w:pPr>
    </w:p>
    <w:p w14:paraId="214B4D1C" w14:textId="77777777" w:rsidR="00A2416E" w:rsidRDefault="00A2416E">
      <w:pPr>
        <w:pStyle w:val="Brdtext"/>
        <w:rPr>
          <w:sz w:val="20"/>
        </w:rPr>
      </w:pPr>
    </w:p>
    <w:p w14:paraId="60D9F43A" w14:textId="77777777" w:rsidR="00A2416E" w:rsidRDefault="00A2416E">
      <w:pPr>
        <w:pStyle w:val="Brdtext"/>
        <w:spacing w:before="10"/>
        <w:rPr>
          <w:sz w:val="22"/>
        </w:rPr>
      </w:pPr>
    </w:p>
    <w:p w14:paraId="247B32BC" w14:textId="77777777" w:rsidR="00A2416E" w:rsidRDefault="00534832">
      <w:pPr>
        <w:pStyle w:val="Rubrik3"/>
        <w:spacing w:before="112"/>
      </w:pPr>
      <w:r>
        <w:t>4</w:t>
      </w:r>
    </w:p>
    <w:p w14:paraId="25560BB9" w14:textId="77777777" w:rsidR="00A2416E" w:rsidRDefault="00A2416E">
      <w:pPr>
        <w:sectPr w:rsidR="00A2416E">
          <w:type w:val="continuous"/>
          <w:pgSz w:w="9360" w:h="13720"/>
          <w:pgMar w:top="900" w:right="580" w:bottom="280" w:left="620" w:header="720" w:footer="720" w:gutter="0"/>
          <w:cols w:space="720"/>
        </w:sectPr>
      </w:pPr>
    </w:p>
    <w:p w14:paraId="710C7F3D" w14:textId="77777777" w:rsidR="00A2416E" w:rsidRDefault="00534832">
      <w:pPr>
        <w:spacing w:before="71"/>
        <w:ind w:right="38"/>
        <w:jc w:val="right"/>
        <w:rPr>
          <w:b/>
          <w:sz w:val="26"/>
        </w:rPr>
      </w:pPr>
      <w:bookmarkStart w:id="5" w:name="Bilaga_1"/>
      <w:bookmarkStart w:id="6" w:name="Genomsnittliga_normalvärden_för_växthusg"/>
      <w:bookmarkEnd w:id="5"/>
      <w:bookmarkEnd w:id="6"/>
      <w:r>
        <w:rPr>
          <w:b/>
          <w:sz w:val="26"/>
        </w:rPr>
        <w:lastRenderedPageBreak/>
        <w:t>1 priedas</w:t>
      </w:r>
    </w:p>
    <w:p w14:paraId="077A287F" w14:textId="77777777" w:rsidR="00A2416E" w:rsidRDefault="00A2416E">
      <w:pPr>
        <w:pStyle w:val="Brdtext"/>
        <w:spacing w:before="6"/>
        <w:rPr>
          <w:b/>
          <w:sz w:val="28"/>
        </w:rPr>
      </w:pPr>
    </w:p>
    <w:p w14:paraId="747041D0" w14:textId="77777777" w:rsidR="00A2416E" w:rsidRDefault="00534832">
      <w:pPr>
        <w:spacing w:line="228" w:lineRule="auto"/>
        <w:ind w:left="400"/>
        <w:rPr>
          <w:b/>
        </w:rPr>
      </w:pPr>
      <w:r>
        <w:rPr>
          <w:b/>
        </w:rPr>
        <w:t>Vidutinis iškastinio kuro sudedamųjų dalių šiltnamio efektą sukeliančių dujų intensyvumas per vidutinį gyvavimo ciklą</w:t>
      </w:r>
    </w:p>
    <w:p w14:paraId="1199B2D0" w14:textId="77777777" w:rsidR="00A2416E" w:rsidRDefault="00534832">
      <w:pPr>
        <w:pStyle w:val="Rubrik2"/>
        <w:spacing w:before="93" w:line="228" w:lineRule="auto"/>
        <w:ind w:left="400" w:right="134"/>
      </w:pPr>
      <w:r>
        <w:br w:type="column"/>
      </w:r>
      <w:r>
        <w:t>STEMFS 2021:2</w:t>
      </w:r>
    </w:p>
    <w:p w14:paraId="506D9EEB" w14:textId="77777777" w:rsidR="00A2416E" w:rsidRDefault="00A2416E">
      <w:pPr>
        <w:spacing w:line="228" w:lineRule="auto"/>
        <w:sectPr w:rsidR="00A2416E">
          <w:pgSz w:w="9360" w:h="13720"/>
          <w:pgMar w:top="920" w:right="580" w:bottom="280" w:left="620" w:header="720" w:footer="720" w:gutter="0"/>
          <w:cols w:num="2" w:space="720" w:equalWidth="0">
            <w:col w:w="6337" w:space="428"/>
            <w:col w:w="1395"/>
          </w:cols>
        </w:sectPr>
      </w:pPr>
    </w:p>
    <w:p w14:paraId="1876708B" w14:textId="77777777" w:rsidR="00A2416E" w:rsidRDefault="00A2416E">
      <w:pPr>
        <w:pStyle w:val="Brdtext"/>
        <w:spacing w:before="9"/>
        <w:rPr>
          <w:b/>
          <w:sz w:val="17"/>
        </w:rPr>
      </w:pPr>
    </w:p>
    <w:tbl>
      <w:tblPr>
        <w:tblStyle w:val="TableNormal1"/>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0"/>
        <w:gridCol w:w="1803"/>
        <w:gridCol w:w="1361"/>
        <w:gridCol w:w="1574"/>
      </w:tblGrid>
      <w:tr w:rsidR="00A2416E" w14:paraId="13BAB754" w14:textId="77777777">
        <w:trPr>
          <w:trHeight w:val="895"/>
        </w:trPr>
        <w:tc>
          <w:tcPr>
            <w:tcW w:w="2230" w:type="dxa"/>
            <w:tcBorders>
              <w:left w:val="nil"/>
              <w:right w:val="single" w:sz="6" w:space="0" w:color="000000"/>
            </w:tcBorders>
          </w:tcPr>
          <w:p w14:paraId="12C84FCD" w14:textId="77777777" w:rsidR="00A2416E" w:rsidRDefault="00534832">
            <w:pPr>
              <w:pStyle w:val="TableParagraph"/>
              <w:spacing w:before="67"/>
              <w:ind w:left="7"/>
              <w:rPr>
                <w:b/>
                <w:sz w:val="16"/>
              </w:rPr>
            </w:pPr>
            <w:r>
              <w:rPr>
                <w:b/>
                <w:sz w:val="16"/>
              </w:rPr>
              <w:t>Žaliavos šaltinis ir procesas</w:t>
            </w:r>
          </w:p>
        </w:tc>
        <w:tc>
          <w:tcPr>
            <w:tcW w:w="1803" w:type="dxa"/>
            <w:tcBorders>
              <w:left w:val="single" w:sz="6" w:space="0" w:color="000000"/>
              <w:right w:val="single" w:sz="6" w:space="0" w:color="000000"/>
            </w:tcBorders>
          </w:tcPr>
          <w:p w14:paraId="29AA3401" w14:textId="77777777" w:rsidR="00A2416E" w:rsidRDefault="00534832">
            <w:pPr>
              <w:pStyle w:val="TableParagraph"/>
              <w:spacing w:before="67" w:line="247" w:lineRule="auto"/>
              <w:ind w:right="113"/>
              <w:rPr>
                <w:b/>
                <w:sz w:val="16"/>
              </w:rPr>
            </w:pPr>
            <w:r>
              <w:rPr>
                <w:b/>
                <w:sz w:val="16"/>
              </w:rPr>
              <w:t>Į rinką pateikti degalai</w:t>
            </w:r>
          </w:p>
        </w:tc>
        <w:tc>
          <w:tcPr>
            <w:tcW w:w="1361" w:type="dxa"/>
            <w:tcBorders>
              <w:left w:val="single" w:sz="6" w:space="0" w:color="000000"/>
              <w:right w:val="single" w:sz="6" w:space="0" w:color="000000"/>
            </w:tcBorders>
          </w:tcPr>
          <w:p w14:paraId="0199DD9D" w14:textId="77777777" w:rsidR="00A2416E" w:rsidRDefault="00534832" w:rsidP="0067707B">
            <w:pPr>
              <w:pStyle w:val="TableParagraph"/>
              <w:spacing w:before="67" w:line="247" w:lineRule="auto"/>
              <w:ind w:left="113"/>
              <w:rPr>
                <w:b/>
                <w:sz w:val="16"/>
              </w:rPr>
            </w:pPr>
            <w:r>
              <w:rPr>
                <w:b/>
                <w:sz w:val="16"/>
              </w:rPr>
              <w:t>Gyvojo ciklo šiltnamio efektą sukeliančių dujų intensyvumas (gCO</w:t>
            </w:r>
            <w:r>
              <w:rPr>
                <w:b/>
                <w:sz w:val="9"/>
              </w:rPr>
              <w:t>2</w:t>
            </w:r>
            <w:r>
              <w:rPr>
                <w:b/>
                <w:sz w:val="16"/>
              </w:rPr>
              <w:t>eq/MJ)</w:t>
            </w:r>
          </w:p>
        </w:tc>
        <w:tc>
          <w:tcPr>
            <w:tcW w:w="1574" w:type="dxa"/>
            <w:tcBorders>
              <w:left w:val="single" w:sz="6" w:space="0" w:color="000000"/>
              <w:right w:val="nil"/>
            </w:tcBorders>
          </w:tcPr>
          <w:p w14:paraId="06D77BF2" w14:textId="77777777" w:rsidR="00A2416E" w:rsidRDefault="00534832">
            <w:pPr>
              <w:pStyle w:val="TableParagraph"/>
              <w:spacing w:before="67" w:line="247" w:lineRule="auto"/>
              <w:ind w:right="114"/>
              <w:rPr>
                <w:b/>
                <w:sz w:val="16"/>
              </w:rPr>
            </w:pPr>
            <w:r>
              <w:rPr>
                <w:b/>
                <w:sz w:val="16"/>
              </w:rPr>
              <w:t>Svorio gyvavimo ciklo šiltnamio efektą sukeliančių dujų intensyvumas (gCO</w:t>
            </w:r>
            <w:r>
              <w:rPr>
                <w:b/>
                <w:sz w:val="9"/>
              </w:rPr>
              <w:t>2</w:t>
            </w:r>
            <w:r>
              <w:rPr>
                <w:b/>
                <w:sz w:val="16"/>
              </w:rPr>
              <w:t>eq/MJ)</w:t>
            </w:r>
          </w:p>
        </w:tc>
      </w:tr>
      <w:tr w:rsidR="00A2416E" w14:paraId="3873426A" w14:textId="77777777">
        <w:trPr>
          <w:trHeight w:val="280"/>
        </w:trPr>
        <w:tc>
          <w:tcPr>
            <w:tcW w:w="2230" w:type="dxa"/>
            <w:tcBorders>
              <w:left w:val="nil"/>
              <w:bottom w:val="single" w:sz="6" w:space="0" w:color="000000"/>
              <w:right w:val="single" w:sz="6" w:space="0" w:color="000000"/>
            </w:tcBorders>
          </w:tcPr>
          <w:p w14:paraId="7D17CA45" w14:textId="77777777" w:rsidR="00A2416E" w:rsidRDefault="00534832">
            <w:pPr>
              <w:pStyle w:val="TableParagraph"/>
              <w:spacing w:before="44"/>
              <w:ind w:left="7"/>
              <w:rPr>
                <w:sz w:val="10"/>
              </w:rPr>
            </w:pPr>
            <w:r>
              <w:rPr>
                <w:sz w:val="17"/>
              </w:rPr>
              <w:t>Tradicinė žalia nafta</w:t>
            </w:r>
            <w:r>
              <w:rPr>
                <w:sz w:val="10"/>
              </w:rPr>
              <w:t>1</w:t>
            </w:r>
          </w:p>
        </w:tc>
        <w:tc>
          <w:tcPr>
            <w:tcW w:w="1803" w:type="dxa"/>
            <w:vMerge w:val="restart"/>
            <w:tcBorders>
              <w:left w:val="single" w:sz="6" w:space="0" w:color="000000"/>
              <w:bottom w:val="single" w:sz="6" w:space="0" w:color="000000"/>
              <w:right w:val="single" w:sz="6" w:space="0" w:color="000000"/>
            </w:tcBorders>
          </w:tcPr>
          <w:p w14:paraId="14B7BCD5" w14:textId="77777777" w:rsidR="00A2416E" w:rsidRDefault="00534832">
            <w:pPr>
              <w:pStyle w:val="TableParagraph"/>
              <w:spacing w:before="44"/>
              <w:rPr>
                <w:sz w:val="17"/>
              </w:rPr>
            </w:pPr>
            <w:r>
              <w:rPr>
                <w:sz w:val="17"/>
              </w:rPr>
              <w:t>Benzinas</w:t>
            </w:r>
          </w:p>
        </w:tc>
        <w:tc>
          <w:tcPr>
            <w:tcW w:w="1361" w:type="dxa"/>
            <w:tcBorders>
              <w:left w:val="single" w:sz="6" w:space="0" w:color="000000"/>
              <w:bottom w:val="single" w:sz="6" w:space="0" w:color="000000"/>
              <w:right w:val="single" w:sz="6" w:space="0" w:color="000000"/>
            </w:tcBorders>
          </w:tcPr>
          <w:p w14:paraId="67D3E7B5" w14:textId="77777777" w:rsidR="00A2416E" w:rsidRDefault="00534832">
            <w:pPr>
              <w:pStyle w:val="TableParagraph"/>
              <w:spacing w:before="44"/>
              <w:rPr>
                <w:sz w:val="17"/>
              </w:rPr>
            </w:pPr>
            <w:r>
              <w:rPr>
                <w:sz w:val="17"/>
              </w:rPr>
              <w:t>93,2</w:t>
            </w:r>
          </w:p>
        </w:tc>
        <w:tc>
          <w:tcPr>
            <w:tcW w:w="1574" w:type="dxa"/>
            <w:tcBorders>
              <w:left w:val="single" w:sz="6" w:space="0" w:color="000000"/>
              <w:bottom w:val="single" w:sz="6" w:space="0" w:color="000000"/>
              <w:right w:val="nil"/>
            </w:tcBorders>
          </w:tcPr>
          <w:p w14:paraId="476CEAA9" w14:textId="77777777" w:rsidR="00A2416E" w:rsidRDefault="00534832">
            <w:pPr>
              <w:pStyle w:val="TableParagraph"/>
              <w:spacing w:before="44"/>
              <w:rPr>
                <w:sz w:val="17"/>
              </w:rPr>
            </w:pPr>
            <w:r>
              <w:rPr>
                <w:sz w:val="17"/>
              </w:rPr>
              <w:t>93,3</w:t>
            </w:r>
          </w:p>
        </w:tc>
      </w:tr>
      <w:tr w:rsidR="00A2416E" w14:paraId="73B9A7AC" w14:textId="77777777">
        <w:trPr>
          <w:trHeight w:val="272"/>
        </w:trPr>
        <w:tc>
          <w:tcPr>
            <w:tcW w:w="2230" w:type="dxa"/>
            <w:tcBorders>
              <w:top w:val="single" w:sz="6" w:space="0" w:color="000000"/>
              <w:left w:val="nil"/>
              <w:bottom w:val="single" w:sz="6" w:space="0" w:color="000000"/>
              <w:right w:val="single" w:sz="6" w:space="0" w:color="000000"/>
            </w:tcBorders>
          </w:tcPr>
          <w:p w14:paraId="38C7C15D" w14:textId="77777777" w:rsidR="00A2416E" w:rsidRDefault="00534832">
            <w:pPr>
              <w:pStyle w:val="TableParagraph"/>
              <w:ind w:left="7"/>
              <w:rPr>
                <w:sz w:val="17"/>
              </w:rPr>
            </w:pPr>
            <w:r>
              <w:rPr>
                <w:sz w:val="17"/>
              </w:rPr>
              <w:t>Suskystintosios gamtinės dujos</w:t>
            </w:r>
          </w:p>
        </w:tc>
        <w:tc>
          <w:tcPr>
            <w:tcW w:w="1803" w:type="dxa"/>
            <w:vMerge/>
            <w:tcBorders>
              <w:top w:val="nil"/>
              <w:left w:val="single" w:sz="6" w:space="0" w:color="000000"/>
              <w:bottom w:val="single" w:sz="6" w:space="0" w:color="000000"/>
              <w:right w:val="single" w:sz="6" w:space="0" w:color="000000"/>
            </w:tcBorders>
          </w:tcPr>
          <w:p w14:paraId="6251D2FE" w14:textId="77777777" w:rsidR="00A2416E" w:rsidRDefault="00A2416E">
            <w:pPr>
              <w:rPr>
                <w:sz w:val="2"/>
                <w:szCs w:val="2"/>
              </w:rPr>
            </w:pPr>
          </w:p>
        </w:tc>
        <w:tc>
          <w:tcPr>
            <w:tcW w:w="1361" w:type="dxa"/>
            <w:tcBorders>
              <w:top w:val="single" w:sz="6" w:space="0" w:color="000000"/>
              <w:left w:val="single" w:sz="6" w:space="0" w:color="000000"/>
              <w:bottom w:val="single" w:sz="6" w:space="0" w:color="000000"/>
              <w:right w:val="single" w:sz="6" w:space="0" w:color="000000"/>
            </w:tcBorders>
          </w:tcPr>
          <w:p w14:paraId="78183BAD" w14:textId="77777777" w:rsidR="00A2416E" w:rsidRDefault="00534832">
            <w:pPr>
              <w:pStyle w:val="TableParagraph"/>
              <w:rPr>
                <w:sz w:val="17"/>
              </w:rPr>
            </w:pPr>
            <w:r>
              <w:rPr>
                <w:sz w:val="17"/>
              </w:rPr>
              <w:t>94,3</w:t>
            </w:r>
          </w:p>
        </w:tc>
        <w:tc>
          <w:tcPr>
            <w:tcW w:w="1574" w:type="dxa"/>
            <w:tcBorders>
              <w:top w:val="single" w:sz="6" w:space="0" w:color="000000"/>
              <w:left w:val="single" w:sz="6" w:space="0" w:color="000000"/>
              <w:bottom w:val="single" w:sz="6" w:space="0" w:color="000000"/>
              <w:right w:val="nil"/>
            </w:tcBorders>
          </w:tcPr>
          <w:p w14:paraId="54B66125" w14:textId="77777777" w:rsidR="00A2416E" w:rsidRDefault="00A2416E">
            <w:pPr>
              <w:pStyle w:val="TableParagraph"/>
              <w:spacing w:before="0"/>
              <w:ind w:left="0"/>
              <w:rPr>
                <w:sz w:val="16"/>
              </w:rPr>
            </w:pPr>
          </w:p>
        </w:tc>
      </w:tr>
      <w:tr w:rsidR="00A2416E" w14:paraId="4BAF8354" w14:textId="77777777">
        <w:trPr>
          <w:trHeight w:val="462"/>
        </w:trPr>
        <w:tc>
          <w:tcPr>
            <w:tcW w:w="2230" w:type="dxa"/>
            <w:tcBorders>
              <w:top w:val="single" w:sz="6" w:space="0" w:color="000000"/>
              <w:left w:val="nil"/>
              <w:bottom w:val="single" w:sz="6" w:space="0" w:color="000000"/>
              <w:right w:val="single" w:sz="6" w:space="0" w:color="000000"/>
            </w:tcBorders>
          </w:tcPr>
          <w:p w14:paraId="34626C85" w14:textId="77777777" w:rsidR="00A2416E" w:rsidRDefault="00534832">
            <w:pPr>
              <w:pStyle w:val="TableParagraph"/>
              <w:spacing w:before="41" w:line="232" w:lineRule="auto"/>
              <w:ind w:left="7" w:right="396"/>
              <w:rPr>
                <w:sz w:val="17"/>
              </w:rPr>
            </w:pPr>
            <w:r>
              <w:rPr>
                <w:sz w:val="17"/>
              </w:rPr>
              <w:t>Sintetinė alyva, gaunama iš akmens anglių</w:t>
            </w:r>
          </w:p>
        </w:tc>
        <w:tc>
          <w:tcPr>
            <w:tcW w:w="1803" w:type="dxa"/>
            <w:vMerge/>
            <w:tcBorders>
              <w:top w:val="nil"/>
              <w:left w:val="single" w:sz="6" w:space="0" w:color="000000"/>
              <w:bottom w:val="single" w:sz="6" w:space="0" w:color="000000"/>
              <w:right w:val="single" w:sz="6" w:space="0" w:color="000000"/>
            </w:tcBorders>
          </w:tcPr>
          <w:p w14:paraId="3EE9E7AF" w14:textId="77777777" w:rsidR="00A2416E" w:rsidRDefault="00A2416E">
            <w:pPr>
              <w:rPr>
                <w:sz w:val="2"/>
                <w:szCs w:val="2"/>
              </w:rPr>
            </w:pPr>
          </w:p>
        </w:tc>
        <w:tc>
          <w:tcPr>
            <w:tcW w:w="1361" w:type="dxa"/>
            <w:tcBorders>
              <w:top w:val="single" w:sz="6" w:space="0" w:color="000000"/>
              <w:left w:val="single" w:sz="6" w:space="0" w:color="000000"/>
              <w:bottom w:val="single" w:sz="6" w:space="0" w:color="000000"/>
              <w:right w:val="single" w:sz="6" w:space="0" w:color="000000"/>
            </w:tcBorders>
          </w:tcPr>
          <w:p w14:paraId="2E69F559" w14:textId="77777777" w:rsidR="00A2416E" w:rsidRDefault="00534832">
            <w:pPr>
              <w:pStyle w:val="TableParagraph"/>
              <w:rPr>
                <w:sz w:val="17"/>
              </w:rPr>
            </w:pPr>
            <w:r>
              <w:rPr>
                <w:sz w:val="17"/>
              </w:rPr>
              <w:t>172</w:t>
            </w:r>
          </w:p>
        </w:tc>
        <w:tc>
          <w:tcPr>
            <w:tcW w:w="1574" w:type="dxa"/>
            <w:tcBorders>
              <w:top w:val="single" w:sz="6" w:space="0" w:color="000000"/>
              <w:left w:val="single" w:sz="6" w:space="0" w:color="000000"/>
              <w:bottom w:val="single" w:sz="6" w:space="0" w:color="000000"/>
              <w:right w:val="nil"/>
            </w:tcBorders>
          </w:tcPr>
          <w:p w14:paraId="31F629D4" w14:textId="77777777" w:rsidR="00A2416E" w:rsidRDefault="00A2416E">
            <w:pPr>
              <w:pStyle w:val="TableParagraph"/>
              <w:spacing w:before="0"/>
              <w:ind w:left="0"/>
              <w:rPr>
                <w:sz w:val="16"/>
              </w:rPr>
            </w:pPr>
          </w:p>
        </w:tc>
      </w:tr>
      <w:tr w:rsidR="00A2416E" w14:paraId="12BEE648" w14:textId="77777777">
        <w:trPr>
          <w:trHeight w:val="272"/>
        </w:trPr>
        <w:tc>
          <w:tcPr>
            <w:tcW w:w="2230" w:type="dxa"/>
            <w:tcBorders>
              <w:top w:val="single" w:sz="6" w:space="0" w:color="000000"/>
              <w:left w:val="nil"/>
              <w:bottom w:val="single" w:sz="6" w:space="0" w:color="000000"/>
              <w:right w:val="single" w:sz="6" w:space="0" w:color="000000"/>
            </w:tcBorders>
          </w:tcPr>
          <w:p w14:paraId="274E1B23" w14:textId="77777777" w:rsidR="00A2416E" w:rsidRDefault="00534832">
            <w:pPr>
              <w:pStyle w:val="TableParagraph"/>
              <w:ind w:left="7"/>
              <w:rPr>
                <w:sz w:val="10"/>
              </w:rPr>
            </w:pPr>
            <w:r>
              <w:rPr>
                <w:sz w:val="17"/>
              </w:rPr>
              <w:t>Natūralus bitumas</w:t>
            </w:r>
            <w:r>
              <w:rPr>
                <w:sz w:val="10"/>
              </w:rPr>
              <w:t>2</w:t>
            </w:r>
          </w:p>
        </w:tc>
        <w:tc>
          <w:tcPr>
            <w:tcW w:w="1803" w:type="dxa"/>
            <w:vMerge/>
            <w:tcBorders>
              <w:top w:val="nil"/>
              <w:left w:val="single" w:sz="6" w:space="0" w:color="000000"/>
              <w:bottom w:val="single" w:sz="6" w:space="0" w:color="000000"/>
              <w:right w:val="single" w:sz="6" w:space="0" w:color="000000"/>
            </w:tcBorders>
          </w:tcPr>
          <w:p w14:paraId="7A73DD96" w14:textId="77777777" w:rsidR="00A2416E" w:rsidRDefault="00A2416E">
            <w:pPr>
              <w:rPr>
                <w:sz w:val="2"/>
                <w:szCs w:val="2"/>
              </w:rPr>
            </w:pPr>
          </w:p>
        </w:tc>
        <w:tc>
          <w:tcPr>
            <w:tcW w:w="1361" w:type="dxa"/>
            <w:tcBorders>
              <w:top w:val="single" w:sz="6" w:space="0" w:color="000000"/>
              <w:left w:val="single" w:sz="6" w:space="0" w:color="000000"/>
              <w:bottom w:val="single" w:sz="6" w:space="0" w:color="000000"/>
              <w:right w:val="single" w:sz="6" w:space="0" w:color="000000"/>
            </w:tcBorders>
          </w:tcPr>
          <w:p w14:paraId="4A08B575" w14:textId="77777777" w:rsidR="00A2416E" w:rsidRDefault="00534832">
            <w:pPr>
              <w:pStyle w:val="TableParagraph"/>
              <w:rPr>
                <w:sz w:val="17"/>
              </w:rPr>
            </w:pPr>
            <w:r>
              <w:rPr>
                <w:sz w:val="17"/>
              </w:rPr>
              <w:t>107</w:t>
            </w:r>
          </w:p>
        </w:tc>
        <w:tc>
          <w:tcPr>
            <w:tcW w:w="1574" w:type="dxa"/>
            <w:tcBorders>
              <w:top w:val="single" w:sz="6" w:space="0" w:color="000000"/>
              <w:left w:val="single" w:sz="6" w:space="0" w:color="000000"/>
              <w:bottom w:val="single" w:sz="6" w:space="0" w:color="000000"/>
              <w:right w:val="nil"/>
            </w:tcBorders>
          </w:tcPr>
          <w:p w14:paraId="4B262DFB" w14:textId="77777777" w:rsidR="00A2416E" w:rsidRDefault="00A2416E">
            <w:pPr>
              <w:pStyle w:val="TableParagraph"/>
              <w:spacing w:before="0"/>
              <w:ind w:left="0"/>
              <w:rPr>
                <w:sz w:val="16"/>
              </w:rPr>
            </w:pPr>
          </w:p>
        </w:tc>
      </w:tr>
      <w:tr w:rsidR="00A2416E" w14:paraId="417E91C6" w14:textId="77777777">
        <w:trPr>
          <w:trHeight w:val="272"/>
        </w:trPr>
        <w:tc>
          <w:tcPr>
            <w:tcW w:w="2230" w:type="dxa"/>
            <w:tcBorders>
              <w:top w:val="single" w:sz="6" w:space="0" w:color="000000"/>
              <w:left w:val="nil"/>
              <w:bottom w:val="single" w:sz="6" w:space="0" w:color="000000"/>
              <w:right w:val="single" w:sz="6" w:space="0" w:color="000000"/>
            </w:tcBorders>
          </w:tcPr>
          <w:p w14:paraId="40950171" w14:textId="77777777" w:rsidR="00A2416E" w:rsidRDefault="00534832">
            <w:pPr>
              <w:pStyle w:val="TableParagraph"/>
              <w:ind w:left="7"/>
              <w:rPr>
                <w:sz w:val="10"/>
              </w:rPr>
            </w:pPr>
            <w:r>
              <w:rPr>
                <w:sz w:val="17"/>
              </w:rPr>
              <w:t>Aliejaus skalūnas</w:t>
            </w:r>
            <w:r>
              <w:rPr>
                <w:sz w:val="10"/>
              </w:rPr>
              <w:t>3</w:t>
            </w:r>
          </w:p>
        </w:tc>
        <w:tc>
          <w:tcPr>
            <w:tcW w:w="1803" w:type="dxa"/>
            <w:vMerge/>
            <w:tcBorders>
              <w:top w:val="nil"/>
              <w:left w:val="single" w:sz="6" w:space="0" w:color="000000"/>
              <w:bottom w:val="single" w:sz="6" w:space="0" w:color="000000"/>
              <w:right w:val="single" w:sz="6" w:space="0" w:color="000000"/>
            </w:tcBorders>
          </w:tcPr>
          <w:p w14:paraId="2F65291D" w14:textId="77777777" w:rsidR="00A2416E" w:rsidRDefault="00A2416E">
            <w:pPr>
              <w:rPr>
                <w:sz w:val="2"/>
                <w:szCs w:val="2"/>
              </w:rPr>
            </w:pPr>
          </w:p>
        </w:tc>
        <w:tc>
          <w:tcPr>
            <w:tcW w:w="1361" w:type="dxa"/>
            <w:tcBorders>
              <w:top w:val="single" w:sz="6" w:space="0" w:color="000000"/>
              <w:left w:val="single" w:sz="6" w:space="0" w:color="000000"/>
              <w:bottom w:val="single" w:sz="6" w:space="0" w:color="000000"/>
              <w:right w:val="single" w:sz="6" w:space="0" w:color="000000"/>
            </w:tcBorders>
          </w:tcPr>
          <w:p w14:paraId="56E707F0" w14:textId="77777777" w:rsidR="00A2416E" w:rsidRDefault="00534832">
            <w:pPr>
              <w:pStyle w:val="TableParagraph"/>
              <w:rPr>
                <w:sz w:val="17"/>
              </w:rPr>
            </w:pPr>
            <w:r>
              <w:rPr>
                <w:sz w:val="17"/>
              </w:rPr>
              <w:t>131,3</w:t>
            </w:r>
          </w:p>
        </w:tc>
        <w:tc>
          <w:tcPr>
            <w:tcW w:w="1574" w:type="dxa"/>
            <w:tcBorders>
              <w:top w:val="single" w:sz="6" w:space="0" w:color="000000"/>
              <w:left w:val="single" w:sz="6" w:space="0" w:color="000000"/>
              <w:bottom w:val="single" w:sz="6" w:space="0" w:color="000000"/>
              <w:right w:val="nil"/>
            </w:tcBorders>
          </w:tcPr>
          <w:p w14:paraId="78286A2F" w14:textId="77777777" w:rsidR="00A2416E" w:rsidRDefault="00A2416E">
            <w:pPr>
              <w:pStyle w:val="TableParagraph"/>
              <w:spacing w:before="0"/>
              <w:ind w:left="0"/>
              <w:rPr>
                <w:sz w:val="16"/>
              </w:rPr>
            </w:pPr>
          </w:p>
        </w:tc>
      </w:tr>
      <w:tr w:rsidR="00A2416E" w14:paraId="7B1F697D" w14:textId="77777777">
        <w:trPr>
          <w:trHeight w:val="272"/>
        </w:trPr>
        <w:tc>
          <w:tcPr>
            <w:tcW w:w="2230" w:type="dxa"/>
            <w:tcBorders>
              <w:top w:val="single" w:sz="6" w:space="0" w:color="000000"/>
              <w:left w:val="nil"/>
              <w:bottom w:val="single" w:sz="6" w:space="0" w:color="000000"/>
              <w:right w:val="single" w:sz="6" w:space="0" w:color="000000"/>
            </w:tcBorders>
          </w:tcPr>
          <w:p w14:paraId="2FAB26C8" w14:textId="77777777" w:rsidR="00A2416E" w:rsidRDefault="00534832">
            <w:pPr>
              <w:pStyle w:val="TableParagraph"/>
              <w:ind w:left="7"/>
              <w:rPr>
                <w:sz w:val="10"/>
              </w:rPr>
            </w:pPr>
            <w:r>
              <w:rPr>
                <w:sz w:val="17"/>
              </w:rPr>
              <w:t>Tradicinė žalia nafta</w:t>
            </w:r>
            <w:r>
              <w:rPr>
                <w:sz w:val="10"/>
              </w:rPr>
              <w:t>1</w:t>
            </w:r>
          </w:p>
        </w:tc>
        <w:tc>
          <w:tcPr>
            <w:tcW w:w="1803" w:type="dxa"/>
            <w:vMerge w:val="restart"/>
            <w:tcBorders>
              <w:top w:val="single" w:sz="6" w:space="0" w:color="000000"/>
              <w:left w:val="single" w:sz="6" w:space="0" w:color="000000"/>
              <w:bottom w:val="single" w:sz="6" w:space="0" w:color="000000"/>
              <w:right w:val="single" w:sz="6" w:space="0" w:color="000000"/>
            </w:tcBorders>
          </w:tcPr>
          <w:p w14:paraId="53FB95EE" w14:textId="77777777" w:rsidR="00A2416E" w:rsidRDefault="00534832">
            <w:pPr>
              <w:pStyle w:val="TableParagraph"/>
              <w:rPr>
                <w:sz w:val="17"/>
              </w:rPr>
            </w:pPr>
            <w:r>
              <w:rPr>
                <w:sz w:val="17"/>
              </w:rPr>
              <w:t>Dyzelinas arba gazolis</w:t>
            </w:r>
          </w:p>
        </w:tc>
        <w:tc>
          <w:tcPr>
            <w:tcW w:w="1361" w:type="dxa"/>
            <w:tcBorders>
              <w:top w:val="single" w:sz="6" w:space="0" w:color="000000"/>
              <w:left w:val="single" w:sz="6" w:space="0" w:color="000000"/>
              <w:bottom w:val="single" w:sz="6" w:space="0" w:color="000000"/>
              <w:right w:val="single" w:sz="6" w:space="0" w:color="000000"/>
            </w:tcBorders>
          </w:tcPr>
          <w:p w14:paraId="75B3AC0A" w14:textId="77777777" w:rsidR="00A2416E" w:rsidRDefault="00534832">
            <w:pPr>
              <w:pStyle w:val="TableParagraph"/>
              <w:rPr>
                <w:sz w:val="17"/>
              </w:rPr>
            </w:pPr>
            <w:r>
              <w:rPr>
                <w:sz w:val="17"/>
              </w:rPr>
              <w:t>95</w:t>
            </w:r>
          </w:p>
        </w:tc>
        <w:tc>
          <w:tcPr>
            <w:tcW w:w="1574" w:type="dxa"/>
            <w:tcBorders>
              <w:top w:val="single" w:sz="6" w:space="0" w:color="000000"/>
              <w:left w:val="single" w:sz="6" w:space="0" w:color="000000"/>
              <w:bottom w:val="single" w:sz="6" w:space="0" w:color="000000"/>
              <w:right w:val="nil"/>
            </w:tcBorders>
          </w:tcPr>
          <w:p w14:paraId="08DC0102" w14:textId="77777777" w:rsidR="00A2416E" w:rsidRDefault="00534832">
            <w:pPr>
              <w:pStyle w:val="TableParagraph"/>
              <w:rPr>
                <w:sz w:val="17"/>
              </w:rPr>
            </w:pPr>
            <w:r>
              <w:rPr>
                <w:sz w:val="17"/>
              </w:rPr>
              <w:t>95,1</w:t>
            </w:r>
          </w:p>
        </w:tc>
      </w:tr>
      <w:tr w:rsidR="00A2416E" w14:paraId="45915519" w14:textId="77777777">
        <w:trPr>
          <w:trHeight w:val="272"/>
        </w:trPr>
        <w:tc>
          <w:tcPr>
            <w:tcW w:w="2230" w:type="dxa"/>
            <w:tcBorders>
              <w:top w:val="single" w:sz="6" w:space="0" w:color="000000"/>
              <w:left w:val="nil"/>
              <w:bottom w:val="single" w:sz="6" w:space="0" w:color="000000"/>
              <w:right w:val="single" w:sz="6" w:space="0" w:color="000000"/>
            </w:tcBorders>
          </w:tcPr>
          <w:p w14:paraId="7F1ED059" w14:textId="77777777" w:rsidR="00A2416E" w:rsidRDefault="00534832">
            <w:pPr>
              <w:pStyle w:val="TableParagraph"/>
              <w:ind w:left="7"/>
              <w:rPr>
                <w:sz w:val="17"/>
              </w:rPr>
            </w:pPr>
            <w:r>
              <w:rPr>
                <w:sz w:val="17"/>
              </w:rPr>
              <w:t>Suskystintosios gamtinės dujos</w:t>
            </w:r>
          </w:p>
        </w:tc>
        <w:tc>
          <w:tcPr>
            <w:tcW w:w="1803" w:type="dxa"/>
            <w:vMerge/>
            <w:tcBorders>
              <w:top w:val="nil"/>
              <w:left w:val="single" w:sz="6" w:space="0" w:color="000000"/>
              <w:bottom w:val="single" w:sz="6" w:space="0" w:color="000000"/>
              <w:right w:val="single" w:sz="6" w:space="0" w:color="000000"/>
            </w:tcBorders>
          </w:tcPr>
          <w:p w14:paraId="5C2BF4EB" w14:textId="77777777" w:rsidR="00A2416E" w:rsidRDefault="00A2416E">
            <w:pPr>
              <w:rPr>
                <w:sz w:val="2"/>
                <w:szCs w:val="2"/>
              </w:rPr>
            </w:pPr>
          </w:p>
        </w:tc>
        <w:tc>
          <w:tcPr>
            <w:tcW w:w="1361" w:type="dxa"/>
            <w:tcBorders>
              <w:top w:val="single" w:sz="6" w:space="0" w:color="000000"/>
              <w:left w:val="single" w:sz="6" w:space="0" w:color="000000"/>
              <w:bottom w:val="single" w:sz="6" w:space="0" w:color="000000"/>
              <w:right w:val="single" w:sz="6" w:space="0" w:color="000000"/>
            </w:tcBorders>
          </w:tcPr>
          <w:p w14:paraId="1D5FCEB0" w14:textId="77777777" w:rsidR="00A2416E" w:rsidRDefault="00534832">
            <w:pPr>
              <w:pStyle w:val="TableParagraph"/>
              <w:rPr>
                <w:sz w:val="17"/>
              </w:rPr>
            </w:pPr>
            <w:r>
              <w:rPr>
                <w:sz w:val="17"/>
              </w:rPr>
              <w:t>94,3</w:t>
            </w:r>
          </w:p>
        </w:tc>
        <w:tc>
          <w:tcPr>
            <w:tcW w:w="1574" w:type="dxa"/>
            <w:tcBorders>
              <w:top w:val="single" w:sz="6" w:space="0" w:color="000000"/>
              <w:left w:val="single" w:sz="6" w:space="0" w:color="000000"/>
              <w:bottom w:val="single" w:sz="6" w:space="0" w:color="000000"/>
              <w:right w:val="nil"/>
            </w:tcBorders>
          </w:tcPr>
          <w:p w14:paraId="7F88FE51" w14:textId="77777777" w:rsidR="00A2416E" w:rsidRDefault="00A2416E">
            <w:pPr>
              <w:pStyle w:val="TableParagraph"/>
              <w:spacing w:before="0"/>
              <w:ind w:left="0"/>
              <w:rPr>
                <w:sz w:val="16"/>
              </w:rPr>
            </w:pPr>
          </w:p>
        </w:tc>
      </w:tr>
      <w:tr w:rsidR="00A2416E" w14:paraId="4428360F" w14:textId="77777777">
        <w:trPr>
          <w:trHeight w:val="462"/>
        </w:trPr>
        <w:tc>
          <w:tcPr>
            <w:tcW w:w="2230" w:type="dxa"/>
            <w:tcBorders>
              <w:top w:val="single" w:sz="6" w:space="0" w:color="000000"/>
              <w:left w:val="nil"/>
              <w:bottom w:val="single" w:sz="6" w:space="0" w:color="000000"/>
              <w:right w:val="single" w:sz="6" w:space="0" w:color="000000"/>
            </w:tcBorders>
          </w:tcPr>
          <w:p w14:paraId="737A7AAB" w14:textId="77777777" w:rsidR="00A2416E" w:rsidRDefault="00534832">
            <w:pPr>
              <w:pStyle w:val="TableParagraph"/>
              <w:spacing w:before="41" w:line="232" w:lineRule="auto"/>
              <w:ind w:left="7" w:right="396"/>
              <w:rPr>
                <w:sz w:val="17"/>
              </w:rPr>
            </w:pPr>
            <w:r>
              <w:rPr>
                <w:sz w:val="17"/>
              </w:rPr>
              <w:t>Sintetinė alyva, gaunama iš akmens anglių</w:t>
            </w:r>
          </w:p>
        </w:tc>
        <w:tc>
          <w:tcPr>
            <w:tcW w:w="1803" w:type="dxa"/>
            <w:vMerge/>
            <w:tcBorders>
              <w:top w:val="nil"/>
              <w:left w:val="single" w:sz="6" w:space="0" w:color="000000"/>
              <w:bottom w:val="single" w:sz="6" w:space="0" w:color="000000"/>
              <w:right w:val="single" w:sz="6" w:space="0" w:color="000000"/>
            </w:tcBorders>
          </w:tcPr>
          <w:p w14:paraId="3CC0E31D" w14:textId="77777777" w:rsidR="00A2416E" w:rsidRDefault="00A2416E">
            <w:pPr>
              <w:rPr>
                <w:sz w:val="2"/>
                <w:szCs w:val="2"/>
              </w:rPr>
            </w:pPr>
          </w:p>
        </w:tc>
        <w:tc>
          <w:tcPr>
            <w:tcW w:w="1361" w:type="dxa"/>
            <w:tcBorders>
              <w:top w:val="single" w:sz="6" w:space="0" w:color="000000"/>
              <w:left w:val="single" w:sz="6" w:space="0" w:color="000000"/>
              <w:bottom w:val="single" w:sz="6" w:space="0" w:color="000000"/>
              <w:right w:val="single" w:sz="6" w:space="0" w:color="000000"/>
            </w:tcBorders>
          </w:tcPr>
          <w:p w14:paraId="4ED5A614" w14:textId="77777777" w:rsidR="00A2416E" w:rsidRDefault="00534832">
            <w:pPr>
              <w:pStyle w:val="TableParagraph"/>
              <w:rPr>
                <w:sz w:val="17"/>
              </w:rPr>
            </w:pPr>
            <w:r>
              <w:rPr>
                <w:sz w:val="17"/>
              </w:rPr>
              <w:t>172</w:t>
            </w:r>
          </w:p>
        </w:tc>
        <w:tc>
          <w:tcPr>
            <w:tcW w:w="1574" w:type="dxa"/>
            <w:tcBorders>
              <w:top w:val="single" w:sz="6" w:space="0" w:color="000000"/>
              <w:left w:val="single" w:sz="6" w:space="0" w:color="000000"/>
              <w:bottom w:val="single" w:sz="6" w:space="0" w:color="000000"/>
              <w:right w:val="nil"/>
            </w:tcBorders>
          </w:tcPr>
          <w:p w14:paraId="75511F3C" w14:textId="77777777" w:rsidR="00A2416E" w:rsidRDefault="00A2416E">
            <w:pPr>
              <w:pStyle w:val="TableParagraph"/>
              <w:spacing w:before="0"/>
              <w:ind w:left="0"/>
              <w:rPr>
                <w:sz w:val="16"/>
              </w:rPr>
            </w:pPr>
          </w:p>
        </w:tc>
      </w:tr>
      <w:tr w:rsidR="00A2416E" w14:paraId="70AAD108" w14:textId="77777777">
        <w:trPr>
          <w:trHeight w:val="272"/>
        </w:trPr>
        <w:tc>
          <w:tcPr>
            <w:tcW w:w="2230" w:type="dxa"/>
            <w:tcBorders>
              <w:top w:val="single" w:sz="6" w:space="0" w:color="000000"/>
              <w:left w:val="nil"/>
              <w:bottom w:val="single" w:sz="6" w:space="0" w:color="000000"/>
              <w:right w:val="single" w:sz="6" w:space="0" w:color="000000"/>
            </w:tcBorders>
          </w:tcPr>
          <w:p w14:paraId="55AEC1A1" w14:textId="77777777" w:rsidR="00A2416E" w:rsidRDefault="00534832">
            <w:pPr>
              <w:pStyle w:val="TableParagraph"/>
              <w:ind w:left="7"/>
              <w:rPr>
                <w:sz w:val="10"/>
              </w:rPr>
            </w:pPr>
            <w:r>
              <w:rPr>
                <w:sz w:val="17"/>
              </w:rPr>
              <w:t>Natūralus bitumas</w:t>
            </w:r>
            <w:r>
              <w:rPr>
                <w:sz w:val="10"/>
              </w:rPr>
              <w:t>2</w:t>
            </w:r>
          </w:p>
        </w:tc>
        <w:tc>
          <w:tcPr>
            <w:tcW w:w="1803" w:type="dxa"/>
            <w:vMerge/>
            <w:tcBorders>
              <w:top w:val="nil"/>
              <w:left w:val="single" w:sz="6" w:space="0" w:color="000000"/>
              <w:bottom w:val="single" w:sz="6" w:space="0" w:color="000000"/>
              <w:right w:val="single" w:sz="6" w:space="0" w:color="000000"/>
            </w:tcBorders>
          </w:tcPr>
          <w:p w14:paraId="2C4711B6" w14:textId="77777777" w:rsidR="00A2416E" w:rsidRDefault="00A2416E">
            <w:pPr>
              <w:rPr>
                <w:sz w:val="2"/>
                <w:szCs w:val="2"/>
              </w:rPr>
            </w:pPr>
          </w:p>
        </w:tc>
        <w:tc>
          <w:tcPr>
            <w:tcW w:w="1361" w:type="dxa"/>
            <w:tcBorders>
              <w:top w:val="single" w:sz="6" w:space="0" w:color="000000"/>
              <w:left w:val="single" w:sz="6" w:space="0" w:color="000000"/>
              <w:bottom w:val="single" w:sz="6" w:space="0" w:color="000000"/>
              <w:right w:val="single" w:sz="6" w:space="0" w:color="000000"/>
            </w:tcBorders>
          </w:tcPr>
          <w:p w14:paraId="3D7F2CE3" w14:textId="77777777" w:rsidR="00A2416E" w:rsidRDefault="00534832">
            <w:pPr>
              <w:pStyle w:val="TableParagraph"/>
              <w:rPr>
                <w:sz w:val="17"/>
              </w:rPr>
            </w:pPr>
            <w:r>
              <w:rPr>
                <w:sz w:val="17"/>
              </w:rPr>
              <w:t>108,5</w:t>
            </w:r>
          </w:p>
        </w:tc>
        <w:tc>
          <w:tcPr>
            <w:tcW w:w="1574" w:type="dxa"/>
            <w:tcBorders>
              <w:top w:val="single" w:sz="6" w:space="0" w:color="000000"/>
              <w:left w:val="single" w:sz="6" w:space="0" w:color="000000"/>
              <w:bottom w:val="single" w:sz="6" w:space="0" w:color="000000"/>
              <w:right w:val="nil"/>
            </w:tcBorders>
          </w:tcPr>
          <w:p w14:paraId="52E9DC07" w14:textId="77777777" w:rsidR="00A2416E" w:rsidRDefault="00A2416E">
            <w:pPr>
              <w:pStyle w:val="TableParagraph"/>
              <w:spacing w:before="0"/>
              <w:ind w:left="0"/>
              <w:rPr>
                <w:sz w:val="16"/>
              </w:rPr>
            </w:pPr>
          </w:p>
        </w:tc>
      </w:tr>
      <w:tr w:rsidR="00A2416E" w14:paraId="676BFD6A" w14:textId="77777777">
        <w:trPr>
          <w:trHeight w:val="272"/>
        </w:trPr>
        <w:tc>
          <w:tcPr>
            <w:tcW w:w="2230" w:type="dxa"/>
            <w:tcBorders>
              <w:top w:val="single" w:sz="6" w:space="0" w:color="000000"/>
              <w:left w:val="nil"/>
              <w:bottom w:val="single" w:sz="6" w:space="0" w:color="000000"/>
              <w:right w:val="single" w:sz="6" w:space="0" w:color="000000"/>
            </w:tcBorders>
          </w:tcPr>
          <w:p w14:paraId="64220D99" w14:textId="77777777" w:rsidR="00A2416E" w:rsidRDefault="00534832">
            <w:pPr>
              <w:pStyle w:val="TableParagraph"/>
              <w:ind w:left="7"/>
              <w:rPr>
                <w:sz w:val="10"/>
              </w:rPr>
            </w:pPr>
            <w:r>
              <w:rPr>
                <w:sz w:val="17"/>
              </w:rPr>
              <w:t>Aliejaus skalūnas</w:t>
            </w:r>
            <w:r>
              <w:rPr>
                <w:sz w:val="10"/>
              </w:rPr>
              <w:t>3</w:t>
            </w:r>
          </w:p>
        </w:tc>
        <w:tc>
          <w:tcPr>
            <w:tcW w:w="1803" w:type="dxa"/>
            <w:vMerge/>
            <w:tcBorders>
              <w:top w:val="nil"/>
              <w:left w:val="single" w:sz="6" w:space="0" w:color="000000"/>
              <w:bottom w:val="single" w:sz="6" w:space="0" w:color="000000"/>
              <w:right w:val="single" w:sz="6" w:space="0" w:color="000000"/>
            </w:tcBorders>
          </w:tcPr>
          <w:p w14:paraId="0970A3CA" w14:textId="77777777" w:rsidR="00A2416E" w:rsidRDefault="00A2416E">
            <w:pPr>
              <w:rPr>
                <w:sz w:val="2"/>
                <w:szCs w:val="2"/>
              </w:rPr>
            </w:pPr>
          </w:p>
        </w:tc>
        <w:tc>
          <w:tcPr>
            <w:tcW w:w="1361" w:type="dxa"/>
            <w:tcBorders>
              <w:top w:val="single" w:sz="6" w:space="0" w:color="000000"/>
              <w:left w:val="single" w:sz="6" w:space="0" w:color="000000"/>
              <w:bottom w:val="single" w:sz="6" w:space="0" w:color="000000"/>
              <w:right w:val="single" w:sz="6" w:space="0" w:color="000000"/>
            </w:tcBorders>
          </w:tcPr>
          <w:p w14:paraId="414843DD" w14:textId="77777777" w:rsidR="00A2416E" w:rsidRDefault="00534832">
            <w:pPr>
              <w:pStyle w:val="TableParagraph"/>
              <w:rPr>
                <w:sz w:val="17"/>
              </w:rPr>
            </w:pPr>
            <w:r>
              <w:rPr>
                <w:sz w:val="17"/>
              </w:rPr>
              <w:t>133,7</w:t>
            </w:r>
          </w:p>
        </w:tc>
        <w:tc>
          <w:tcPr>
            <w:tcW w:w="1574" w:type="dxa"/>
            <w:tcBorders>
              <w:top w:val="single" w:sz="6" w:space="0" w:color="000000"/>
              <w:left w:val="single" w:sz="6" w:space="0" w:color="000000"/>
              <w:bottom w:val="single" w:sz="6" w:space="0" w:color="000000"/>
              <w:right w:val="nil"/>
            </w:tcBorders>
          </w:tcPr>
          <w:p w14:paraId="0C605A11" w14:textId="77777777" w:rsidR="00A2416E" w:rsidRDefault="00A2416E">
            <w:pPr>
              <w:pStyle w:val="TableParagraph"/>
              <w:spacing w:before="0"/>
              <w:ind w:left="0"/>
              <w:rPr>
                <w:sz w:val="16"/>
              </w:rPr>
            </w:pPr>
          </w:p>
        </w:tc>
      </w:tr>
      <w:tr w:rsidR="00A2416E" w14:paraId="6EFD38CA" w14:textId="77777777">
        <w:trPr>
          <w:trHeight w:val="462"/>
        </w:trPr>
        <w:tc>
          <w:tcPr>
            <w:tcW w:w="2230" w:type="dxa"/>
            <w:tcBorders>
              <w:top w:val="single" w:sz="6" w:space="0" w:color="000000"/>
              <w:left w:val="nil"/>
              <w:bottom w:val="single" w:sz="6" w:space="0" w:color="000000"/>
              <w:right w:val="single" w:sz="6" w:space="0" w:color="000000"/>
            </w:tcBorders>
          </w:tcPr>
          <w:p w14:paraId="34E5B109" w14:textId="77777777" w:rsidR="00A2416E" w:rsidRDefault="00534832">
            <w:pPr>
              <w:pStyle w:val="TableParagraph"/>
              <w:ind w:left="7"/>
              <w:rPr>
                <w:sz w:val="17"/>
              </w:rPr>
            </w:pPr>
            <w:r>
              <w:rPr>
                <w:sz w:val="17"/>
              </w:rPr>
              <w:t>Visi iškastiniai šaltiniai</w:t>
            </w:r>
          </w:p>
        </w:tc>
        <w:tc>
          <w:tcPr>
            <w:tcW w:w="1803" w:type="dxa"/>
            <w:tcBorders>
              <w:top w:val="single" w:sz="6" w:space="0" w:color="000000"/>
              <w:left w:val="single" w:sz="6" w:space="0" w:color="000000"/>
              <w:bottom w:val="single" w:sz="6" w:space="0" w:color="000000"/>
              <w:right w:val="single" w:sz="6" w:space="0" w:color="000000"/>
            </w:tcBorders>
          </w:tcPr>
          <w:p w14:paraId="6AC584D4" w14:textId="77777777" w:rsidR="00A2416E" w:rsidRDefault="00534832">
            <w:pPr>
              <w:pStyle w:val="TableParagraph"/>
              <w:spacing w:before="41" w:line="232" w:lineRule="auto"/>
              <w:ind w:right="263"/>
              <w:rPr>
                <w:sz w:val="17"/>
              </w:rPr>
            </w:pPr>
            <w:r>
              <w:rPr>
                <w:sz w:val="17"/>
              </w:rPr>
              <w:t>SND kibirkštinio uždegimo variklyje</w:t>
            </w:r>
          </w:p>
        </w:tc>
        <w:tc>
          <w:tcPr>
            <w:tcW w:w="1361" w:type="dxa"/>
            <w:tcBorders>
              <w:top w:val="single" w:sz="6" w:space="0" w:color="000000"/>
              <w:left w:val="single" w:sz="6" w:space="0" w:color="000000"/>
              <w:bottom w:val="single" w:sz="6" w:space="0" w:color="000000"/>
              <w:right w:val="single" w:sz="6" w:space="0" w:color="000000"/>
            </w:tcBorders>
          </w:tcPr>
          <w:p w14:paraId="36859BB2" w14:textId="77777777" w:rsidR="00A2416E" w:rsidRDefault="00534832">
            <w:pPr>
              <w:pStyle w:val="TableParagraph"/>
              <w:rPr>
                <w:sz w:val="17"/>
              </w:rPr>
            </w:pPr>
            <w:r>
              <w:rPr>
                <w:sz w:val="17"/>
              </w:rPr>
              <w:t>73,6</w:t>
            </w:r>
          </w:p>
        </w:tc>
        <w:tc>
          <w:tcPr>
            <w:tcW w:w="1574" w:type="dxa"/>
            <w:tcBorders>
              <w:top w:val="single" w:sz="6" w:space="0" w:color="000000"/>
              <w:left w:val="single" w:sz="6" w:space="0" w:color="000000"/>
              <w:bottom w:val="single" w:sz="6" w:space="0" w:color="000000"/>
              <w:right w:val="nil"/>
            </w:tcBorders>
          </w:tcPr>
          <w:p w14:paraId="3EB2DE0C" w14:textId="77777777" w:rsidR="00A2416E" w:rsidRDefault="00534832">
            <w:pPr>
              <w:pStyle w:val="TableParagraph"/>
              <w:rPr>
                <w:sz w:val="17"/>
              </w:rPr>
            </w:pPr>
            <w:r>
              <w:rPr>
                <w:sz w:val="17"/>
              </w:rPr>
              <w:t>73,6</w:t>
            </w:r>
          </w:p>
        </w:tc>
      </w:tr>
      <w:tr w:rsidR="00A2416E" w14:paraId="235193A8" w14:textId="77777777">
        <w:trPr>
          <w:trHeight w:val="652"/>
        </w:trPr>
        <w:tc>
          <w:tcPr>
            <w:tcW w:w="2230" w:type="dxa"/>
            <w:tcBorders>
              <w:top w:val="single" w:sz="6" w:space="0" w:color="000000"/>
              <w:left w:val="nil"/>
              <w:bottom w:val="single" w:sz="6" w:space="0" w:color="000000"/>
              <w:right w:val="single" w:sz="6" w:space="0" w:color="000000"/>
            </w:tcBorders>
          </w:tcPr>
          <w:p w14:paraId="037893B3" w14:textId="77777777" w:rsidR="00A2416E" w:rsidRDefault="00534832">
            <w:pPr>
              <w:pStyle w:val="TableParagraph"/>
              <w:ind w:left="7"/>
              <w:rPr>
                <w:sz w:val="17"/>
              </w:rPr>
            </w:pPr>
            <w:r>
              <w:rPr>
                <w:sz w:val="17"/>
              </w:rPr>
              <w:t>Gamtinės dujos, ES energijos rūšių derinys</w:t>
            </w:r>
          </w:p>
        </w:tc>
        <w:tc>
          <w:tcPr>
            <w:tcW w:w="1803" w:type="dxa"/>
            <w:tcBorders>
              <w:top w:val="single" w:sz="6" w:space="0" w:color="000000"/>
              <w:left w:val="single" w:sz="6" w:space="0" w:color="000000"/>
              <w:bottom w:val="single" w:sz="6" w:space="0" w:color="000000"/>
              <w:right w:val="single" w:sz="6" w:space="0" w:color="000000"/>
            </w:tcBorders>
          </w:tcPr>
          <w:p w14:paraId="43C6E64F" w14:textId="77777777" w:rsidR="00A2416E" w:rsidRDefault="00534832">
            <w:pPr>
              <w:pStyle w:val="TableParagraph"/>
              <w:spacing w:before="41" w:line="232" w:lineRule="auto"/>
              <w:ind w:right="84"/>
              <w:rPr>
                <w:sz w:val="17"/>
              </w:rPr>
            </w:pPr>
            <w:r>
              <w:rPr>
                <w:sz w:val="17"/>
              </w:rPr>
              <w:t>Suslėgtosios gamtinės dujos kibirkštinio uždegimo variklyje</w:t>
            </w:r>
          </w:p>
        </w:tc>
        <w:tc>
          <w:tcPr>
            <w:tcW w:w="1361" w:type="dxa"/>
            <w:tcBorders>
              <w:top w:val="single" w:sz="6" w:space="0" w:color="000000"/>
              <w:left w:val="single" w:sz="6" w:space="0" w:color="000000"/>
              <w:bottom w:val="single" w:sz="6" w:space="0" w:color="000000"/>
              <w:right w:val="single" w:sz="6" w:space="0" w:color="000000"/>
            </w:tcBorders>
          </w:tcPr>
          <w:p w14:paraId="407E4BF3" w14:textId="77777777" w:rsidR="00A2416E" w:rsidRDefault="00534832">
            <w:pPr>
              <w:pStyle w:val="TableParagraph"/>
              <w:rPr>
                <w:sz w:val="17"/>
              </w:rPr>
            </w:pPr>
            <w:r>
              <w:rPr>
                <w:sz w:val="17"/>
              </w:rPr>
              <w:t>69,3</w:t>
            </w:r>
          </w:p>
        </w:tc>
        <w:tc>
          <w:tcPr>
            <w:tcW w:w="1574" w:type="dxa"/>
            <w:tcBorders>
              <w:top w:val="single" w:sz="6" w:space="0" w:color="000000"/>
              <w:left w:val="single" w:sz="6" w:space="0" w:color="000000"/>
              <w:bottom w:val="single" w:sz="6" w:space="0" w:color="000000"/>
              <w:right w:val="nil"/>
            </w:tcBorders>
          </w:tcPr>
          <w:p w14:paraId="48348EA8" w14:textId="77777777" w:rsidR="00A2416E" w:rsidRDefault="00534832">
            <w:pPr>
              <w:pStyle w:val="TableParagraph"/>
              <w:rPr>
                <w:sz w:val="17"/>
              </w:rPr>
            </w:pPr>
            <w:r>
              <w:rPr>
                <w:sz w:val="17"/>
              </w:rPr>
              <w:t>69,3</w:t>
            </w:r>
          </w:p>
        </w:tc>
      </w:tr>
      <w:tr w:rsidR="00A2416E" w14:paraId="748DCDF5" w14:textId="77777777">
        <w:trPr>
          <w:trHeight w:val="652"/>
        </w:trPr>
        <w:tc>
          <w:tcPr>
            <w:tcW w:w="2230" w:type="dxa"/>
            <w:tcBorders>
              <w:top w:val="single" w:sz="6" w:space="0" w:color="000000"/>
              <w:left w:val="nil"/>
              <w:bottom w:val="single" w:sz="6" w:space="0" w:color="000000"/>
              <w:right w:val="single" w:sz="6" w:space="0" w:color="000000"/>
            </w:tcBorders>
          </w:tcPr>
          <w:p w14:paraId="0B9A5898" w14:textId="77777777" w:rsidR="00A2416E" w:rsidRDefault="00534832">
            <w:pPr>
              <w:pStyle w:val="TableParagraph"/>
              <w:ind w:left="7"/>
              <w:rPr>
                <w:sz w:val="17"/>
              </w:rPr>
            </w:pPr>
            <w:r>
              <w:rPr>
                <w:sz w:val="17"/>
              </w:rPr>
              <w:t>Gamtinės dujos, ES energijos rūšių derinys</w:t>
            </w:r>
          </w:p>
        </w:tc>
        <w:tc>
          <w:tcPr>
            <w:tcW w:w="1803" w:type="dxa"/>
            <w:tcBorders>
              <w:top w:val="single" w:sz="6" w:space="0" w:color="000000"/>
              <w:left w:val="single" w:sz="6" w:space="0" w:color="000000"/>
              <w:bottom w:val="single" w:sz="6" w:space="0" w:color="000000"/>
              <w:right w:val="single" w:sz="6" w:space="0" w:color="000000"/>
            </w:tcBorders>
          </w:tcPr>
          <w:p w14:paraId="3B457A6A" w14:textId="77777777" w:rsidR="00A2416E" w:rsidRDefault="00534832" w:rsidP="0067707B">
            <w:pPr>
              <w:pStyle w:val="TableParagraph"/>
              <w:spacing w:before="41" w:line="233" w:lineRule="auto"/>
              <w:ind w:left="113"/>
              <w:rPr>
                <w:sz w:val="17"/>
              </w:rPr>
            </w:pPr>
            <w:r>
              <w:rPr>
                <w:sz w:val="17"/>
              </w:rPr>
              <w:t>Suskystintosios gamtinės dujos (SGD) kibirkštinio uždegimo variklyje</w:t>
            </w:r>
          </w:p>
        </w:tc>
        <w:tc>
          <w:tcPr>
            <w:tcW w:w="1361" w:type="dxa"/>
            <w:tcBorders>
              <w:top w:val="single" w:sz="6" w:space="0" w:color="000000"/>
              <w:left w:val="single" w:sz="6" w:space="0" w:color="000000"/>
              <w:bottom w:val="single" w:sz="6" w:space="0" w:color="000000"/>
              <w:right w:val="single" w:sz="6" w:space="0" w:color="000000"/>
            </w:tcBorders>
          </w:tcPr>
          <w:p w14:paraId="7375FB03" w14:textId="77777777" w:rsidR="00A2416E" w:rsidRDefault="00534832">
            <w:pPr>
              <w:pStyle w:val="TableParagraph"/>
              <w:rPr>
                <w:sz w:val="17"/>
              </w:rPr>
            </w:pPr>
            <w:r>
              <w:rPr>
                <w:sz w:val="17"/>
              </w:rPr>
              <w:t>74,5</w:t>
            </w:r>
          </w:p>
        </w:tc>
        <w:tc>
          <w:tcPr>
            <w:tcW w:w="1574" w:type="dxa"/>
            <w:tcBorders>
              <w:top w:val="single" w:sz="6" w:space="0" w:color="000000"/>
              <w:left w:val="single" w:sz="6" w:space="0" w:color="000000"/>
              <w:bottom w:val="single" w:sz="6" w:space="0" w:color="000000"/>
              <w:right w:val="nil"/>
            </w:tcBorders>
          </w:tcPr>
          <w:p w14:paraId="102B9F60" w14:textId="77777777" w:rsidR="00A2416E" w:rsidRDefault="00534832">
            <w:pPr>
              <w:pStyle w:val="TableParagraph"/>
              <w:rPr>
                <w:sz w:val="17"/>
              </w:rPr>
            </w:pPr>
            <w:r>
              <w:rPr>
                <w:sz w:val="17"/>
              </w:rPr>
              <w:t>74,5</w:t>
            </w:r>
          </w:p>
        </w:tc>
      </w:tr>
      <w:tr w:rsidR="00A2416E" w14:paraId="6E44497F" w14:textId="77777777">
        <w:trPr>
          <w:trHeight w:val="652"/>
        </w:trPr>
        <w:tc>
          <w:tcPr>
            <w:tcW w:w="2230" w:type="dxa"/>
            <w:tcBorders>
              <w:top w:val="single" w:sz="6" w:space="0" w:color="000000"/>
              <w:left w:val="nil"/>
              <w:bottom w:val="single" w:sz="6" w:space="0" w:color="000000"/>
              <w:right w:val="single" w:sz="6" w:space="0" w:color="000000"/>
            </w:tcBorders>
          </w:tcPr>
          <w:p w14:paraId="7F233705" w14:textId="77777777" w:rsidR="00A2416E" w:rsidRDefault="00534832" w:rsidP="0067707B">
            <w:pPr>
              <w:pStyle w:val="TableParagraph"/>
              <w:spacing w:before="41" w:line="232" w:lineRule="auto"/>
              <w:ind w:left="6"/>
              <w:rPr>
                <w:sz w:val="17"/>
              </w:rPr>
            </w:pPr>
            <w:r>
              <w:rPr>
                <w:sz w:val="17"/>
              </w:rPr>
              <w:t>Sabatier vandenilio reakcija elektrolizės būdu naudojant</w:t>
            </w:r>
          </w:p>
          <w:p w14:paraId="0502C750" w14:textId="77777777" w:rsidR="00A2416E" w:rsidRDefault="00534832" w:rsidP="0067707B">
            <w:pPr>
              <w:pStyle w:val="TableParagraph"/>
              <w:spacing w:before="0" w:line="191" w:lineRule="exact"/>
              <w:ind w:left="6"/>
              <w:rPr>
                <w:sz w:val="17"/>
              </w:rPr>
            </w:pPr>
            <w:r>
              <w:rPr>
                <w:sz w:val="17"/>
              </w:rPr>
              <w:t>nebiologinę atsinaujinančiąją energiją</w:t>
            </w:r>
          </w:p>
        </w:tc>
        <w:tc>
          <w:tcPr>
            <w:tcW w:w="1803" w:type="dxa"/>
            <w:tcBorders>
              <w:top w:val="single" w:sz="6" w:space="0" w:color="000000"/>
              <w:left w:val="single" w:sz="6" w:space="0" w:color="000000"/>
              <w:bottom w:val="single" w:sz="6" w:space="0" w:color="000000"/>
              <w:right w:val="single" w:sz="6" w:space="0" w:color="000000"/>
            </w:tcBorders>
          </w:tcPr>
          <w:p w14:paraId="56A4EB5A" w14:textId="77777777" w:rsidR="00A2416E" w:rsidRDefault="00534832">
            <w:pPr>
              <w:pStyle w:val="TableParagraph"/>
              <w:spacing w:before="41" w:line="232" w:lineRule="auto"/>
              <w:ind w:right="164"/>
              <w:rPr>
                <w:sz w:val="17"/>
              </w:rPr>
            </w:pPr>
            <w:r>
              <w:rPr>
                <w:sz w:val="17"/>
              </w:rPr>
              <w:t>Suslėgtasis sintetinis metanas kibirkštinio uždegimo variklyje</w:t>
            </w:r>
          </w:p>
        </w:tc>
        <w:tc>
          <w:tcPr>
            <w:tcW w:w="1361" w:type="dxa"/>
            <w:tcBorders>
              <w:top w:val="single" w:sz="6" w:space="0" w:color="000000"/>
              <w:left w:val="single" w:sz="6" w:space="0" w:color="000000"/>
              <w:bottom w:val="single" w:sz="6" w:space="0" w:color="000000"/>
              <w:right w:val="single" w:sz="6" w:space="0" w:color="000000"/>
            </w:tcBorders>
          </w:tcPr>
          <w:p w14:paraId="0FE5CABE" w14:textId="77777777" w:rsidR="00A2416E" w:rsidRDefault="00534832">
            <w:pPr>
              <w:pStyle w:val="TableParagraph"/>
              <w:rPr>
                <w:sz w:val="17"/>
              </w:rPr>
            </w:pPr>
            <w:r>
              <w:rPr>
                <w:sz w:val="17"/>
              </w:rPr>
              <w:t>3,3</w:t>
            </w:r>
          </w:p>
        </w:tc>
        <w:tc>
          <w:tcPr>
            <w:tcW w:w="1574" w:type="dxa"/>
            <w:tcBorders>
              <w:top w:val="single" w:sz="6" w:space="0" w:color="000000"/>
              <w:left w:val="single" w:sz="6" w:space="0" w:color="000000"/>
              <w:bottom w:val="single" w:sz="6" w:space="0" w:color="000000"/>
              <w:right w:val="nil"/>
            </w:tcBorders>
          </w:tcPr>
          <w:p w14:paraId="7D9F95D7" w14:textId="77777777" w:rsidR="00A2416E" w:rsidRDefault="00534832">
            <w:pPr>
              <w:pStyle w:val="TableParagraph"/>
              <w:rPr>
                <w:sz w:val="17"/>
              </w:rPr>
            </w:pPr>
            <w:r>
              <w:rPr>
                <w:sz w:val="17"/>
              </w:rPr>
              <w:t>3,3</w:t>
            </w:r>
          </w:p>
        </w:tc>
      </w:tr>
      <w:tr w:rsidR="00A2416E" w14:paraId="3DEDD229" w14:textId="77777777">
        <w:trPr>
          <w:trHeight w:val="462"/>
        </w:trPr>
        <w:tc>
          <w:tcPr>
            <w:tcW w:w="2230" w:type="dxa"/>
            <w:tcBorders>
              <w:top w:val="single" w:sz="6" w:space="0" w:color="000000"/>
              <w:left w:val="nil"/>
              <w:bottom w:val="single" w:sz="6" w:space="0" w:color="000000"/>
              <w:right w:val="single" w:sz="6" w:space="0" w:color="000000"/>
            </w:tcBorders>
          </w:tcPr>
          <w:p w14:paraId="4CC478A9" w14:textId="77777777" w:rsidR="00A2416E" w:rsidRDefault="00534832" w:rsidP="0067707B">
            <w:pPr>
              <w:pStyle w:val="TableParagraph"/>
              <w:spacing w:before="41" w:line="233" w:lineRule="auto"/>
              <w:ind w:left="6"/>
              <w:rPr>
                <w:sz w:val="17"/>
              </w:rPr>
            </w:pPr>
            <w:r>
              <w:rPr>
                <w:sz w:val="17"/>
              </w:rPr>
              <w:t>Gamtinės dujos garų riformingo būdu</w:t>
            </w:r>
          </w:p>
        </w:tc>
        <w:tc>
          <w:tcPr>
            <w:tcW w:w="1803" w:type="dxa"/>
            <w:tcBorders>
              <w:top w:val="single" w:sz="6" w:space="0" w:color="000000"/>
              <w:left w:val="single" w:sz="6" w:space="0" w:color="000000"/>
              <w:bottom w:val="single" w:sz="6" w:space="0" w:color="000000"/>
              <w:right w:val="single" w:sz="6" w:space="0" w:color="000000"/>
            </w:tcBorders>
          </w:tcPr>
          <w:p w14:paraId="2855B80C" w14:textId="77777777" w:rsidR="00A2416E" w:rsidRDefault="00534832">
            <w:pPr>
              <w:pStyle w:val="TableParagraph"/>
              <w:spacing w:before="41" w:line="232" w:lineRule="auto"/>
              <w:ind w:right="135"/>
              <w:rPr>
                <w:sz w:val="17"/>
              </w:rPr>
            </w:pPr>
            <w:r>
              <w:rPr>
                <w:sz w:val="17"/>
              </w:rPr>
              <w:t>Suslėgtasis vandenilis kuro elemente</w:t>
            </w:r>
          </w:p>
        </w:tc>
        <w:tc>
          <w:tcPr>
            <w:tcW w:w="1361" w:type="dxa"/>
            <w:tcBorders>
              <w:top w:val="single" w:sz="6" w:space="0" w:color="000000"/>
              <w:left w:val="single" w:sz="6" w:space="0" w:color="000000"/>
              <w:bottom w:val="single" w:sz="6" w:space="0" w:color="000000"/>
              <w:right w:val="single" w:sz="6" w:space="0" w:color="000000"/>
            </w:tcBorders>
          </w:tcPr>
          <w:p w14:paraId="7B82773A" w14:textId="77777777" w:rsidR="00A2416E" w:rsidRDefault="00534832">
            <w:pPr>
              <w:pStyle w:val="TableParagraph"/>
              <w:rPr>
                <w:sz w:val="17"/>
              </w:rPr>
            </w:pPr>
            <w:r>
              <w:rPr>
                <w:sz w:val="17"/>
              </w:rPr>
              <w:t>104,3</w:t>
            </w:r>
          </w:p>
        </w:tc>
        <w:tc>
          <w:tcPr>
            <w:tcW w:w="1574" w:type="dxa"/>
            <w:tcBorders>
              <w:top w:val="single" w:sz="6" w:space="0" w:color="000000"/>
              <w:left w:val="single" w:sz="6" w:space="0" w:color="000000"/>
              <w:bottom w:val="single" w:sz="6" w:space="0" w:color="000000"/>
              <w:right w:val="nil"/>
            </w:tcBorders>
          </w:tcPr>
          <w:p w14:paraId="5724E83A" w14:textId="77777777" w:rsidR="00A2416E" w:rsidRDefault="00534832">
            <w:pPr>
              <w:pStyle w:val="TableParagraph"/>
              <w:rPr>
                <w:sz w:val="17"/>
              </w:rPr>
            </w:pPr>
            <w:r>
              <w:rPr>
                <w:sz w:val="17"/>
              </w:rPr>
              <w:t>104,3</w:t>
            </w:r>
          </w:p>
        </w:tc>
      </w:tr>
      <w:tr w:rsidR="00A2416E" w14:paraId="08CAB5BA" w14:textId="77777777">
        <w:trPr>
          <w:trHeight w:val="462"/>
        </w:trPr>
        <w:tc>
          <w:tcPr>
            <w:tcW w:w="2230" w:type="dxa"/>
            <w:tcBorders>
              <w:top w:val="single" w:sz="6" w:space="0" w:color="000000"/>
              <w:left w:val="nil"/>
              <w:bottom w:val="single" w:sz="6" w:space="0" w:color="000000"/>
              <w:right w:val="single" w:sz="6" w:space="0" w:color="000000"/>
            </w:tcBorders>
          </w:tcPr>
          <w:p w14:paraId="67A4479C" w14:textId="77777777" w:rsidR="00A2416E" w:rsidRDefault="00534832">
            <w:pPr>
              <w:pStyle w:val="TableParagraph"/>
              <w:spacing w:before="41" w:line="232" w:lineRule="auto"/>
              <w:ind w:left="7" w:right="127"/>
              <w:rPr>
                <w:sz w:val="17"/>
              </w:rPr>
            </w:pPr>
            <w:r>
              <w:rPr>
                <w:sz w:val="17"/>
              </w:rPr>
              <w:t>Elektrolizė, visiškai varoma atsinaujinančiosios nebiologinės energijos</w:t>
            </w:r>
          </w:p>
        </w:tc>
        <w:tc>
          <w:tcPr>
            <w:tcW w:w="1803" w:type="dxa"/>
            <w:tcBorders>
              <w:top w:val="single" w:sz="6" w:space="0" w:color="000000"/>
              <w:left w:val="single" w:sz="6" w:space="0" w:color="000000"/>
              <w:bottom w:val="single" w:sz="6" w:space="0" w:color="000000"/>
              <w:right w:val="single" w:sz="6" w:space="0" w:color="000000"/>
            </w:tcBorders>
          </w:tcPr>
          <w:p w14:paraId="245C07E9" w14:textId="77777777" w:rsidR="00A2416E" w:rsidRDefault="00534832">
            <w:pPr>
              <w:pStyle w:val="TableParagraph"/>
              <w:spacing w:before="41" w:line="232" w:lineRule="auto"/>
              <w:ind w:right="135"/>
              <w:rPr>
                <w:sz w:val="17"/>
              </w:rPr>
            </w:pPr>
            <w:r>
              <w:rPr>
                <w:sz w:val="17"/>
              </w:rPr>
              <w:t>Suslėgtasis vandenilis kuro elemente</w:t>
            </w:r>
          </w:p>
        </w:tc>
        <w:tc>
          <w:tcPr>
            <w:tcW w:w="1361" w:type="dxa"/>
            <w:tcBorders>
              <w:top w:val="single" w:sz="6" w:space="0" w:color="000000"/>
              <w:left w:val="single" w:sz="6" w:space="0" w:color="000000"/>
              <w:bottom w:val="single" w:sz="6" w:space="0" w:color="000000"/>
              <w:right w:val="single" w:sz="6" w:space="0" w:color="000000"/>
            </w:tcBorders>
          </w:tcPr>
          <w:p w14:paraId="79A8401F" w14:textId="77777777" w:rsidR="00A2416E" w:rsidRDefault="00534832">
            <w:pPr>
              <w:pStyle w:val="TableParagraph"/>
              <w:rPr>
                <w:sz w:val="17"/>
              </w:rPr>
            </w:pPr>
            <w:r>
              <w:rPr>
                <w:sz w:val="17"/>
              </w:rPr>
              <w:t>9,1</w:t>
            </w:r>
          </w:p>
        </w:tc>
        <w:tc>
          <w:tcPr>
            <w:tcW w:w="1574" w:type="dxa"/>
            <w:tcBorders>
              <w:top w:val="single" w:sz="6" w:space="0" w:color="000000"/>
              <w:left w:val="single" w:sz="6" w:space="0" w:color="000000"/>
              <w:bottom w:val="single" w:sz="6" w:space="0" w:color="000000"/>
              <w:right w:val="nil"/>
            </w:tcBorders>
          </w:tcPr>
          <w:p w14:paraId="46B0D43B" w14:textId="77777777" w:rsidR="00A2416E" w:rsidRDefault="00534832">
            <w:pPr>
              <w:pStyle w:val="TableParagraph"/>
              <w:rPr>
                <w:sz w:val="17"/>
              </w:rPr>
            </w:pPr>
            <w:r>
              <w:rPr>
                <w:sz w:val="17"/>
              </w:rPr>
              <w:t>9,1</w:t>
            </w:r>
          </w:p>
        </w:tc>
      </w:tr>
      <w:tr w:rsidR="00A2416E" w14:paraId="0C1EC040" w14:textId="77777777">
        <w:trPr>
          <w:trHeight w:val="462"/>
        </w:trPr>
        <w:tc>
          <w:tcPr>
            <w:tcW w:w="2230" w:type="dxa"/>
            <w:tcBorders>
              <w:top w:val="single" w:sz="6" w:space="0" w:color="000000"/>
              <w:left w:val="nil"/>
              <w:bottom w:val="single" w:sz="6" w:space="0" w:color="000000"/>
              <w:right w:val="single" w:sz="6" w:space="0" w:color="000000"/>
            </w:tcBorders>
          </w:tcPr>
          <w:p w14:paraId="63AA4F53" w14:textId="77777777" w:rsidR="00A2416E" w:rsidRDefault="00534832">
            <w:pPr>
              <w:pStyle w:val="TableParagraph"/>
              <w:ind w:left="7"/>
              <w:rPr>
                <w:sz w:val="17"/>
              </w:rPr>
            </w:pPr>
            <w:r>
              <w:rPr>
                <w:sz w:val="17"/>
              </w:rPr>
              <w:t>Anglys</w:t>
            </w:r>
          </w:p>
        </w:tc>
        <w:tc>
          <w:tcPr>
            <w:tcW w:w="1803" w:type="dxa"/>
            <w:tcBorders>
              <w:top w:val="single" w:sz="6" w:space="0" w:color="000000"/>
              <w:left w:val="single" w:sz="6" w:space="0" w:color="000000"/>
              <w:bottom w:val="single" w:sz="6" w:space="0" w:color="000000"/>
              <w:right w:val="single" w:sz="6" w:space="0" w:color="000000"/>
            </w:tcBorders>
          </w:tcPr>
          <w:p w14:paraId="17B20A2E" w14:textId="77777777" w:rsidR="00A2416E" w:rsidRDefault="00534832">
            <w:pPr>
              <w:pStyle w:val="TableParagraph"/>
              <w:spacing w:before="41" w:line="232" w:lineRule="auto"/>
              <w:ind w:right="135"/>
              <w:rPr>
                <w:sz w:val="17"/>
              </w:rPr>
            </w:pPr>
            <w:r>
              <w:rPr>
                <w:sz w:val="17"/>
              </w:rPr>
              <w:t>Suslėgtasis vandenilis kuro elemente</w:t>
            </w:r>
          </w:p>
        </w:tc>
        <w:tc>
          <w:tcPr>
            <w:tcW w:w="1361" w:type="dxa"/>
            <w:tcBorders>
              <w:top w:val="single" w:sz="6" w:space="0" w:color="000000"/>
              <w:left w:val="single" w:sz="6" w:space="0" w:color="000000"/>
              <w:bottom w:val="single" w:sz="6" w:space="0" w:color="000000"/>
              <w:right w:val="single" w:sz="6" w:space="0" w:color="000000"/>
            </w:tcBorders>
          </w:tcPr>
          <w:p w14:paraId="243D5730" w14:textId="77777777" w:rsidR="00A2416E" w:rsidRDefault="00534832">
            <w:pPr>
              <w:pStyle w:val="TableParagraph"/>
              <w:rPr>
                <w:sz w:val="17"/>
              </w:rPr>
            </w:pPr>
            <w:r>
              <w:rPr>
                <w:sz w:val="17"/>
              </w:rPr>
              <w:t>234,4</w:t>
            </w:r>
          </w:p>
        </w:tc>
        <w:tc>
          <w:tcPr>
            <w:tcW w:w="1574" w:type="dxa"/>
            <w:tcBorders>
              <w:top w:val="single" w:sz="6" w:space="0" w:color="000000"/>
              <w:left w:val="single" w:sz="6" w:space="0" w:color="000000"/>
              <w:bottom w:val="single" w:sz="6" w:space="0" w:color="000000"/>
              <w:right w:val="nil"/>
            </w:tcBorders>
          </w:tcPr>
          <w:p w14:paraId="6046830F" w14:textId="77777777" w:rsidR="00A2416E" w:rsidRDefault="00534832">
            <w:pPr>
              <w:pStyle w:val="TableParagraph"/>
              <w:rPr>
                <w:sz w:val="17"/>
              </w:rPr>
            </w:pPr>
            <w:r>
              <w:rPr>
                <w:sz w:val="17"/>
              </w:rPr>
              <w:t>234,4</w:t>
            </w:r>
          </w:p>
        </w:tc>
      </w:tr>
      <w:tr w:rsidR="00A2416E" w14:paraId="789D2C95" w14:textId="77777777">
        <w:trPr>
          <w:trHeight w:val="462"/>
        </w:trPr>
        <w:tc>
          <w:tcPr>
            <w:tcW w:w="2230" w:type="dxa"/>
            <w:tcBorders>
              <w:top w:val="single" w:sz="6" w:space="0" w:color="000000"/>
              <w:left w:val="nil"/>
              <w:bottom w:val="single" w:sz="6" w:space="0" w:color="000000"/>
              <w:right w:val="single" w:sz="6" w:space="0" w:color="000000"/>
            </w:tcBorders>
          </w:tcPr>
          <w:p w14:paraId="12C21D03" w14:textId="77777777" w:rsidR="00A2416E" w:rsidRDefault="00534832">
            <w:pPr>
              <w:pStyle w:val="TableParagraph"/>
              <w:spacing w:before="41" w:line="232" w:lineRule="auto"/>
              <w:ind w:left="7" w:right="174"/>
              <w:rPr>
                <w:sz w:val="17"/>
              </w:rPr>
            </w:pPr>
            <w:r>
              <w:rPr>
                <w:sz w:val="17"/>
              </w:rPr>
              <w:t>Anglys, iš kurių surenkama ir saugoma proceso metu išsiskirianti anglis</w:t>
            </w:r>
          </w:p>
        </w:tc>
        <w:tc>
          <w:tcPr>
            <w:tcW w:w="1803" w:type="dxa"/>
            <w:tcBorders>
              <w:top w:val="single" w:sz="6" w:space="0" w:color="000000"/>
              <w:left w:val="single" w:sz="6" w:space="0" w:color="000000"/>
              <w:bottom w:val="single" w:sz="6" w:space="0" w:color="000000"/>
              <w:right w:val="single" w:sz="6" w:space="0" w:color="000000"/>
            </w:tcBorders>
          </w:tcPr>
          <w:p w14:paraId="3BDFB3B0" w14:textId="77777777" w:rsidR="00A2416E" w:rsidRDefault="00534832">
            <w:pPr>
              <w:pStyle w:val="TableParagraph"/>
              <w:spacing w:before="41" w:line="232" w:lineRule="auto"/>
              <w:ind w:right="135"/>
              <w:rPr>
                <w:sz w:val="17"/>
              </w:rPr>
            </w:pPr>
            <w:r>
              <w:rPr>
                <w:sz w:val="17"/>
              </w:rPr>
              <w:t>Suslėgtasis vandenilis kuro elemente</w:t>
            </w:r>
          </w:p>
        </w:tc>
        <w:tc>
          <w:tcPr>
            <w:tcW w:w="1361" w:type="dxa"/>
            <w:tcBorders>
              <w:top w:val="single" w:sz="6" w:space="0" w:color="000000"/>
              <w:left w:val="single" w:sz="6" w:space="0" w:color="000000"/>
              <w:bottom w:val="single" w:sz="6" w:space="0" w:color="000000"/>
              <w:right w:val="single" w:sz="6" w:space="0" w:color="000000"/>
            </w:tcBorders>
          </w:tcPr>
          <w:p w14:paraId="0FFD383D" w14:textId="77777777" w:rsidR="00A2416E" w:rsidRDefault="00534832">
            <w:pPr>
              <w:pStyle w:val="TableParagraph"/>
              <w:rPr>
                <w:sz w:val="17"/>
              </w:rPr>
            </w:pPr>
            <w:r>
              <w:rPr>
                <w:sz w:val="17"/>
              </w:rPr>
              <w:t>52,7</w:t>
            </w:r>
          </w:p>
        </w:tc>
        <w:tc>
          <w:tcPr>
            <w:tcW w:w="1574" w:type="dxa"/>
            <w:tcBorders>
              <w:top w:val="single" w:sz="6" w:space="0" w:color="000000"/>
              <w:left w:val="single" w:sz="6" w:space="0" w:color="000000"/>
              <w:bottom w:val="single" w:sz="6" w:space="0" w:color="000000"/>
              <w:right w:val="nil"/>
            </w:tcBorders>
          </w:tcPr>
          <w:p w14:paraId="006332B6" w14:textId="77777777" w:rsidR="00A2416E" w:rsidRDefault="00534832">
            <w:pPr>
              <w:pStyle w:val="TableParagraph"/>
              <w:rPr>
                <w:sz w:val="17"/>
              </w:rPr>
            </w:pPr>
            <w:r>
              <w:rPr>
                <w:sz w:val="17"/>
              </w:rPr>
              <w:t>52,7</w:t>
            </w:r>
          </w:p>
        </w:tc>
      </w:tr>
      <w:tr w:rsidR="00A2416E" w14:paraId="1F750C81" w14:textId="77777777">
        <w:trPr>
          <w:trHeight w:val="462"/>
        </w:trPr>
        <w:tc>
          <w:tcPr>
            <w:tcW w:w="2230" w:type="dxa"/>
            <w:tcBorders>
              <w:top w:val="single" w:sz="6" w:space="0" w:color="000000"/>
              <w:left w:val="nil"/>
              <w:bottom w:val="single" w:sz="6" w:space="0" w:color="000000"/>
              <w:right w:val="single" w:sz="6" w:space="0" w:color="000000"/>
            </w:tcBorders>
          </w:tcPr>
          <w:p w14:paraId="40C44060" w14:textId="77777777" w:rsidR="00A2416E" w:rsidRDefault="00534832">
            <w:pPr>
              <w:pStyle w:val="TableParagraph"/>
              <w:spacing w:before="41" w:line="232" w:lineRule="auto"/>
              <w:ind w:left="7" w:right="405"/>
              <w:rPr>
                <w:sz w:val="17"/>
              </w:rPr>
            </w:pPr>
            <w:r>
              <w:rPr>
                <w:sz w:val="17"/>
              </w:rPr>
              <w:t>Iš iškastinių žaliavų išgautos plastiko atliekos</w:t>
            </w:r>
          </w:p>
        </w:tc>
        <w:tc>
          <w:tcPr>
            <w:tcW w:w="1803" w:type="dxa"/>
            <w:tcBorders>
              <w:top w:val="single" w:sz="6" w:space="0" w:color="000000"/>
              <w:left w:val="single" w:sz="6" w:space="0" w:color="000000"/>
              <w:bottom w:val="single" w:sz="6" w:space="0" w:color="000000"/>
              <w:right w:val="single" w:sz="6" w:space="0" w:color="000000"/>
            </w:tcBorders>
          </w:tcPr>
          <w:p w14:paraId="43E6687C" w14:textId="77777777" w:rsidR="00A2416E" w:rsidRDefault="00534832" w:rsidP="0067707B">
            <w:pPr>
              <w:pStyle w:val="TableParagraph"/>
              <w:spacing w:before="41" w:line="233" w:lineRule="auto"/>
              <w:ind w:left="113"/>
              <w:rPr>
                <w:sz w:val="17"/>
              </w:rPr>
            </w:pPr>
            <w:r>
              <w:rPr>
                <w:sz w:val="17"/>
              </w:rPr>
              <w:t>Benzinas, dyzelinas arba gazolis</w:t>
            </w:r>
          </w:p>
        </w:tc>
        <w:tc>
          <w:tcPr>
            <w:tcW w:w="1361" w:type="dxa"/>
            <w:tcBorders>
              <w:top w:val="single" w:sz="6" w:space="0" w:color="000000"/>
              <w:left w:val="single" w:sz="6" w:space="0" w:color="000000"/>
              <w:bottom w:val="single" w:sz="6" w:space="0" w:color="000000"/>
              <w:right w:val="single" w:sz="6" w:space="0" w:color="000000"/>
            </w:tcBorders>
          </w:tcPr>
          <w:p w14:paraId="79432D11" w14:textId="77777777" w:rsidR="00A2416E" w:rsidRDefault="00534832">
            <w:pPr>
              <w:pStyle w:val="TableParagraph"/>
              <w:rPr>
                <w:sz w:val="17"/>
              </w:rPr>
            </w:pPr>
            <w:r>
              <w:rPr>
                <w:sz w:val="17"/>
              </w:rPr>
              <w:t>86</w:t>
            </w:r>
          </w:p>
        </w:tc>
        <w:tc>
          <w:tcPr>
            <w:tcW w:w="1574" w:type="dxa"/>
            <w:tcBorders>
              <w:top w:val="single" w:sz="6" w:space="0" w:color="000000"/>
              <w:left w:val="single" w:sz="6" w:space="0" w:color="000000"/>
              <w:bottom w:val="single" w:sz="6" w:space="0" w:color="000000"/>
              <w:right w:val="nil"/>
            </w:tcBorders>
          </w:tcPr>
          <w:p w14:paraId="2124E515" w14:textId="77777777" w:rsidR="00A2416E" w:rsidRDefault="00534832">
            <w:pPr>
              <w:pStyle w:val="TableParagraph"/>
              <w:rPr>
                <w:sz w:val="17"/>
              </w:rPr>
            </w:pPr>
            <w:r>
              <w:rPr>
                <w:sz w:val="17"/>
              </w:rPr>
              <w:t>86</w:t>
            </w:r>
          </w:p>
        </w:tc>
      </w:tr>
    </w:tbl>
    <w:p w14:paraId="686D7B57" w14:textId="77777777" w:rsidR="00A2416E" w:rsidRDefault="00534832">
      <w:pPr>
        <w:spacing w:before="126" w:line="232" w:lineRule="auto"/>
        <w:ind w:left="400" w:right="1902"/>
        <w:rPr>
          <w:sz w:val="17"/>
        </w:rPr>
      </w:pPr>
      <w:r>
        <w:rPr>
          <w:sz w:val="10"/>
        </w:rPr>
        <w:t xml:space="preserve">1 </w:t>
      </w:r>
      <w:r>
        <w:rPr>
          <w:sz w:val="17"/>
        </w:rPr>
        <w:t>Tradicinė žalia nafta – tai bet kokia naftos perdirbimo gamyklų žaliava, kurios API (Amerikos naftos instituto) sunkis yra didesnis nei 10 laipsnių, kai ji yra savo kilmės vietos rezervuaro formacijoje, išmatuota pagal ASTM D287 bandymo metodą, ir kuriai netaikomas KN kodas 2714</w:t>
      </w:r>
      <w:r>
        <w:t>,</w:t>
      </w:r>
    </w:p>
    <w:p w14:paraId="4B21A793" w14:textId="77777777" w:rsidR="00A2416E" w:rsidRDefault="00534832">
      <w:pPr>
        <w:tabs>
          <w:tab w:val="right" w:pos="7997"/>
        </w:tabs>
        <w:spacing w:line="238" w:lineRule="exact"/>
        <w:ind w:left="400"/>
        <w:rPr>
          <w:rFonts w:ascii="HelveticaNeueLT Std Cn" w:hAnsi="HelveticaNeueLT Std Cn"/>
          <w:sz w:val="20"/>
        </w:rPr>
      </w:pPr>
      <w:r>
        <w:rPr>
          <w:sz w:val="17"/>
        </w:rPr>
        <w:t>kaip nustatyta Reglamente (EEB) Nr. 2658/87.</w:t>
      </w:r>
      <w:r>
        <w:rPr>
          <w:sz w:val="17"/>
        </w:rPr>
        <w:tab/>
      </w:r>
      <w:r>
        <w:rPr>
          <w:rFonts w:ascii="HelveticaNeueLT Std Cn" w:hAnsi="HelveticaNeueLT Std Cn"/>
          <w:sz w:val="20"/>
        </w:rPr>
        <w:t>5</w:t>
      </w:r>
    </w:p>
    <w:p w14:paraId="65268C9D" w14:textId="77777777" w:rsidR="00A2416E" w:rsidRDefault="00A2416E">
      <w:pPr>
        <w:spacing w:line="238" w:lineRule="exact"/>
        <w:rPr>
          <w:rFonts w:ascii="HelveticaNeueLT Std Cn" w:hAnsi="HelveticaNeueLT Std Cn"/>
          <w:sz w:val="20"/>
        </w:rPr>
        <w:sectPr w:rsidR="00A2416E">
          <w:type w:val="continuous"/>
          <w:pgSz w:w="9360" w:h="13720"/>
          <w:pgMar w:top="900" w:right="580" w:bottom="280" w:left="620" w:header="720" w:footer="720" w:gutter="0"/>
          <w:cols w:space="720"/>
        </w:sectPr>
      </w:pPr>
    </w:p>
    <w:p w14:paraId="12ED578D" w14:textId="77777777" w:rsidR="00A2416E" w:rsidRDefault="00534832">
      <w:pPr>
        <w:pStyle w:val="Rubrik2"/>
        <w:spacing w:line="228" w:lineRule="auto"/>
        <w:ind w:right="19"/>
      </w:pPr>
      <w:r>
        <w:lastRenderedPageBreak/>
        <w:t>STEMFS 2021:2</w:t>
      </w:r>
    </w:p>
    <w:p w14:paraId="36448102" w14:textId="77777777" w:rsidR="00A2416E" w:rsidRDefault="00534832">
      <w:pPr>
        <w:spacing w:before="81" w:line="232" w:lineRule="auto"/>
        <w:ind w:left="117" w:right="437"/>
        <w:rPr>
          <w:sz w:val="17"/>
        </w:rPr>
      </w:pPr>
      <w:r>
        <w:br w:type="column"/>
      </w:r>
      <w:r>
        <w:rPr>
          <w:sz w:val="10"/>
        </w:rPr>
        <w:t xml:space="preserve">2 </w:t>
      </w:r>
      <w:r>
        <w:rPr>
          <w:sz w:val="17"/>
        </w:rPr>
        <w:t>Gamtinis bitumas – tai bet kokia naftos perdirbimo gamyklų žaliava, kurios a) Amerikos naftos instituto (API) sunkis yra 10 laipsnių ar mažesnis, kai jis yra rezervuaro formavimo vietoje, apibrėžtoje pagal Amerikos bandymų ir medžiagų draugijos (ASTM) D287 bandymo metodą; b) kurios vidutinė metinė klampa rezervuaro temperatūroje yra didesnė už tą, kuri apskaičiuojama pagal klampos (Centipoise) lygtį = 518,98e-0,038T, kur T – temperatūra pagal Celsijų; c) atitinka bitumingojo smėlio apibrėžtį, priskiriamą Kombinuotosios nomenklatūros (KN) kodui 2714, kaip apibrėžta Tarybos reglamente (EEB) Nr. 2658/87; d) kai žaliavos šaltinis sutelkiamas kasybos būdu arba termiškai sustiprinto drenažo būdu, kai šiluminė energija daugiausia gaunama iš kitų šaltinių nei pats žaliavos šaltinis.</w:t>
      </w:r>
    </w:p>
    <w:p w14:paraId="7D15F9D2" w14:textId="77777777" w:rsidR="00A2416E" w:rsidRDefault="00534832">
      <w:pPr>
        <w:spacing w:before="89" w:line="232" w:lineRule="auto"/>
        <w:ind w:left="117" w:right="473"/>
        <w:rPr>
          <w:sz w:val="17"/>
        </w:rPr>
      </w:pPr>
      <w:r>
        <w:rPr>
          <w:sz w:val="10"/>
        </w:rPr>
        <w:t xml:space="preserve">3 </w:t>
      </w:r>
      <w:r>
        <w:rPr>
          <w:sz w:val="17"/>
        </w:rPr>
        <w:t>Aliejaus skalūnas – tai bet koks naftos perdirbimo gamyklų žaliavos šaltinis, esantis uolienoje, kurioje yra kietojo kerogeno, ir priskiriamas prie naftingojo skalūno, kuriam suteiktas KN kodas 2714, apibrėžties, kaip nurodyta Reglamente (EEB) Nr. 2658/87. Žaliavos šaltinis sutelkiamas kasybos būdu arba termiškai sustiprinant gravitacijos drenažą.</w:t>
      </w:r>
    </w:p>
    <w:p w14:paraId="4F1DF429" w14:textId="77777777" w:rsidR="00A2416E" w:rsidRDefault="00A2416E">
      <w:pPr>
        <w:spacing w:line="232" w:lineRule="auto"/>
        <w:rPr>
          <w:sz w:val="17"/>
        </w:rPr>
        <w:sectPr w:rsidR="00A2416E">
          <w:pgSz w:w="9360" w:h="13720"/>
          <w:pgMar w:top="940" w:right="580" w:bottom="280" w:left="620" w:header="720" w:footer="720" w:gutter="0"/>
          <w:cols w:num="2" w:space="720" w:equalWidth="0">
            <w:col w:w="997" w:space="703"/>
            <w:col w:w="6460"/>
          </w:cols>
        </w:sectPr>
      </w:pPr>
    </w:p>
    <w:p w14:paraId="4B2CA0EF" w14:textId="77777777" w:rsidR="00A2416E" w:rsidRDefault="00A2416E">
      <w:pPr>
        <w:pStyle w:val="Brdtext"/>
        <w:rPr>
          <w:sz w:val="26"/>
        </w:rPr>
      </w:pPr>
    </w:p>
    <w:p w14:paraId="0A26DB13" w14:textId="77777777" w:rsidR="00A2416E" w:rsidRDefault="00A2416E">
      <w:pPr>
        <w:pStyle w:val="Brdtext"/>
        <w:rPr>
          <w:sz w:val="26"/>
        </w:rPr>
      </w:pPr>
    </w:p>
    <w:p w14:paraId="0FAF311C" w14:textId="77777777" w:rsidR="00A2416E" w:rsidRDefault="00A2416E">
      <w:pPr>
        <w:pStyle w:val="Brdtext"/>
        <w:rPr>
          <w:sz w:val="26"/>
        </w:rPr>
      </w:pPr>
    </w:p>
    <w:p w14:paraId="4EFBC468" w14:textId="77777777" w:rsidR="00A2416E" w:rsidRDefault="00A2416E">
      <w:pPr>
        <w:pStyle w:val="Brdtext"/>
        <w:rPr>
          <w:sz w:val="26"/>
        </w:rPr>
      </w:pPr>
    </w:p>
    <w:p w14:paraId="2BAA9D54" w14:textId="77777777" w:rsidR="00A2416E" w:rsidRDefault="00A2416E">
      <w:pPr>
        <w:pStyle w:val="Brdtext"/>
        <w:rPr>
          <w:sz w:val="26"/>
        </w:rPr>
      </w:pPr>
    </w:p>
    <w:p w14:paraId="4B62674C" w14:textId="77777777" w:rsidR="00A2416E" w:rsidRDefault="00A2416E">
      <w:pPr>
        <w:pStyle w:val="Brdtext"/>
        <w:rPr>
          <w:sz w:val="26"/>
        </w:rPr>
      </w:pPr>
    </w:p>
    <w:p w14:paraId="1921A8E7" w14:textId="77777777" w:rsidR="00A2416E" w:rsidRDefault="00A2416E">
      <w:pPr>
        <w:pStyle w:val="Brdtext"/>
        <w:rPr>
          <w:sz w:val="26"/>
        </w:rPr>
      </w:pPr>
    </w:p>
    <w:p w14:paraId="3B5954AD" w14:textId="77777777" w:rsidR="00A2416E" w:rsidRDefault="00A2416E">
      <w:pPr>
        <w:pStyle w:val="Brdtext"/>
        <w:rPr>
          <w:sz w:val="26"/>
        </w:rPr>
      </w:pPr>
    </w:p>
    <w:p w14:paraId="6D123182" w14:textId="77777777" w:rsidR="00A2416E" w:rsidRDefault="00A2416E">
      <w:pPr>
        <w:pStyle w:val="Brdtext"/>
        <w:rPr>
          <w:sz w:val="26"/>
        </w:rPr>
      </w:pPr>
    </w:p>
    <w:p w14:paraId="6E023F0F" w14:textId="77777777" w:rsidR="00A2416E" w:rsidRDefault="00A2416E">
      <w:pPr>
        <w:pStyle w:val="Brdtext"/>
        <w:rPr>
          <w:sz w:val="26"/>
        </w:rPr>
      </w:pPr>
    </w:p>
    <w:p w14:paraId="673A25F2" w14:textId="77777777" w:rsidR="00A2416E" w:rsidRDefault="00A2416E">
      <w:pPr>
        <w:pStyle w:val="Brdtext"/>
        <w:rPr>
          <w:sz w:val="26"/>
        </w:rPr>
      </w:pPr>
    </w:p>
    <w:p w14:paraId="3CCEACBA" w14:textId="77777777" w:rsidR="00A2416E" w:rsidRDefault="00A2416E">
      <w:pPr>
        <w:pStyle w:val="Brdtext"/>
        <w:rPr>
          <w:sz w:val="26"/>
        </w:rPr>
      </w:pPr>
    </w:p>
    <w:p w14:paraId="5FC5200E" w14:textId="77777777" w:rsidR="00A2416E" w:rsidRDefault="00A2416E">
      <w:pPr>
        <w:pStyle w:val="Brdtext"/>
        <w:rPr>
          <w:sz w:val="26"/>
        </w:rPr>
      </w:pPr>
    </w:p>
    <w:p w14:paraId="286B93AD" w14:textId="77777777" w:rsidR="00A2416E" w:rsidRDefault="00A2416E">
      <w:pPr>
        <w:pStyle w:val="Brdtext"/>
        <w:rPr>
          <w:sz w:val="26"/>
        </w:rPr>
      </w:pPr>
    </w:p>
    <w:p w14:paraId="420D1E7A" w14:textId="77777777" w:rsidR="00A2416E" w:rsidRDefault="00A2416E">
      <w:pPr>
        <w:pStyle w:val="Brdtext"/>
        <w:rPr>
          <w:sz w:val="26"/>
        </w:rPr>
      </w:pPr>
    </w:p>
    <w:p w14:paraId="0C5704DE" w14:textId="77777777" w:rsidR="00A2416E" w:rsidRDefault="00A2416E">
      <w:pPr>
        <w:pStyle w:val="Brdtext"/>
        <w:rPr>
          <w:sz w:val="26"/>
        </w:rPr>
      </w:pPr>
    </w:p>
    <w:p w14:paraId="01626443" w14:textId="77777777" w:rsidR="00A2416E" w:rsidRDefault="00A2416E">
      <w:pPr>
        <w:pStyle w:val="Brdtext"/>
        <w:rPr>
          <w:sz w:val="26"/>
        </w:rPr>
      </w:pPr>
    </w:p>
    <w:p w14:paraId="36AD06E0" w14:textId="77777777" w:rsidR="00A2416E" w:rsidRDefault="00A2416E">
      <w:pPr>
        <w:pStyle w:val="Brdtext"/>
        <w:rPr>
          <w:sz w:val="26"/>
        </w:rPr>
      </w:pPr>
    </w:p>
    <w:p w14:paraId="26EDA37B" w14:textId="77777777" w:rsidR="00A2416E" w:rsidRDefault="00A2416E">
      <w:pPr>
        <w:pStyle w:val="Brdtext"/>
        <w:rPr>
          <w:sz w:val="26"/>
        </w:rPr>
      </w:pPr>
    </w:p>
    <w:p w14:paraId="05A57E67" w14:textId="77777777" w:rsidR="00A2416E" w:rsidRDefault="00A2416E">
      <w:pPr>
        <w:pStyle w:val="Brdtext"/>
        <w:rPr>
          <w:sz w:val="26"/>
        </w:rPr>
      </w:pPr>
    </w:p>
    <w:p w14:paraId="38EEEB4B" w14:textId="77777777" w:rsidR="00A2416E" w:rsidRDefault="00A2416E">
      <w:pPr>
        <w:pStyle w:val="Brdtext"/>
        <w:rPr>
          <w:sz w:val="26"/>
        </w:rPr>
      </w:pPr>
    </w:p>
    <w:p w14:paraId="40C566BA" w14:textId="77777777" w:rsidR="00A2416E" w:rsidRDefault="00A2416E">
      <w:pPr>
        <w:pStyle w:val="Brdtext"/>
        <w:rPr>
          <w:sz w:val="26"/>
        </w:rPr>
      </w:pPr>
    </w:p>
    <w:p w14:paraId="7002B62C" w14:textId="77777777" w:rsidR="00A2416E" w:rsidRDefault="00A2416E">
      <w:pPr>
        <w:pStyle w:val="Brdtext"/>
        <w:rPr>
          <w:sz w:val="26"/>
        </w:rPr>
      </w:pPr>
    </w:p>
    <w:p w14:paraId="3313B690" w14:textId="77777777" w:rsidR="00A2416E" w:rsidRDefault="00A2416E">
      <w:pPr>
        <w:pStyle w:val="Brdtext"/>
        <w:rPr>
          <w:sz w:val="26"/>
        </w:rPr>
      </w:pPr>
    </w:p>
    <w:p w14:paraId="164F8077" w14:textId="77777777" w:rsidR="00A2416E" w:rsidRDefault="00A2416E">
      <w:pPr>
        <w:pStyle w:val="Brdtext"/>
        <w:rPr>
          <w:sz w:val="26"/>
        </w:rPr>
      </w:pPr>
    </w:p>
    <w:p w14:paraId="03001A05" w14:textId="77777777" w:rsidR="00A2416E" w:rsidRDefault="00A2416E">
      <w:pPr>
        <w:pStyle w:val="Brdtext"/>
        <w:rPr>
          <w:sz w:val="26"/>
        </w:rPr>
      </w:pPr>
    </w:p>
    <w:p w14:paraId="35F2DB8D" w14:textId="77777777" w:rsidR="00A2416E" w:rsidRDefault="00A2416E">
      <w:pPr>
        <w:pStyle w:val="Brdtext"/>
        <w:rPr>
          <w:sz w:val="26"/>
        </w:rPr>
      </w:pPr>
    </w:p>
    <w:p w14:paraId="40DD90BC" w14:textId="77777777" w:rsidR="00A2416E" w:rsidRDefault="00534832">
      <w:pPr>
        <w:pStyle w:val="Rubrik3"/>
        <w:spacing w:before="224"/>
      </w:pPr>
      <w:r>
        <w:t>6</w:t>
      </w:r>
    </w:p>
    <w:p w14:paraId="0F0644FB" w14:textId="77777777" w:rsidR="00A2416E" w:rsidRDefault="00A2416E">
      <w:pPr>
        <w:sectPr w:rsidR="00A2416E">
          <w:type w:val="continuous"/>
          <w:pgSz w:w="9360" w:h="13720"/>
          <w:pgMar w:top="900" w:right="580" w:bottom="280" w:left="620" w:header="720" w:footer="720" w:gutter="0"/>
          <w:cols w:space="720"/>
        </w:sectPr>
      </w:pPr>
    </w:p>
    <w:p w14:paraId="7E910C00" w14:textId="77777777" w:rsidR="00A2416E" w:rsidRDefault="00A2416E">
      <w:pPr>
        <w:pStyle w:val="Brdtext"/>
        <w:spacing w:before="5"/>
        <w:rPr>
          <w:rFonts w:ascii="HelveticaNeueLT Std Cn"/>
          <w:sz w:val="17"/>
        </w:rPr>
      </w:pPr>
    </w:p>
    <w:p w14:paraId="1D864C65" w14:textId="77777777" w:rsidR="00A2416E" w:rsidRDefault="00A2416E">
      <w:pPr>
        <w:rPr>
          <w:rFonts w:ascii="HelveticaNeueLT Std Cn"/>
          <w:sz w:val="17"/>
        </w:rPr>
        <w:sectPr w:rsidR="00A2416E">
          <w:pgSz w:w="9360" w:h="13720"/>
          <w:pgMar w:top="1280" w:right="580" w:bottom="280" w:left="620" w:header="720" w:footer="720" w:gutter="0"/>
          <w:cols w:space="720"/>
        </w:sectPr>
      </w:pPr>
    </w:p>
    <w:p w14:paraId="442D83DA" w14:textId="77777777" w:rsidR="00A2416E" w:rsidRDefault="00A2416E">
      <w:pPr>
        <w:pStyle w:val="Brdtext"/>
        <w:rPr>
          <w:rFonts w:ascii="HelveticaNeueLT Std Cn"/>
          <w:sz w:val="20"/>
        </w:rPr>
      </w:pPr>
    </w:p>
    <w:p w14:paraId="21280EC6" w14:textId="77777777" w:rsidR="00A2416E" w:rsidRDefault="00A2416E">
      <w:pPr>
        <w:pStyle w:val="Brdtext"/>
        <w:rPr>
          <w:rFonts w:ascii="HelveticaNeueLT Std Cn"/>
          <w:sz w:val="20"/>
        </w:rPr>
      </w:pPr>
    </w:p>
    <w:p w14:paraId="18CB8DD6" w14:textId="77777777" w:rsidR="00A2416E" w:rsidRDefault="00A2416E">
      <w:pPr>
        <w:pStyle w:val="Brdtext"/>
        <w:rPr>
          <w:rFonts w:ascii="HelveticaNeueLT Std Cn"/>
          <w:sz w:val="20"/>
        </w:rPr>
      </w:pPr>
    </w:p>
    <w:p w14:paraId="540CFE4B" w14:textId="77777777" w:rsidR="00A2416E" w:rsidRDefault="00A2416E">
      <w:pPr>
        <w:pStyle w:val="Brdtext"/>
        <w:rPr>
          <w:rFonts w:ascii="HelveticaNeueLT Std Cn"/>
          <w:sz w:val="20"/>
        </w:rPr>
      </w:pPr>
    </w:p>
    <w:p w14:paraId="11845BE4" w14:textId="77777777" w:rsidR="00A2416E" w:rsidRDefault="00A2416E">
      <w:pPr>
        <w:pStyle w:val="Brdtext"/>
        <w:rPr>
          <w:rFonts w:ascii="HelveticaNeueLT Std Cn"/>
          <w:sz w:val="20"/>
        </w:rPr>
      </w:pPr>
    </w:p>
    <w:p w14:paraId="1DC5E8BC" w14:textId="77777777" w:rsidR="00A2416E" w:rsidRDefault="00A2416E">
      <w:pPr>
        <w:pStyle w:val="Brdtext"/>
        <w:rPr>
          <w:rFonts w:ascii="HelveticaNeueLT Std Cn"/>
          <w:sz w:val="20"/>
        </w:rPr>
      </w:pPr>
    </w:p>
    <w:p w14:paraId="4C7E42E5" w14:textId="77777777" w:rsidR="00A2416E" w:rsidRDefault="00A2416E">
      <w:pPr>
        <w:pStyle w:val="Brdtext"/>
        <w:rPr>
          <w:rFonts w:ascii="HelveticaNeueLT Std Cn"/>
          <w:sz w:val="20"/>
        </w:rPr>
      </w:pPr>
    </w:p>
    <w:p w14:paraId="22D939CA" w14:textId="77777777" w:rsidR="00A2416E" w:rsidRDefault="00A2416E">
      <w:pPr>
        <w:pStyle w:val="Brdtext"/>
        <w:rPr>
          <w:rFonts w:ascii="HelveticaNeueLT Std Cn"/>
          <w:sz w:val="20"/>
        </w:rPr>
      </w:pPr>
    </w:p>
    <w:p w14:paraId="028AB1C2" w14:textId="77777777" w:rsidR="00A2416E" w:rsidRDefault="00A2416E">
      <w:pPr>
        <w:pStyle w:val="Brdtext"/>
        <w:rPr>
          <w:rFonts w:ascii="HelveticaNeueLT Std Cn"/>
          <w:sz w:val="20"/>
        </w:rPr>
      </w:pPr>
    </w:p>
    <w:p w14:paraId="1DD21BDF" w14:textId="77777777" w:rsidR="00A2416E" w:rsidRDefault="00A2416E">
      <w:pPr>
        <w:pStyle w:val="Brdtext"/>
        <w:rPr>
          <w:rFonts w:ascii="HelveticaNeueLT Std Cn"/>
          <w:sz w:val="20"/>
        </w:rPr>
      </w:pPr>
    </w:p>
    <w:p w14:paraId="2083FCED" w14:textId="77777777" w:rsidR="00A2416E" w:rsidRDefault="00A2416E">
      <w:pPr>
        <w:pStyle w:val="Brdtext"/>
        <w:rPr>
          <w:rFonts w:ascii="HelveticaNeueLT Std Cn"/>
          <w:sz w:val="20"/>
        </w:rPr>
      </w:pPr>
    </w:p>
    <w:p w14:paraId="028AE273" w14:textId="77777777" w:rsidR="00A2416E" w:rsidRDefault="00A2416E">
      <w:pPr>
        <w:pStyle w:val="Brdtext"/>
        <w:rPr>
          <w:rFonts w:ascii="HelveticaNeueLT Std Cn"/>
          <w:sz w:val="20"/>
        </w:rPr>
      </w:pPr>
    </w:p>
    <w:p w14:paraId="251DFACB" w14:textId="77777777" w:rsidR="00A2416E" w:rsidRDefault="00A2416E">
      <w:pPr>
        <w:pStyle w:val="Brdtext"/>
        <w:rPr>
          <w:rFonts w:ascii="HelveticaNeueLT Std Cn"/>
          <w:sz w:val="20"/>
        </w:rPr>
      </w:pPr>
    </w:p>
    <w:p w14:paraId="0A2B0D40" w14:textId="77777777" w:rsidR="00A2416E" w:rsidRDefault="00A2416E">
      <w:pPr>
        <w:pStyle w:val="Brdtext"/>
        <w:rPr>
          <w:rFonts w:ascii="HelveticaNeueLT Std Cn"/>
          <w:sz w:val="20"/>
        </w:rPr>
      </w:pPr>
    </w:p>
    <w:p w14:paraId="30A81004" w14:textId="77777777" w:rsidR="00A2416E" w:rsidRDefault="00A2416E">
      <w:pPr>
        <w:pStyle w:val="Brdtext"/>
        <w:rPr>
          <w:rFonts w:ascii="HelveticaNeueLT Std Cn"/>
          <w:sz w:val="20"/>
        </w:rPr>
      </w:pPr>
    </w:p>
    <w:p w14:paraId="3A7B3309" w14:textId="77777777" w:rsidR="00A2416E" w:rsidRDefault="00A2416E">
      <w:pPr>
        <w:pStyle w:val="Brdtext"/>
        <w:rPr>
          <w:rFonts w:ascii="HelveticaNeueLT Std Cn"/>
          <w:sz w:val="20"/>
        </w:rPr>
      </w:pPr>
    </w:p>
    <w:p w14:paraId="2361A1FC" w14:textId="77777777" w:rsidR="00A2416E" w:rsidRDefault="00A2416E">
      <w:pPr>
        <w:pStyle w:val="Brdtext"/>
        <w:rPr>
          <w:rFonts w:ascii="HelveticaNeueLT Std Cn"/>
          <w:sz w:val="20"/>
        </w:rPr>
      </w:pPr>
    </w:p>
    <w:p w14:paraId="738FFF7C" w14:textId="77777777" w:rsidR="00A2416E" w:rsidRDefault="00A2416E">
      <w:pPr>
        <w:pStyle w:val="Brdtext"/>
        <w:rPr>
          <w:rFonts w:ascii="HelveticaNeueLT Std Cn"/>
          <w:sz w:val="20"/>
        </w:rPr>
      </w:pPr>
    </w:p>
    <w:p w14:paraId="76492810" w14:textId="77777777" w:rsidR="00A2416E" w:rsidRDefault="00A2416E">
      <w:pPr>
        <w:pStyle w:val="Brdtext"/>
        <w:rPr>
          <w:rFonts w:ascii="HelveticaNeueLT Std Cn"/>
          <w:sz w:val="20"/>
        </w:rPr>
      </w:pPr>
    </w:p>
    <w:p w14:paraId="6F92DCEE" w14:textId="77777777" w:rsidR="00A2416E" w:rsidRDefault="00A2416E">
      <w:pPr>
        <w:pStyle w:val="Brdtext"/>
        <w:rPr>
          <w:rFonts w:ascii="HelveticaNeueLT Std Cn"/>
          <w:sz w:val="20"/>
        </w:rPr>
      </w:pPr>
    </w:p>
    <w:p w14:paraId="70327EAF" w14:textId="77777777" w:rsidR="00A2416E" w:rsidRDefault="00A2416E">
      <w:pPr>
        <w:pStyle w:val="Brdtext"/>
        <w:rPr>
          <w:rFonts w:ascii="HelveticaNeueLT Std Cn"/>
          <w:sz w:val="20"/>
        </w:rPr>
      </w:pPr>
    </w:p>
    <w:p w14:paraId="5C32F2E3" w14:textId="77777777" w:rsidR="00A2416E" w:rsidRDefault="00A2416E">
      <w:pPr>
        <w:pStyle w:val="Brdtext"/>
        <w:rPr>
          <w:rFonts w:ascii="HelveticaNeueLT Std Cn"/>
          <w:sz w:val="20"/>
        </w:rPr>
      </w:pPr>
    </w:p>
    <w:p w14:paraId="299CDD49" w14:textId="77777777" w:rsidR="00A2416E" w:rsidRDefault="00A2416E">
      <w:pPr>
        <w:pStyle w:val="Brdtext"/>
        <w:rPr>
          <w:rFonts w:ascii="HelveticaNeueLT Std Cn"/>
          <w:sz w:val="20"/>
        </w:rPr>
      </w:pPr>
    </w:p>
    <w:p w14:paraId="01E205CD" w14:textId="77777777" w:rsidR="00A2416E" w:rsidRDefault="00A2416E">
      <w:pPr>
        <w:pStyle w:val="Brdtext"/>
        <w:rPr>
          <w:rFonts w:ascii="HelveticaNeueLT Std Cn"/>
          <w:sz w:val="20"/>
        </w:rPr>
      </w:pPr>
    </w:p>
    <w:p w14:paraId="57053980" w14:textId="77777777" w:rsidR="00A2416E" w:rsidRDefault="00A2416E">
      <w:pPr>
        <w:pStyle w:val="Brdtext"/>
        <w:rPr>
          <w:rFonts w:ascii="HelveticaNeueLT Std Cn"/>
          <w:sz w:val="20"/>
        </w:rPr>
      </w:pPr>
    </w:p>
    <w:p w14:paraId="7E7BCDE6" w14:textId="77777777" w:rsidR="00A2416E" w:rsidRDefault="00A2416E">
      <w:pPr>
        <w:pStyle w:val="Brdtext"/>
        <w:rPr>
          <w:rFonts w:ascii="HelveticaNeueLT Std Cn"/>
          <w:sz w:val="20"/>
        </w:rPr>
      </w:pPr>
    </w:p>
    <w:p w14:paraId="6E96DEB2" w14:textId="77777777" w:rsidR="00A2416E" w:rsidRDefault="00A2416E">
      <w:pPr>
        <w:pStyle w:val="Brdtext"/>
        <w:rPr>
          <w:rFonts w:ascii="HelveticaNeueLT Std Cn"/>
          <w:sz w:val="20"/>
        </w:rPr>
      </w:pPr>
    </w:p>
    <w:p w14:paraId="2CEA5378" w14:textId="77777777" w:rsidR="00A2416E" w:rsidRDefault="00A2416E">
      <w:pPr>
        <w:pStyle w:val="Brdtext"/>
        <w:rPr>
          <w:rFonts w:ascii="HelveticaNeueLT Std Cn"/>
          <w:sz w:val="20"/>
        </w:rPr>
      </w:pPr>
    </w:p>
    <w:p w14:paraId="3490DF5D" w14:textId="77777777" w:rsidR="00A2416E" w:rsidRDefault="00A2416E">
      <w:pPr>
        <w:pStyle w:val="Brdtext"/>
        <w:rPr>
          <w:rFonts w:ascii="HelveticaNeueLT Std Cn"/>
          <w:sz w:val="20"/>
        </w:rPr>
      </w:pPr>
    </w:p>
    <w:p w14:paraId="34D5B22D" w14:textId="77777777" w:rsidR="00A2416E" w:rsidRDefault="00A2416E">
      <w:pPr>
        <w:pStyle w:val="Brdtext"/>
        <w:rPr>
          <w:rFonts w:ascii="HelveticaNeueLT Std Cn"/>
          <w:sz w:val="20"/>
        </w:rPr>
      </w:pPr>
    </w:p>
    <w:p w14:paraId="05213574" w14:textId="77777777" w:rsidR="00A2416E" w:rsidRDefault="00A2416E">
      <w:pPr>
        <w:pStyle w:val="Brdtext"/>
        <w:rPr>
          <w:rFonts w:ascii="HelveticaNeueLT Std Cn"/>
          <w:sz w:val="20"/>
        </w:rPr>
      </w:pPr>
    </w:p>
    <w:p w14:paraId="660C5318" w14:textId="77777777" w:rsidR="00A2416E" w:rsidRDefault="00A2416E">
      <w:pPr>
        <w:pStyle w:val="Brdtext"/>
        <w:rPr>
          <w:rFonts w:ascii="HelveticaNeueLT Std Cn"/>
          <w:sz w:val="20"/>
        </w:rPr>
      </w:pPr>
    </w:p>
    <w:p w14:paraId="01DCA327" w14:textId="77777777" w:rsidR="00A2416E" w:rsidRDefault="00A2416E">
      <w:pPr>
        <w:pStyle w:val="Brdtext"/>
        <w:rPr>
          <w:rFonts w:ascii="HelveticaNeueLT Std Cn"/>
          <w:sz w:val="20"/>
        </w:rPr>
      </w:pPr>
    </w:p>
    <w:p w14:paraId="086BC412" w14:textId="77777777" w:rsidR="00A2416E" w:rsidRDefault="00A2416E">
      <w:pPr>
        <w:pStyle w:val="Brdtext"/>
        <w:rPr>
          <w:rFonts w:ascii="HelveticaNeueLT Std Cn"/>
          <w:sz w:val="20"/>
        </w:rPr>
      </w:pPr>
    </w:p>
    <w:p w14:paraId="294DA329" w14:textId="77777777" w:rsidR="00A2416E" w:rsidRDefault="00A2416E">
      <w:pPr>
        <w:pStyle w:val="Brdtext"/>
        <w:rPr>
          <w:rFonts w:ascii="HelveticaNeueLT Std Cn"/>
          <w:sz w:val="20"/>
        </w:rPr>
      </w:pPr>
    </w:p>
    <w:p w14:paraId="22792458" w14:textId="77777777" w:rsidR="00A2416E" w:rsidRDefault="00A2416E">
      <w:pPr>
        <w:pStyle w:val="Brdtext"/>
        <w:rPr>
          <w:rFonts w:ascii="HelveticaNeueLT Std Cn"/>
          <w:sz w:val="20"/>
        </w:rPr>
      </w:pPr>
    </w:p>
    <w:p w14:paraId="1C740100" w14:textId="77777777" w:rsidR="00A2416E" w:rsidRDefault="00A2416E">
      <w:pPr>
        <w:pStyle w:val="Brdtext"/>
        <w:rPr>
          <w:rFonts w:ascii="HelveticaNeueLT Std Cn"/>
          <w:sz w:val="20"/>
        </w:rPr>
      </w:pPr>
    </w:p>
    <w:p w14:paraId="29572199" w14:textId="77777777" w:rsidR="00A2416E" w:rsidRDefault="00A2416E">
      <w:pPr>
        <w:pStyle w:val="Brdtext"/>
        <w:rPr>
          <w:rFonts w:ascii="HelveticaNeueLT Std Cn"/>
          <w:sz w:val="20"/>
        </w:rPr>
      </w:pPr>
    </w:p>
    <w:p w14:paraId="0EB0BC72" w14:textId="77777777" w:rsidR="00A2416E" w:rsidRDefault="00A2416E">
      <w:pPr>
        <w:pStyle w:val="Brdtext"/>
        <w:rPr>
          <w:rFonts w:ascii="HelveticaNeueLT Std Cn"/>
          <w:sz w:val="20"/>
        </w:rPr>
      </w:pPr>
    </w:p>
    <w:p w14:paraId="2D3A12AE" w14:textId="77777777" w:rsidR="00A2416E" w:rsidRDefault="00A2416E">
      <w:pPr>
        <w:pStyle w:val="Brdtext"/>
        <w:rPr>
          <w:rFonts w:ascii="HelveticaNeueLT Std Cn"/>
          <w:sz w:val="20"/>
        </w:rPr>
      </w:pPr>
    </w:p>
    <w:p w14:paraId="27EB7451" w14:textId="77777777" w:rsidR="00A2416E" w:rsidRDefault="00A2416E">
      <w:pPr>
        <w:pStyle w:val="Brdtext"/>
        <w:rPr>
          <w:rFonts w:ascii="HelveticaNeueLT Std Cn"/>
          <w:sz w:val="20"/>
        </w:rPr>
      </w:pPr>
    </w:p>
    <w:p w14:paraId="0EDA141E" w14:textId="77777777" w:rsidR="00A2416E" w:rsidRDefault="00A2416E">
      <w:pPr>
        <w:pStyle w:val="Brdtext"/>
        <w:rPr>
          <w:rFonts w:ascii="HelveticaNeueLT Std Cn"/>
          <w:sz w:val="20"/>
        </w:rPr>
      </w:pPr>
    </w:p>
    <w:p w14:paraId="5F428612" w14:textId="77777777" w:rsidR="00A2416E" w:rsidRDefault="00A2416E">
      <w:pPr>
        <w:pStyle w:val="Brdtext"/>
        <w:rPr>
          <w:rFonts w:ascii="HelveticaNeueLT Std Cn"/>
          <w:sz w:val="20"/>
        </w:rPr>
      </w:pPr>
    </w:p>
    <w:p w14:paraId="161E4775" w14:textId="77777777" w:rsidR="00A2416E" w:rsidRDefault="00A2416E">
      <w:pPr>
        <w:pStyle w:val="Brdtext"/>
        <w:rPr>
          <w:rFonts w:ascii="HelveticaNeueLT Std Cn"/>
          <w:sz w:val="20"/>
        </w:rPr>
      </w:pPr>
    </w:p>
    <w:p w14:paraId="22A8064F" w14:textId="77777777" w:rsidR="00A2416E" w:rsidRDefault="00A2416E">
      <w:pPr>
        <w:pStyle w:val="Brdtext"/>
        <w:rPr>
          <w:rFonts w:ascii="HelveticaNeueLT Std Cn"/>
          <w:sz w:val="20"/>
        </w:rPr>
      </w:pPr>
    </w:p>
    <w:p w14:paraId="2306BE05" w14:textId="77777777" w:rsidR="00A2416E" w:rsidRDefault="00A2416E">
      <w:pPr>
        <w:pStyle w:val="Brdtext"/>
        <w:rPr>
          <w:rFonts w:ascii="HelveticaNeueLT Std Cn"/>
          <w:sz w:val="20"/>
        </w:rPr>
      </w:pPr>
    </w:p>
    <w:p w14:paraId="54B49DEE" w14:textId="77777777" w:rsidR="00A2416E" w:rsidRDefault="00A2416E">
      <w:pPr>
        <w:pStyle w:val="Brdtext"/>
        <w:rPr>
          <w:rFonts w:ascii="HelveticaNeueLT Std Cn"/>
          <w:sz w:val="20"/>
        </w:rPr>
      </w:pPr>
    </w:p>
    <w:p w14:paraId="301BA4AE" w14:textId="77777777" w:rsidR="00A2416E" w:rsidRDefault="00A2416E">
      <w:pPr>
        <w:pStyle w:val="Brdtext"/>
        <w:rPr>
          <w:rFonts w:ascii="HelveticaNeueLT Std Cn"/>
          <w:sz w:val="20"/>
        </w:rPr>
      </w:pPr>
    </w:p>
    <w:p w14:paraId="2F896C4C" w14:textId="77777777" w:rsidR="00A2416E" w:rsidRDefault="00A2416E">
      <w:pPr>
        <w:pStyle w:val="Brdtext"/>
        <w:rPr>
          <w:rFonts w:ascii="HelveticaNeueLT Std Cn"/>
          <w:sz w:val="20"/>
        </w:rPr>
      </w:pPr>
    </w:p>
    <w:p w14:paraId="460C6538" w14:textId="77777777" w:rsidR="00A2416E" w:rsidRDefault="00A2416E">
      <w:pPr>
        <w:pStyle w:val="Brdtext"/>
        <w:spacing w:before="5"/>
        <w:rPr>
          <w:rFonts w:ascii="HelveticaNeueLT Std Cn"/>
          <w:sz w:val="16"/>
        </w:rPr>
      </w:pPr>
    </w:p>
    <w:p w14:paraId="6493E55E" w14:textId="77777777" w:rsidR="00A2416E" w:rsidRDefault="00534832">
      <w:pPr>
        <w:spacing w:before="94"/>
        <w:ind w:left="3265" w:right="3303"/>
        <w:jc w:val="center"/>
        <w:rPr>
          <w:sz w:val="16"/>
        </w:rPr>
      </w:pPr>
      <w:r>
        <w:rPr>
          <w:sz w:val="16"/>
        </w:rPr>
        <w:t>AB „Arkitektkopia“, 2021 m.</w:t>
      </w:r>
    </w:p>
    <w:sectPr w:rsidR="00A2416E">
      <w:pgSz w:w="9360" w:h="13720"/>
      <w:pgMar w:top="1280" w:right="58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Cn">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C3022"/>
    <w:multiLevelType w:val="hybridMultilevel"/>
    <w:tmpl w:val="9C32ADD2"/>
    <w:lvl w:ilvl="0" w:tplc="DCE0122A">
      <w:start w:val="1"/>
      <w:numFmt w:val="lowerLetter"/>
      <w:lvlText w:val="%1."/>
      <w:lvlJc w:val="left"/>
      <w:pPr>
        <w:ind w:left="315" w:hanging="199"/>
        <w:jc w:val="left"/>
      </w:pPr>
      <w:rPr>
        <w:rFonts w:ascii="Times New Roman" w:eastAsia="Times New Roman" w:hAnsi="Times New Roman" w:cs="Times New Roman" w:hint="default"/>
        <w:w w:val="100"/>
        <w:sz w:val="19"/>
        <w:szCs w:val="19"/>
        <w:lang w:val="sv-SE" w:eastAsia="sv-SE" w:bidi="sv-SE"/>
      </w:rPr>
    </w:lvl>
    <w:lvl w:ilvl="1" w:tplc="46349384">
      <w:numFmt w:val="bullet"/>
      <w:lvlText w:val="•"/>
      <w:lvlJc w:val="left"/>
      <w:pPr>
        <w:ind w:left="933" w:hanging="199"/>
      </w:pPr>
      <w:rPr>
        <w:rFonts w:hint="default"/>
        <w:lang w:val="sv-SE" w:eastAsia="sv-SE" w:bidi="sv-SE"/>
      </w:rPr>
    </w:lvl>
    <w:lvl w:ilvl="2" w:tplc="CC300154">
      <w:numFmt w:val="bullet"/>
      <w:lvlText w:val="•"/>
      <w:lvlJc w:val="left"/>
      <w:pPr>
        <w:ind w:left="1546" w:hanging="199"/>
      </w:pPr>
      <w:rPr>
        <w:rFonts w:hint="default"/>
        <w:lang w:val="sv-SE" w:eastAsia="sv-SE" w:bidi="sv-SE"/>
      </w:rPr>
    </w:lvl>
    <w:lvl w:ilvl="3" w:tplc="49C20834">
      <w:numFmt w:val="bullet"/>
      <w:lvlText w:val="•"/>
      <w:lvlJc w:val="left"/>
      <w:pPr>
        <w:ind w:left="2160" w:hanging="199"/>
      </w:pPr>
      <w:rPr>
        <w:rFonts w:hint="default"/>
        <w:lang w:val="sv-SE" w:eastAsia="sv-SE" w:bidi="sv-SE"/>
      </w:rPr>
    </w:lvl>
    <w:lvl w:ilvl="4" w:tplc="265016FE">
      <w:numFmt w:val="bullet"/>
      <w:lvlText w:val="•"/>
      <w:lvlJc w:val="left"/>
      <w:pPr>
        <w:ind w:left="2773" w:hanging="199"/>
      </w:pPr>
      <w:rPr>
        <w:rFonts w:hint="default"/>
        <w:lang w:val="sv-SE" w:eastAsia="sv-SE" w:bidi="sv-SE"/>
      </w:rPr>
    </w:lvl>
    <w:lvl w:ilvl="5" w:tplc="4BD2233C">
      <w:numFmt w:val="bullet"/>
      <w:lvlText w:val="•"/>
      <w:lvlJc w:val="left"/>
      <w:pPr>
        <w:ind w:left="3386" w:hanging="199"/>
      </w:pPr>
      <w:rPr>
        <w:rFonts w:hint="default"/>
        <w:lang w:val="sv-SE" w:eastAsia="sv-SE" w:bidi="sv-SE"/>
      </w:rPr>
    </w:lvl>
    <w:lvl w:ilvl="6" w:tplc="3E8E58BE">
      <w:numFmt w:val="bullet"/>
      <w:lvlText w:val="•"/>
      <w:lvlJc w:val="left"/>
      <w:pPr>
        <w:ind w:left="4000" w:hanging="199"/>
      </w:pPr>
      <w:rPr>
        <w:rFonts w:hint="default"/>
        <w:lang w:val="sv-SE" w:eastAsia="sv-SE" w:bidi="sv-SE"/>
      </w:rPr>
    </w:lvl>
    <w:lvl w:ilvl="7" w:tplc="D1A2B188">
      <w:numFmt w:val="bullet"/>
      <w:lvlText w:val="•"/>
      <w:lvlJc w:val="left"/>
      <w:pPr>
        <w:ind w:left="4613" w:hanging="199"/>
      </w:pPr>
      <w:rPr>
        <w:rFonts w:hint="default"/>
        <w:lang w:val="sv-SE" w:eastAsia="sv-SE" w:bidi="sv-SE"/>
      </w:rPr>
    </w:lvl>
    <w:lvl w:ilvl="8" w:tplc="2B70E1B6">
      <w:numFmt w:val="bullet"/>
      <w:lvlText w:val="•"/>
      <w:lvlJc w:val="left"/>
      <w:pPr>
        <w:ind w:left="5226" w:hanging="199"/>
      </w:pPr>
      <w:rPr>
        <w:rFonts w:hint="default"/>
        <w:lang w:val="sv-SE" w:eastAsia="sv-SE" w:bidi="sv-SE"/>
      </w:rPr>
    </w:lvl>
  </w:abstractNum>
  <w:abstractNum w:abstractNumId="1" w15:restartNumberingAfterBreak="0">
    <w:nsid w:val="481C1347"/>
    <w:multiLevelType w:val="hybridMultilevel"/>
    <w:tmpl w:val="9C7E1930"/>
    <w:lvl w:ilvl="0" w:tplc="C744F9C0">
      <w:start w:val="1"/>
      <w:numFmt w:val="lowerLetter"/>
      <w:lvlText w:val="%1."/>
      <w:lvlJc w:val="left"/>
      <w:pPr>
        <w:ind w:left="315" w:hanging="199"/>
        <w:jc w:val="left"/>
      </w:pPr>
      <w:rPr>
        <w:rFonts w:ascii="Times New Roman" w:eastAsia="Times New Roman" w:hAnsi="Times New Roman" w:cs="Times New Roman" w:hint="default"/>
        <w:w w:val="100"/>
        <w:sz w:val="19"/>
        <w:szCs w:val="19"/>
        <w:lang w:val="sv-SE" w:eastAsia="sv-SE" w:bidi="sv-SE"/>
      </w:rPr>
    </w:lvl>
    <w:lvl w:ilvl="1" w:tplc="FEB4DD82">
      <w:numFmt w:val="bullet"/>
      <w:lvlText w:val="•"/>
      <w:lvlJc w:val="left"/>
      <w:pPr>
        <w:ind w:left="933" w:hanging="199"/>
      </w:pPr>
      <w:rPr>
        <w:rFonts w:hint="default"/>
        <w:lang w:val="sv-SE" w:eastAsia="sv-SE" w:bidi="sv-SE"/>
      </w:rPr>
    </w:lvl>
    <w:lvl w:ilvl="2" w:tplc="50BA73C2">
      <w:numFmt w:val="bullet"/>
      <w:lvlText w:val="•"/>
      <w:lvlJc w:val="left"/>
      <w:pPr>
        <w:ind w:left="1546" w:hanging="199"/>
      </w:pPr>
      <w:rPr>
        <w:rFonts w:hint="default"/>
        <w:lang w:val="sv-SE" w:eastAsia="sv-SE" w:bidi="sv-SE"/>
      </w:rPr>
    </w:lvl>
    <w:lvl w:ilvl="3" w:tplc="4ED00D5E">
      <w:numFmt w:val="bullet"/>
      <w:lvlText w:val="•"/>
      <w:lvlJc w:val="left"/>
      <w:pPr>
        <w:ind w:left="2160" w:hanging="199"/>
      </w:pPr>
      <w:rPr>
        <w:rFonts w:hint="default"/>
        <w:lang w:val="sv-SE" w:eastAsia="sv-SE" w:bidi="sv-SE"/>
      </w:rPr>
    </w:lvl>
    <w:lvl w:ilvl="4" w:tplc="20641262">
      <w:numFmt w:val="bullet"/>
      <w:lvlText w:val="•"/>
      <w:lvlJc w:val="left"/>
      <w:pPr>
        <w:ind w:left="2773" w:hanging="199"/>
      </w:pPr>
      <w:rPr>
        <w:rFonts w:hint="default"/>
        <w:lang w:val="sv-SE" w:eastAsia="sv-SE" w:bidi="sv-SE"/>
      </w:rPr>
    </w:lvl>
    <w:lvl w:ilvl="5" w:tplc="A4BE9D08">
      <w:numFmt w:val="bullet"/>
      <w:lvlText w:val="•"/>
      <w:lvlJc w:val="left"/>
      <w:pPr>
        <w:ind w:left="3386" w:hanging="199"/>
      </w:pPr>
      <w:rPr>
        <w:rFonts w:hint="default"/>
        <w:lang w:val="sv-SE" w:eastAsia="sv-SE" w:bidi="sv-SE"/>
      </w:rPr>
    </w:lvl>
    <w:lvl w:ilvl="6" w:tplc="CCC41658">
      <w:numFmt w:val="bullet"/>
      <w:lvlText w:val="•"/>
      <w:lvlJc w:val="left"/>
      <w:pPr>
        <w:ind w:left="4000" w:hanging="199"/>
      </w:pPr>
      <w:rPr>
        <w:rFonts w:hint="default"/>
        <w:lang w:val="sv-SE" w:eastAsia="sv-SE" w:bidi="sv-SE"/>
      </w:rPr>
    </w:lvl>
    <w:lvl w:ilvl="7" w:tplc="905C7B2E">
      <w:numFmt w:val="bullet"/>
      <w:lvlText w:val="•"/>
      <w:lvlJc w:val="left"/>
      <w:pPr>
        <w:ind w:left="4613" w:hanging="199"/>
      </w:pPr>
      <w:rPr>
        <w:rFonts w:hint="default"/>
        <w:lang w:val="sv-SE" w:eastAsia="sv-SE" w:bidi="sv-SE"/>
      </w:rPr>
    </w:lvl>
    <w:lvl w:ilvl="8" w:tplc="0A20BB10">
      <w:numFmt w:val="bullet"/>
      <w:lvlText w:val="•"/>
      <w:lvlJc w:val="left"/>
      <w:pPr>
        <w:ind w:left="5226" w:hanging="199"/>
      </w:pPr>
      <w:rPr>
        <w:rFonts w:hint="default"/>
        <w:lang w:val="sv-SE" w:eastAsia="sv-SE" w:bidi="sv-SE"/>
      </w:rPr>
    </w:lvl>
  </w:abstractNum>
  <w:abstractNum w:abstractNumId="2" w15:restartNumberingAfterBreak="0">
    <w:nsid w:val="5BD660CD"/>
    <w:multiLevelType w:val="hybridMultilevel"/>
    <w:tmpl w:val="E2CC420E"/>
    <w:lvl w:ilvl="0" w:tplc="87C88236">
      <w:start w:val="1"/>
      <w:numFmt w:val="lowerLetter"/>
      <w:lvlText w:val="%1."/>
      <w:lvlJc w:val="left"/>
      <w:pPr>
        <w:ind w:left="315" w:hanging="199"/>
        <w:jc w:val="left"/>
      </w:pPr>
      <w:rPr>
        <w:rFonts w:ascii="Times New Roman" w:eastAsia="Times New Roman" w:hAnsi="Times New Roman" w:cs="Times New Roman" w:hint="default"/>
        <w:w w:val="100"/>
        <w:sz w:val="19"/>
        <w:szCs w:val="19"/>
        <w:lang w:val="sv-SE" w:eastAsia="sv-SE" w:bidi="sv-SE"/>
      </w:rPr>
    </w:lvl>
    <w:lvl w:ilvl="1" w:tplc="D8EA215C">
      <w:numFmt w:val="bullet"/>
      <w:lvlText w:val="•"/>
      <w:lvlJc w:val="left"/>
      <w:pPr>
        <w:ind w:left="933" w:hanging="199"/>
      </w:pPr>
      <w:rPr>
        <w:rFonts w:hint="default"/>
        <w:lang w:val="sv-SE" w:eastAsia="sv-SE" w:bidi="sv-SE"/>
      </w:rPr>
    </w:lvl>
    <w:lvl w:ilvl="2" w:tplc="2D1CE9CC">
      <w:numFmt w:val="bullet"/>
      <w:lvlText w:val="•"/>
      <w:lvlJc w:val="left"/>
      <w:pPr>
        <w:ind w:left="1546" w:hanging="199"/>
      </w:pPr>
      <w:rPr>
        <w:rFonts w:hint="default"/>
        <w:lang w:val="sv-SE" w:eastAsia="sv-SE" w:bidi="sv-SE"/>
      </w:rPr>
    </w:lvl>
    <w:lvl w:ilvl="3" w:tplc="F2682940">
      <w:numFmt w:val="bullet"/>
      <w:lvlText w:val="•"/>
      <w:lvlJc w:val="left"/>
      <w:pPr>
        <w:ind w:left="2160" w:hanging="199"/>
      </w:pPr>
      <w:rPr>
        <w:rFonts w:hint="default"/>
        <w:lang w:val="sv-SE" w:eastAsia="sv-SE" w:bidi="sv-SE"/>
      </w:rPr>
    </w:lvl>
    <w:lvl w:ilvl="4" w:tplc="C7582D32">
      <w:numFmt w:val="bullet"/>
      <w:lvlText w:val="•"/>
      <w:lvlJc w:val="left"/>
      <w:pPr>
        <w:ind w:left="2773" w:hanging="199"/>
      </w:pPr>
      <w:rPr>
        <w:rFonts w:hint="default"/>
        <w:lang w:val="sv-SE" w:eastAsia="sv-SE" w:bidi="sv-SE"/>
      </w:rPr>
    </w:lvl>
    <w:lvl w:ilvl="5" w:tplc="4C42FF80">
      <w:numFmt w:val="bullet"/>
      <w:lvlText w:val="•"/>
      <w:lvlJc w:val="left"/>
      <w:pPr>
        <w:ind w:left="3386" w:hanging="199"/>
      </w:pPr>
      <w:rPr>
        <w:rFonts w:hint="default"/>
        <w:lang w:val="sv-SE" w:eastAsia="sv-SE" w:bidi="sv-SE"/>
      </w:rPr>
    </w:lvl>
    <w:lvl w:ilvl="6" w:tplc="8EB06906">
      <w:numFmt w:val="bullet"/>
      <w:lvlText w:val="•"/>
      <w:lvlJc w:val="left"/>
      <w:pPr>
        <w:ind w:left="4000" w:hanging="199"/>
      </w:pPr>
      <w:rPr>
        <w:rFonts w:hint="default"/>
        <w:lang w:val="sv-SE" w:eastAsia="sv-SE" w:bidi="sv-SE"/>
      </w:rPr>
    </w:lvl>
    <w:lvl w:ilvl="7" w:tplc="A57C080A">
      <w:numFmt w:val="bullet"/>
      <w:lvlText w:val="•"/>
      <w:lvlJc w:val="left"/>
      <w:pPr>
        <w:ind w:left="4613" w:hanging="199"/>
      </w:pPr>
      <w:rPr>
        <w:rFonts w:hint="default"/>
        <w:lang w:val="sv-SE" w:eastAsia="sv-SE" w:bidi="sv-SE"/>
      </w:rPr>
    </w:lvl>
    <w:lvl w:ilvl="8" w:tplc="D0B8D752">
      <w:numFmt w:val="bullet"/>
      <w:lvlText w:val="•"/>
      <w:lvlJc w:val="left"/>
      <w:pPr>
        <w:ind w:left="5226" w:hanging="199"/>
      </w:pPr>
      <w:rPr>
        <w:rFonts w:hint="default"/>
        <w:lang w:val="sv-SE" w:eastAsia="sv-SE" w:bidi="sv-SE"/>
      </w:rPr>
    </w:lvl>
  </w:abstractNum>
  <w:abstractNum w:abstractNumId="3" w15:restartNumberingAfterBreak="0">
    <w:nsid w:val="75B322EB"/>
    <w:multiLevelType w:val="hybridMultilevel"/>
    <w:tmpl w:val="9434F28E"/>
    <w:lvl w:ilvl="0" w:tplc="B284F896">
      <w:start w:val="4"/>
      <w:numFmt w:val="decimal"/>
      <w:lvlText w:val="%1"/>
      <w:lvlJc w:val="left"/>
      <w:pPr>
        <w:ind w:left="117" w:hanging="191"/>
        <w:jc w:val="left"/>
      </w:pPr>
      <w:rPr>
        <w:rFonts w:ascii="Times New Roman" w:eastAsia="Times New Roman" w:hAnsi="Times New Roman" w:cs="Times New Roman" w:hint="default"/>
        <w:b/>
        <w:bCs/>
        <w:spacing w:val="-8"/>
        <w:w w:val="100"/>
        <w:sz w:val="19"/>
        <w:szCs w:val="19"/>
        <w:lang w:val="sv-SE" w:eastAsia="sv-SE" w:bidi="sv-SE"/>
      </w:rPr>
    </w:lvl>
    <w:lvl w:ilvl="1" w:tplc="393E4A44">
      <w:numFmt w:val="bullet"/>
      <w:lvlText w:val="•"/>
      <w:lvlJc w:val="left"/>
      <w:pPr>
        <w:ind w:left="400" w:hanging="191"/>
      </w:pPr>
      <w:rPr>
        <w:rFonts w:hint="default"/>
        <w:lang w:val="sv-SE" w:eastAsia="sv-SE" w:bidi="sv-SE"/>
      </w:rPr>
    </w:lvl>
    <w:lvl w:ilvl="2" w:tplc="6742EC7E">
      <w:numFmt w:val="bullet"/>
      <w:lvlText w:val="•"/>
      <w:lvlJc w:val="left"/>
      <w:pPr>
        <w:ind w:left="892" w:hanging="191"/>
      </w:pPr>
      <w:rPr>
        <w:rFonts w:hint="default"/>
        <w:lang w:val="sv-SE" w:eastAsia="sv-SE" w:bidi="sv-SE"/>
      </w:rPr>
    </w:lvl>
    <w:lvl w:ilvl="3" w:tplc="458C596A">
      <w:numFmt w:val="bullet"/>
      <w:lvlText w:val="•"/>
      <w:lvlJc w:val="left"/>
      <w:pPr>
        <w:ind w:left="1385" w:hanging="191"/>
      </w:pPr>
      <w:rPr>
        <w:rFonts w:hint="default"/>
        <w:lang w:val="sv-SE" w:eastAsia="sv-SE" w:bidi="sv-SE"/>
      </w:rPr>
    </w:lvl>
    <w:lvl w:ilvl="4" w:tplc="A57C0292">
      <w:numFmt w:val="bullet"/>
      <w:lvlText w:val="•"/>
      <w:lvlJc w:val="left"/>
      <w:pPr>
        <w:ind w:left="1878" w:hanging="191"/>
      </w:pPr>
      <w:rPr>
        <w:rFonts w:hint="default"/>
        <w:lang w:val="sv-SE" w:eastAsia="sv-SE" w:bidi="sv-SE"/>
      </w:rPr>
    </w:lvl>
    <w:lvl w:ilvl="5" w:tplc="EAD81622">
      <w:numFmt w:val="bullet"/>
      <w:lvlText w:val="•"/>
      <w:lvlJc w:val="left"/>
      <w:pPr>
        <w:ind w:left="2371" w:hanging="191"/>
      </w:pPr>
      <w:rPr>
        <w:rFonts w:hint="default"/>
        <w:lang w:val="sv-SE" w:eastAsia="sv-SE" w:bidi="sv-SE"/>
      </w:rPr>
    </w:lvl>
    <w:lvl w:ilvl="6" w:tplc="79FE8E66">
      <w:numFmt w:val="bullet"/>
      <w:lvlText w:val="•"/>
      <w:lvlJc w:val="left"/>
      <w:pPr>
        <w:ind w:left="2864" w:hanging="191"/>
      </w:pPr>
      <w:rPr>
        <w:rFonts w:hint="default"/>
        <w:lang w:val="sv-SE" w:eastAsia="sv-SE" w:bidi="sv-SE"/>
      </w:rPr>
    </w:lvl>
    <w:lvl w:ilvl="7" w:tplc="48705B1C">
      <w:numFmt w:val="bullet"/>
      <w:lvlText w:val="•"/>
      <w:lvlJc w:val="left"/>
      <w:pPr>
        <w:ind w:left="3357" w:hanging="191"/>
      </w:pPr>
      <w:rPr>
        <w:rFonts w:hint="default"/>
        <w:lang w:val="sv-SE" w:eastAsia="sv-SE" w:bidi="sv-SE"/>
      </w:rPr>
    </w:lvl>
    <w:lvl w:ilvl="8" w:tplc="9DD4479E">
      <w:numFmt w:val="bullet"/>
      <w:lvlText w:val="•"/>
      <w:lvlJc w:val="left"/>
      <w:pPr>
        <w:ind w:left="3850" w:hanging="191"/>
      </w:pPr>
      <w:rPr>
        <w:rFonts w:hint="default"/>
        <w:lang w:val="sv-SE" w:eastAsia="sv-SE" w:bidi="sv-SE"/>
      </w:rPr>
    </w:lvl>
  </w:abstractNum>
  <w:abstractNum w:abstractNumId="4" w15:restartNumberingAfterBreak="0">
    <w:nsid w:val="781053DB"/>
    <w:multiLevelType w:val="hybridMultilevel"/>
    <w:tmpl w:val="78DE761A"/>
    <w:lvl w:ilvl="0" w:tplc="46523CC6">
      <w:start w:val="1"/>
      <w:numFmt w:val="lowerLetter"/>
      <w:lvlText w:val="%1."/>
      <w:lvlJc w:val="left"/>
      <w:pPr>
        <w:ind w:left="315" w:hanging="199"/>
        <w:jc w:val="left"/>
      </w:pPr>
      <w:rPr>
        <w:rFonts w:ascii="Times New Roman" w:eastAsia="Times New Roman" w:hAnsi="Times New Roman" w:cs="Times New Roman" w:hint="default"/>
        <w:w w:val="100"/>
        <w:sz w:val="19"/>
        <w:szCs w:val="19"/>
        <w:lang w:val="sv-SE" w:eastAsia="sv-SE" w:bidi="sv-SE"/>
      </w:rPr>
    </w:lvl>
    <w:lvl w:ilvl="1" w:tplc="0C929874">
      <w:numFmt w:val="bullet"/>
      <w:lvlText w:val="•"/>
      <w:lvlJc w:val="left"/>
      <w:pPr>
        <w:ind w:left="933" w:hanging="199"/>
      </w:pPr>
      <w:rPr>
        <w:rFonts w:hint="default"/>
        <w:lang w:val="sv-SE" w:eastAsia="sv-SE" w:bidi="sv-SE"/>
      </w:rPr>
    </w:lvl>
    <w:lvl w:ilvl="2" w:tplc="1D466E7E">
      <w:numFmt w:val="bullet"/>
      <w:lvlText w:val="•"/>
      <w:lvlJc w:val="left"/>
      <w:pPr>
        <w:ind w:left="1546" w:hanging="199"/>
      </w:pPr>
      <w:rPr>
        <w:rFonts w:hint="default"/>
        <w:lang w:val="sv-SE" w:eastAsia="sv-SE" w:bidi="sv-SE"/>
      </w:rPr>
    </w:lvl>
    <w:lvl w:ilvl="3" w:tplc="7B32C61C">
      <w:numFmt w:val="bullet"/>
      <w:lvlText w:val="•"/>
      <w:lvlJc w:val="left"/>
      <w:pPr>
        <w:ind w:left="2160" w:hanging="199"/>
      </w:pPr>
      <w:rPr>
        <w:rFonts w:hint="default"/>
        <w:lang w:val="sv-SE" w:eastAsia="sv-SE" w:bidi="sv-SE"/>
      </w:rPr>
    </w:lvl>
    <w:lvl w:ilvl="4" w:tplc="CC2A008E">
      <w:numFmt w:val="bullet"/>
      <w:lvlText w:val="•"/>
      <w:lvlJc w:val="left"/>
      <w:pPr>
        <w:ind w:left="2773" w:hanging="199"/>
      </w:pPr>
      <w:rPr>
        <w:rFonts w:hint="default"/>
        <w:lang w:val="sv-SE" w:eastAsia="sv-SE" w:bidi="sv-SE"/>
      </w:rPr>
    </w:lvl>
    <w:lvl w:ilvl="5" w:tplc="BFD03AA2">
      <w:numFmt w:val="bullet"/>
      <w:lvlText w:val="•"/>
      <w:lvlJc w:val="left"/>
      <w:pPr>
        <w:ind w:left="3386" w:hanging="199"/>
      </w:pPr>
      <w:rPr>
        <w:rFonts w:hint="default"/>
        <w:lang w:val="sv-SE" w:eastAsia="sv-SE" w:bidi="sv-SE"/>
      </w:rPr>
    </w:lvl>
    <w:lvl w:ilvl="6" w:tplc="BFA48664">
      <w:numFmt w:val="bullet"/>
      <w:lvlText w:val="•"/>
      <w:lvlJc w:val="left"/>
      <w:pPr>
        <w:ind w:left="4000" w:hanging="199"/>
      </w:pPr>
      <w:rPr>
        <w:rFonts w:hint="default"/>
        <w:lang w:val="sv-SE" w:eastAsia="sv-SE" w:bidi="sv-SE"/>
      </w:rPr>
    </w:lvl>
    <w:lvl w:ilvl="7" w:tplc="4F0CD3C6">
      <w:numFmt w:val="bullet"/>
      <w:lvlText w:val="•"/>
      <w:lvlJc w:val="left"/>
      <w:pPr>
        <w:ind w:left="4613" w:hanging="199"/>
      </w:pPr>
      <w:rPr>
        <w:rFonts w:hint="default"/>
        <w:lang w:val="sv-SE" w:eastAsia="sv-SE" w:bidi="sv-SE"/>
      </w:rPr>
    </w:lvl>
    <w:lvl w:ilvl="8" w:tplc="00F4FAC6">
      <w:numFmt w:val="bullet"/>
      <w:lvlText w:val="•"/>
      <w:lvlJc w:val="left"/>
      <w:pPr>
        <w:ind w:left="5226" w:hanging="199"/>
      </w:pPr>
      <w:rPr>
        <w:rFonts w:hint="default"/>
        <w:lang w:val="sv-SE" w:eastAsia="sv-SE" w:bidi="sv-SE"/>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A2416E"/>
    <w:rsid w:val="00534832"/>
    <w:rsid w:val="00581354"/>
    <w:rsid w:val="0067707B"/>
    <w:rsid w:val="00A2416E"/>
    <w:rsid w:val="00C763BB"/>
    <w:rsid w:val="00E241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2978AA5"/>
  <w15:docId w15:val="{3431FC6E-06A0-4218-8771-913709BBE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eastAsia="sv-SE" w:bidi="sv-SE"/>
    </w:rPr>
  </w:style>
  <w:style w:type="paragraph" w:styleId="Rubrik1">
    <w:name w:val="heading 1"/>
    <w:basedOn w:val="Normal"/>
    <w:uiPriority w:val="9"/>
    <w:qFormat/>
    <w:pPr>
      <w:spacing w:before="71"/>
      <w:ind w:right="33"/>
      <w:outlineLvl w:val="0"/>
    </w:pPr>
    <w:rPr>
      <w:b/>
      <w:bCs/>
      <w:sz w:val="26"/>
      <w:szCs w:val="26"/>
    </w:rPr>
  </w:style>
  <w:style w:type="paragraph" w:styleId="Rubrik2">
    <w:name w:val="heading 2"/>
    <w:basedOn w:val="Normal"/>
    <w:uiPriority w:val="9"/>
    <w:unhideWhenUsed/>
    <w:qFormat/>
    <w:pPr>
      <w:spacing w:before="73"/>
      <w:ind w:left="117"/>
      <w:outlineLvl w:val="1"/>
    </w:pPr>
    <w:rPr>
      <w:b/>
      <w:bCs/>
      <w:sz w:val="21"/>
      <w:szCs w:val="21"/>
    </w:rPr>
  </w:style>
  <w:style w:type="paragraph" w:styleId="Rubrik3">
    <w:name w:val="heading 3"/>
    <w:basedOn w:val="Normal"/>
    <w:uiPriority w:val="9"/>
    <w:unhideWhenUsed/>
    <w:qFormat/>
    <w:pPr>
      <w:spacing w:before="1"/>
      <w:ind w:left="117"/>
      <w:outlineLvl w:val="2"/>
    </w:pPr>
    <w:rPr>
      <w:rFonts w:ascii="HelveticaNeueLT Std Cn" w:eastAsia="HelveticaNeueLT Std Cn" w:hAnsi="HelveticaNeueLT Std Cn" w:cs="HelveticaNeueLT Std Cn"/>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Pr>
      <w:sz w:val="19"/>
      <w:szCs w:val="19"/>
    </w:rPr>
  </w:style>
  <w:style w:type="paragraph" w:styleId="Liststycke">
    <w:name w:val="List Paragraph"/>
    <w:basedOn w:val="Normal"/>
    <w:uiPriority w:val="1"/>
    <w:qFormat/>
    <w:pPr>
      <w:spacing w:before="68"/>
      <w:ind w:left="315" w:hanging="199"/>
    </w:pPr>
  </w:style>
  <w:style w:type="paragraph" w:customStyle="1" w:styleId="TableParagraph">
    <w:name w:val="Table Paragraph"/>
    <w:basedOn w:val="Normal"/>
    <w:uiPriority w:val="1"/>
    <w:qFormat/>
    <w:pPr>
      <w:spacing w:before="36"/>
      <w:ind w:left="11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1749</Words>
  <Characters>9274</Characters>
  <Application>Microsoft Office Word</Application>
  <DocSecurity>0</DocSecurity>
  <Lines>77</Lines>
  <Paragraphs>22</Paragraphs>
  <ScaleCrop>false</ScaleCrop>
  <HeadingPairs>
    <vt:vector size="2" baseType="variant">
      <vt:variant>
        <vt:lpstr>Rubrik</vt:lpstr>
      </vt:variant>
      <vt:variant>
        <vt:i4>1</vt:i4>
      </vt:variant>
    </vt:vector>
  </HeadingPairs>
  <TitlesOfParts>
    <vt:vector size="1" baseType="lpstr">
      <vt:lpstr>STEMFS 2021:2 Föreskrifter om ändring av Statens energimyndighets föreskrifter (STEMFS 2017:3) om rapportering och beräkning enligt drivmedelslagen</vt:lpstr>
    </vt:vector>
  </TitlesOfParts>
  <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STEMFS 2021:2 Föreskrifter om ändring av Statens energimyndighets föreskrifter (STEMFS 2017:3) om rapportering och beräkning enligt drivmedelslagen</dc:title>
  <dc:creator>Rikard Janson (chefsjurist)</dc:creator>
  <cp:keywords>STEMFS 2021:2 Föreskrifter om ändring av Statens energimyndighets föreskrifter (STEMFS 2017:3) om rapportering och beräkning enligt drivmedelslagen</cp:keywords>
  <cp:lastModifiedBy>Edison Moises Parraga Chica</cp:lastModifiedBy>
  <cp:revision>4</cp:revision>
  <dcterms:created xsi:type="dcterms:W3CDTF">2021-04-07T09:34:00Z</dcterms:created>
  <dcterms:modified xsi:type="dcterms:W3CDTF">2022-01-17T18:16:00Z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2021-01-29T00:00:00Z</vt:filetime>
  </property>
  <property fmtid="{D5CDD505-2E9C-101B-9397-08002B2CF9AE}" pid="3" name="Creator">
    <vt:lpwstr>Adobe InDesign 16.0 (Windows)</vt:lpwstr>
  </property>
  <property fmtid="{D5CDD505-2E9C-101B-9397-08002B2CF9AE}" pid="4" name="LastSaved">
    <vt:filetime>2021-04-07T00:00:00Z</vt:filetime>
  </property>
</Properties>
</file>