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292D" w14:textId="77777777" w:rsidR="00A2416E" w:rsidRDefault="00534832" w:rsidP="00581354">
      <w:pPr>
        <w:spacing w:before="92" w:line="220" w:lineRule="auto"/>
        <w:ind w:left="400" w:right="3390"/>
        <w:rPr>
          <w:b/>
          <w:sz w:val="36"/>
        </w:rPr>
      </w:pPr>
      <w:bookmarkStart w:id="0" w:name="Inledande_bestämmelser_och_definitioner"/>
      <w:bookmarkEnd w:id="0"/>
      <w:r>
        <w:rPr>
          <w:b/>
          <w:sz w:val="36"/>
        </w:rPr>
        <w:t>Przepisy szwedzkiego Urzędu Energetyki</w:t>
      </w:r>
    </w:p>
    <w:p w14:paraId="347D5EC4" w14:textId="77777777" w:rsidR="00A2416E" w:rsidRDefault="006C352C">
      <w:pPr>
        <w:spacing w:before="148" w:line="261" w:lineRule="auto"/>
        <w:ind w:left="400" w:right="5371"/>
        <w:rPr>
          <w:sz w:val="16"/>
        </w:rPr>
      </w:pPr>
      <w:r>
        <w:pict w14:anchorId="18D320B1">
          <v:shape id="_x0000_s1028" style="position:absolute;left:0;text-align:left;margin-left:51pt;margin-top:29.9pt;width:380.35pt;height:.1pt;z-index:-251658240;mso-wrap-distance-left:0;mso-wrap-distance-right:0;mso-position-horizontal-relative:page" coordorigin="1020,598" coordsize="7607,0" path="m1020,598r7607,e" filled="f" strokeweight=".34994mm">
            <v:path arrowok="t"/>
            <w10:wrap type="topAndBottom" anchorx="page"/>
          </v:shape>
        </w:pict>
      </w:r>
      <w:r w:rsidR="00581354">
        <w:rPr>
          <w:sz w:val="16"/>
        </w:rPr>
        <w:t>Publikacja: Rikard Janson (dyrektor ds. prawnych) ISSN 1650-7703</w:t>
      </w:r>
    </w:p>
    <w:p w14:paraId="48A9609E" w14:textId="77777777" w:rsidR="00A2416E" w:rsidRDefault="00A2416E">
      <w:pPr>
        <w:pStyle w:val="Brdtext"/>
        <w:spacing w:before="1"/>
        <w:rPr>
          <w:sz w:val="13"/>
        </w:rPr>
      </w:pPr>
    </w:p>
    <w:p w14:paraId="24EC6EF5" w14:textId="77777777" w:rsidR="00A2416E" w:rsidRDefault="00A2416E">
      <w:pPr>
        <w:rPr>
          <w:sz w:val="13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1D697384" w14:textId="77777777" w:rsidR="00A2416E" w:rsidRDefault="00534832">
      <w:pPr>
        <w:pStyle w:val="Rubrik1"/>
        <w:spacing w:before="103" w:line="225" w:lineRule="auto"/>
        <w:ind w:left="400"/>
      </w:pPr>
      <w:r>
        <w:t>Przepisy zmieniające przepisy szwedzkiego Urzędu Energetyki (STEMFS 2017:3) w sprawie przekazywania danych i metod obliczeń na podstawie ustawy o paliwach;</w:t>
      </w:r>
    </w:p>
    <w:p w14:paraId="71813F81" w14:textId="77777777" w:rsidR="00A2416E" w:rsidRDefault="00534832">
      <w:pPr>
        <w:pStyle w:val="Brdtext"/>
        <w:spacing w:before="188"/>
        <w:ind w:left="400"/>
        <w:jc w:val="both"/>
      </w:pPr>
      <w:r>
        <w:t>przyjęte dnia 20 stycznia 2021 r.</w:t>
      </w:r>
    </w:p>
    <w:p w14:paraId="066E2CAE" w14:textId="77777777" w:rsidR="00A2416E" w:rsidRDefault="00A2416E">
      <w:pPr>
        <w:pStyle w:val="Brdtext"/>
        <w:spacing w:before="6"/>
        <w:rPr>
          <w:sz w:val="17"/>
        </w:rPr>
      </w:pPr>
    </w:p>
    <w:p w14:paraId="4BB4C994" w14:textId="77777777" w:rsidR="00A2416E" w:rsidRDefault="00534832">
      <w:pPr>
        <w:pStyle w:val="Brdtext"/>
        <w:spacing w:line="273" w:lineRule="auto"/>
        <w:ind w:left="400"/>
        <w:jc w:val="both"/>
      </w:pPr>
      <w:r>
        <w:t>Na podstawie § 13 rozporządzenia w sprawie paliw (2011:346) Szwedzki Urząd Energetyki postanawia</w:t>
      </w:r>
      <w:r>
        <w:rPr>
          <w:sz w:val="11"/>
        </w:rPr>
        <w:t>1</w:t>
      </w:r>
      <w:r>
        <w:t>, że w jego przepisach w sprawie przekazywania danych i metod obliczeń na podstawie ustawy o paliwach wprowadza się następujące zmiany:</w:t>
      </w:r>
    </w:p>
    <w:p w14:paraId="71A61FB5" w14:textId="77777777" w:rsidR="00A2416E" w:rsidRDefault="00534832">
      <w:pPr>
        <w:pStyle w:val="Brdtext"/>
        <w:spacing w:before="173" w:line="398" w:lineRule="auto"/>
        <w:ind w:left="400" w:right="1681"/>
        <w:jc w:val="both"/>
      </w:pPr>
      <w:r>
        <w:t>dodaje się nowy § 12a i zmienia się sześć paragrafów, tj. §§ 2, 4-7, 12, 13 i 16, które otrzymują poniższe brzmienie.</w:t>
      </w:r>
    </w:p>
    <w:p w14:paraId="0D1B6701" w14:textId="77777777" w:rsidR="00A2416E" w:rsidRDefault="00A2416E">
      <w:pPr>
        <w:pStyle w:val="Brdtext"/>
        <w:spacing w:before="6"/>
        <w:rPr>
          <w:sz w:val="16"/>
        </w:rPr>
      </w:pPr>
    </w:p>
    <w:p w14:paraId="6F4B5BC4" w14:textId="77777777" w:rsidR="00A2416E" w:rsidRDefault="00534832">
      <w:pPr>
        <w:pStyle w:val="Rubrik2"/>
        <w:spacing w:before="0"/>
        <w:ind w:left="400"/>
        <w:jc w:val="both"/>
      </w:pPr>
      <w:r>
        <w:t>Przepisy wstępne i definicje</w:t>
      </w:r>
    </w:p>
    <w:p w14:paraId="390C5634" w14:textId="77777777" w:rsidR="00A2416E" w:rsidRDefault="00534832">
      <w:pPr>
        <w:pStyle w:val="Brdtext"/>
        <w:spacing w:before="140" w:line="273" w:lineRule="auto"/>
        <w:ind w:left="400"/>
        <w:jc w:val="both"/>
      </w:pPr>
      <w:r>
        <w:rPr>
          <w:b/>
        </w:rPr>
        <w:t xml:space="preserve">§ 2 </w:t>
      </w:r>
      <w:r>
        <w:t>Pojęcia i wyrażenia użyte w niniejszych przepisach mają takie samo znaczenie, jak w ustawie o paliwach (2011:319) oraz w rozporządzeniu w sprawie paliw (2011:346). W rozumieniu niniejszego rozporządzenia:</w:t>
      </w:r>
    </w:p>
    <w:p w14:paraId="2953E73A" w14:textId="77777777" w:rsidR="00A2416E" w:rsidRDefault="00534832">
      <w:pPr>
        <w:spacing w:before="3" w:line="364" w:lineRule="exact"/>
        <w:ind w:left="400" w:right="-11"/>
        <w:rPr>
          <w:sz w:val="19"/>
        </w:rPr>
      </w:pPr>
      <w:r>
        <w:rPr>
          <w:i/>
          <w:sz w:val="19"/>
        </w:rPr>
        <w:t>biokomponent</w:t>
      </w:r>
      <w:r>
        <w:rPr>
          <w:sz w:val="19"/>
        </w:rPr>
        <w:t xml:space="preserve"> oznacza komponent paliwa wyprodukowany z biomasy; </w:t>
      </w:r>
      <w:r>
        <w:rPr>
          <w:i/>
          <w:sz w:val="19"/>
        </w:rPr>
        <w:t>komponent kopalny</w:t>
      </w:r>
      <w:r>
        <w:rPr>
          <w:sz w:val="19"/>
        </w:rPr>
        <w:t xml:space="preserve"> oznacza komponent paliwa pochodzenia mineralnego; </w:t>
      </w:r>
      <w:r>
        <w:rPr>
          <w:i/>
          <w:sz w:val="19"/>
        </w:rPr>
        <w:t>rodzaj paliwa</w:t>
      </w:r>
      <w:r>
        <w:rPr>
          <w:sz w:val="19"/>
        </w:rPr>
        <w:t xml:space="preserve"> oznacza paliwo odpowiadające danej klasyfikacji zgodnie</w:t>
      </w:r>
    </w:p>
    <w:p w14:paraId="12DA69D9" w14:textId="77777777" w:rsidR="00A2416E" w:rsidRDefault="00534832">
      <w:pPr>
        <w:pStyle w:val="Brdtext"/>
        <w:spacing w:line="273" w:lineRule="auto"/>
        <w:ind w:left="400"/>
        <w:jc w:val="both"/>
      </w:pPr>
      <w:r>
        <w:t>z art. 3–15 ustawy o paliwach (2011:319) lub odpowiadające określonym normom krajowym lub międzynarodowym dla paliw, a także inne paliwa niespełniające norm lub kryteriów klasyfikacji oraz energię elektryczną wykorzystywaną jako paliwo;</w:t>
      </w:r>
    </w:p>
    <w:p w14:paraId="601B7223" w14:textId="77777777" w:rsidR="00A2416E" w:rsidRDefault="00534832">
      <w:pPr>
        <w:pStyle w:val="Brdtext"/>
        <w:spacing w:before="114" w:line="273" w:lineRule="auto"/>
        <w:ind w:left="400"/>
        <w:jc w:val="both"/>
      </w:pPr>
      <w:r>
        <w:rPr>
          <w:i/>
        </w:rPr>
        <w:t>produkt</w:t>
      </w:r>
      <w:r>
        <w:t xml:space="preserve"> oznacza będący w obrocie produkt paliwowy danego rodzaju. W przypadkach gdy dostawca sprzedaje kilka różnych produktów paliwowych odpowiadających tej samej specyfikacji lub normie, dane poszczególnych produktów są przekazywane osobno pod odpowiednimi nazwami produktów;</w:t>
      </w:r>
    </w:p>
    <w:p w14:paraId="17F68D6C" w14:textId="77777777" w:rsidR="00A2416E" w:rsidRDefault="00534832">
      <w:pPr>
        <w:pStyle w:val="Brdtext"/>
        <w:spacing w:before="118" w:line="273" w:lineRule="auto"/>
        <w:ind w:left="400"/>
        <w:jc w:val="both"/>
      </w:pPr>
      <w:r>
        <w:rPr>
          <w:i/>
        </w:rPr>
        <w:t>redukcja emisji w segmencie wydobywczym</w:t>
      </w:r>
      <w:r>
        <w:t xml:space="preserve"> oznacza środek ograniczający emisje gazów cieplarnianych, które następują jeszcze zanim surowiec zostanie przetworzony w rafinerii lub innym zakładzie na potrzeby produkcji komponentu kopalnego.</w:t>
      </w:r>
    </w:p>
    <w:p w14:paraId="689C2081" w14:textId="77777777" w:rsidR="00A2416E" w:rsidRDefault="00534832">
      <w:pPr>
        <w:spacing w:before="107" w:line="225" w:lineRule="auto"/>
        <w:ind w:left="252" w:right="476"/>
        <w:rPr>
          <w:b/>
          <w:sz w:val="24"/>
        </w:rPr>
      </w:pPr>
      <w:r>
        <w:br w:type="column"/>
      </w:r>
      <w:r>
        <w:rPr>
          <w:b/>
          <w:sz w:val="24"/>
        </w:rPr>
        <w:t>STEMFS 2021:2</w:t>
      </w:r>
    </w:p>
    <w:p w14:paraId="4897DE83" w14:textId="77777777" w:rsidR="00A2416E" w:rsidRDefault="00534832">
      <w:pPr>
        <w:spacing w:before="60" w:line="256" w:lineRule="auto"/>
        <w:ind w:left="252" w:right="101"/>
        <w:rPr>
          <w:sz w:val="17"/>
        </w:rPr>
      </w:pPr>
      <w:r>
        <w:rPr>
          <w:sz w:val="17"/>
        </w:rPr>
        <w:t>Opublikowano dnia 2 lutego 2021 r.</w:t>
      </w:r>
    </w:p>
    <w:p w14:paraId="054025C7" w14:textId="77777777" w:rsidR="00A2416E" w:rsidRDefault="00A2416E">
      <w:pPr>
        <w:spacing w:line="256" w:lineRule="auto"/>
        <w:rPr>
          <w:sz w:val="17"/>
        </w:rPr>
        <w:sectPr w:rsidR="00A2416E">
          <w:type w:val="continuous"/>
          <w:pgSz w:w="9360" w:h="13720"/>
          <w:pgMar w:top="900" w:right="580" w:bottom="280" w:left="620" w:header="720" w:footer="720" w:gutter="0"/>
          <w:cols w:num="2" w:space="720" w:equalWidth="0">
            <w:col w:w="6411" w:space="40"/>
            <w:col w:w="1709"/>
          </w:cols>
        </w:sectPr>
      </w:pPr>
    </w:p>
    <w:p w14:paraId="6C53A6E7" w14:textId="77777777" w:rsidR="00A2416E" w:rsidRDefault="00A2416E">
      <w:pPr>
        <w:pStyle w:val="Brdtext"/>
        <w:spacing w:before="11"/>
        <w:rPr>
          <w:sz w:val="23"/>
        </w:rPr>
      </w:pPr>
    </w:p>
    <w:p w14:paraId="6036D87D" w14:textId="77777777" w:rsidR="00A2416E" w:rsidRDefault="006C352C">
      <w:pPr>
        <w:pStyle w:val="Brdtext"/>
        <w:spacing w:line="20" w:lineRule="exact"/>
        <w:ind w:left="390"/>
        <w:rPr>
          <w:sz w:val="2"/>
        </w:rPr>
      </w:pPr>
      <w:r>
        <w:rPr>
          <w:sz w:val="2"/>
        </w:rPr>
      </w:r>
      <w:r>
        <w:rPr>
          <w:sz w:val="2"/>
        </w:rPr>
        <w:pict w14:anchorId="079D94F6">
          <v:group id="_x0000_s1026" style="width:1in;height:1pt;mso-position-horizontal-relative:char;mso-position-vertical-relative:line" coordsize="1440,20">
            <v:line id="_x0000_s1027" style="position:absolute" from="0,10" to="1440,10" strokeweight="1pt"/>
            <w10:anchorlock/>
          </v:group>
        </w:pict>
      </w:r>
    </w:p>
    <w:p w14:paraId="68CFF517" w14:textId="77777777" w:rsidR="00BC58BD" w:rsidRDefault="00534832" w:rsidP="00BC58BD">
      <w:pPr>
        <w:spacing w:before="31"/>
        <w:ind w:left="403" w:right="1304"/>
        <w:jc w:val="both"/>
        <w:rPr>
          <w:sz w:val="17"/>
        </w:rPr>
      </w:pPr>
      <w:r>
        <w:rPr>
          <w:sz w:val="10"/>
        </w:rPr>
        <w:t xml:space="preserve">1 </w:t>
      </w:r>
      <w:r>
        <w:rPr>
          <w:sz w:val="17"/>
        </w:rPr>
        <w:t>Zob. dyrektywa (UE) 2015/1535 Parlamentu Europejskiego i Rady z dnia 9 września 2015 r. ustanawiająca procedurę udzielania informacji w dziedzinie przepisów technicznych oraz zasad dotyczących usług społeczeństwa informacyjnego.</w:t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</w:p>
    <w:p w14:paraId="3F7164F9" w14:textId="53F38F1D" w:rsidR="00A2416E" w:rsidRDefault="00BC58BD" w:rsidP="00581354">
      <w:pPr>
        <w:spacing w:before="31"/>
        <w:ind w:left="400"/>
        <w:rPr>
          <w:rFonts w:ascii="HelveticaNeueLT Std Cn" w:hAnsi="HelveticaNeueLT Std Cn"/>
          <w:sz w:val="20"/>
        </w:rPr>
      </w:pPr>
      <w:r>
        <w:rPr>
          <w:sz w:val="17"/>
        </w:rPr>
        <w:t xml:space="preserve">                                                                                                                                                                                </w:t>
      </w:r>
      <w:r w:rsidR="00534832">
        <w:rPr>
          <w:rFonts w:ascii="HelveticaNeueLT Std Cn" w:hAnsi="HelveticaNeueLT Std Cn"/>
          <w:sz w:val="20"/>
        </w:rPr>
        <w:t>1</w:t>
      </w:r>
    </w:p>
    <w:p w14:paraId="7C3B7287" w14:textId="77777777" w:rsidR="00A2416E" w:rsidRDefault="00A2416E">
      <w:pPr>
        <w:spacing w:line="222" w:lineRule="exact"/>
        <w:rPr>
          <w:rFonts w:ascii="HelveticaNeueLT Std Cn" w:hAnsi="HelveticaNeueLT Std Cn"/>
          <w:sz w:val="20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0FA5AF97" w14:textId="77777777" w:rsidR="00A2416E" w:rsidRDefault="00534832">
      <w:pPr>
        <w:pStyle w:val="Rubrik2"/>
        <w:spacing w:line="228" w:lineRule="auto"/>
        <w:ind w:right="19"/>
      </w:pPr>
      <w:bookmarkStart w:id="1" w:name="Rapportering"/>
      <w:bookmarkEnd w:id="1"/>
      <w:r>
        <w:lastRenderedPageBreak/>
        <w:t>STEMFS 2021:2</w:t>
      </w:r>
    </w:p>
    <w:p w14:paraId="624DE1C9" w14:textId="77777777" w:rsidR="00A2416E" w:rsidRDefault="00534832">
      <w:pPr>
        <w:spacing w:before="63"/>
        <w:ind w:left="117"/>
        <w:rPr>
          <w:b/>
          <w:sz w:val="21"/>
        </w:rPr>
      </w:pPr>
      <w:r>
        <w:br w:type="column"/>
      </w:r>
      <w:r>
        <w:rPr>
          <w:b/>
          <w:sz w:val="21"/>
        </w:rPr>
        <w:t>Raportowanie</w:t>
      </w:r>
    </w:p>
    <w:p w14:paraId="60DBC31F" w14:textId="77777777" w:rsidR="00A2416E" w:rsidRDefault="00534832">
      <w:pPr>
        <w:pStyle w:val="Liststycke"/>
        <w:numPr>
          <w:ilvl w:val="0"/>
          <w:numId w:val="5"/>
        </w:numPr>
        <w:tabs>
          <w:tab w:val="left" w:pos="308"/>
        </w:tabs>
        <w:spacing w:before="141" w:line="273" w:lineRule="auto"/>
        <w:ind w:right="438" w:firstLine="0"/>
        <w:jc w:val="both"/>
        <w:rPr>
          <w:sz w:val="19"/>
        </w:rPr>
      </w:pPr>
      <w:r>
        <w:rPr>
          <w:b/>
          <w:sz w:val="19"/>
        </w:rPr>
        <w:t xml:space="preserve">§ </w:t>
      </w:r>
      <w:r>
        <w:rPr>
          <w:sz w:val="19"/>
        </w:rPr>
        <w:t>Raport dotyczący emisji obejmuje wszystkie produkty paliwowe dostarczone przez dostawcę, od których należny jest podatek na podstawie rozdz. 5 ustawy o podatku od energii (1994:1776) w roku, do którego odnosi się raport, oraz zawiera następujące dane:</w:t>
      </w:r>
    </w:p>
    <w:p w14:paraId="69D953B3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ilość;</w:t>
      </w:r>
    </w:p>
    <w:p w14:paraId="516CF941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rPr>
          <w:sz w:val="19"/>
        </w:rPr>
      </w:pPr>
      <w:r>
        <w:rPr>
          <w:sz w:val="19"/>
        </w:rPr>
        <w:t>wartość kaloryczną netto;</w:t>
      </w:r>
    </w:p>
    <w:p w14:paraId="5CA31CC9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rPr>
          <w:sz w:val="19"/>
        </w:rPr>
      </w:pPr>
      <w:r>
        <w:rPr>
          <w:sz w:val="19"/>
        </w:rPr>
        <w:t>źródło dostarczonej energii elektrycznej w przypadku, gdy energia elektryczna ma oznaczenie pochodzenia.</w:t>
      </w:r>
    </w:p>
    <w:p w14:paraId="7894339E" w14:textId="77777777" w:rsidR="00A2416E" w:rsidRDefault="00A2416E">
      <w:pPr>
        <w:pStyle w:val="Brdtext"/>
        <w:spacing w:before="5"/>
        <w:rPr>
          <w:sz w:val="22"/>
        </w:rPr>
      </w:pPr>
    </w:p>
    <w:p w14:paraId="688D241D" w14:textId="77777777" w:rsidR="00A2416E" w:rsidRDefault="00534832">
      <w:pPr>
        <w:pStyle w:val="Liststycke"/>
        <w:numPr>
          <w:ilvl w:val="0"/>
          <w:numId w:val="5"/>
        </w:numPr>
        <w:tabs>
          <w:tab w:val="left" w:pos="277"/>
        </w:tabs>
        <w:spacing w:before="0" w:line="273" w:lineRule="auto"/>
        <w:ind w:right="438" w:firstLine="0"/>
        <w:rPr>
          <w:sz w:val="19"/>
        </w:rPr>
      </w:pPr>
      <w:r>
        <w:rPr>
          <w:b/>
          <w:sz w:val="19"/>
        </w:rPr>
        <w:t xml:space="preserve">§ </w:t>
      </w:r>
      <w:r>
        <w:rPr>
          <w:sz w:val="19"/>
        </w:rPr>
        <w:t>Raport dotyczący emisji obejmuje wszystkie komponenty kopalne zawarte w dostarczonych produktach paliwowych zgodnie z § 4 oraz wskazuje:</w:t>
      </w:r>
    </w:p>
    <w:p w14:paraId="09AF6626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spacing w:before="96"/>
        <w:rPr>
          <w:sz w:val="19"/>
        </w:rPr>
      </w:pPr>
      <w:r>
        <w:rPr>
          <w:sz w:val="19"/>
        </w:rPr>
        <w:t>produkty, w których zostały zawarte takie komponenty;</w:t>
      </w:r>
    </w:p>
    <w:p w14:paraId="28EE6BB7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rodzaje komponentów kopalnych według źródeł surowca i przetwarzania zgodnie z załącznikiem 1;</w:t>
      </w:r>
    </w:p>
    <w:p w14:paraId="5DA70FE3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ilość;</w:t>
      </w:r>
    </w:p>
    <w:p w14:paraId="6D197172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wartość kaloryczną netto oraz</w:t>
      </w:r>
    </w:p>
    <w:p w14:paraId="04221788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kraj pochodzenia surowca.</w:t>
      </w:r>
    </w:p>
    <w:p w14:paraId="2AED6C49" w14:textId="77777777" w:rsidR="00A2416E" w:rsidRDefault="00A2416E">
      <w:pPr>
        <w:pStyle w:val="Brdtext"/>
        <w:spacing w:before="5"/>
        <w:rPr>
          <w:sz w:val="22"/>
        </w:rPr>
      </w:pPr>
    </w:p>
    <w:p w14:paraId="716008FA" w14:textId="77777777" w:rsidR="00A2416E" w:rsidRDefault="00534832">
      <w:pPr>
        <w:pStyle w:val="Liststycke"/>
        <w:numPr>
          <w:ilvl w:val="0"/>
          <w:numId w:val="5"/>
        </w:numPr>
        <w:tabs>
          <w:tab w:val="left" w:pos="265"/>
        </w:tabs>
        <w:spacing w:before="0" w:line="273" w:lineRule="auto"/>
        <w:ind w:right="438" w:firstLine="0"/>
        <w:rPr>
          <w:sz w:val="19"/>
        </w:rPr>
      </w:pPr>
      <w:r>
        <w:rPr>
          <w:b/>
          <w:sz w:val="19"/>
        </w:rPr>
        <w:t xml:space="preserve">§ </w:t>
      </w:r>
      <w:r>
        <w:rPr>
          <w:sz w:val="19"/>
        </w:rPr>
        <w:t>Raport dotyczący emisji obejmuje wszystkie biokomponenty zawarte w dostarczonych produktach paliwowych zgodnie z § 4 oraz wskazuje:</w:t>
      </w:r>
    </w:p>
    <w:p w14:paraId="0C456492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67"/>
        <w:rPr>
          <w:sz w:val="19"/>
        </w:rPr>
      </w:pPr>
      <w:r>
        <w:rPr>
          <w:sz w:val="19"/>
        </w:rPr>
        <w:t>produkty, w których zostały zawarte takie biokomponenty;</w:t>
      </w:r>
    </w:p>
    <w:p w14:paraId="5D2FF15B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rodzaj biokomponentu;</w:t>
      </w:r>
    </w:p>
    <w:p w14:paraId="134B125E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ilość;</w:t>
      </w:r>
    </w:p>
    <w:p w14:paraId="420C5F9D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wartość kaloryczną netto;</w:t>
      </w:r>
    </w:p>
    <w:p w14:paraId="6FBCDE1A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surowce;</w:t>
      </w:r>
    </w:p>
    <w:p w14:paraId="3BA18401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kraj pochodzenia surowca;</w:t>
      </w:r>
    </w:p>
    <w:p w14:paraId="3E51FE3E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line="252" w:lineRule="auto"/>
        <w:ind w:right="438"/>
        <w:jc w:val="both"/>
        <w:rPr>
          <w:sz w:val="19"/>
        </w:rPr>
      </w:pPr>
      <w:r>
        <w:rPr>
          <w:sz w:val="19"/>
        </w:rPr>
        <w:t>czy biokomponenty spełniają kryteria zrównoważonego rozwoju określone w ustawie (2010:598) o kryteriach zrównoważonego rozwoju w odniesieniu do biopaliw i biopłynów oraz</w:t>
      </w:r>
    </w:p>
    <w:p w14:paraId="6A936F3B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58"/>
        <w:jc w:val="both"/>
        <w:rPr>
          <w:sz w:val="19"/>
        </w:rPr>
      </w:pPr>
      <w:r>
        <w:rPr>
          <w:sz w:val="19"/>
        </w:rPr>
        <w:t>czy biokomponenty były stosowane w paliwie lotniczym.</w:t>
      </w:r>
    </w:p>
    <w:p w14:paraId="351F1B0D" w14:textId="77777777" w:rsidR="00A2416E" w:rsidRDefault="00A2416E">
      <w:pPr>
        <w:pStyle w:val="Brdtext"/>
        <w:spacing w:before="6"/>
        <w:rPr>
          <w:sz w:val="22"/>
        </w:rPr>
      </w:pPr>
    </w:p>
    <w:p w14:paraId="055D9BCA" w14:textId="77777777" w:rsidR="00A2416E" w:rsidRDefault="00534832">
      <w:pPr>
        <w:pStyle w:val="Liststycke"/>
        <w:numPr>
          <w:ilvl w:val="0"/>
          <w:numId w:val="5"/>
        </w:numPr>
        <w:tabs>
          <w:tab w:val="left" w:pos="269"/>
        </w:tabs>
        <w:spacing w:before="0" w:line="273" w:lineRule="auto"/>
        <w:ind w:right="438" w:firstLine="0"/>
        <w:jc w:val="both"/>
        <w:rPr>
          <w:sz w:val="19"/>
        </w:rPr>
      </w:pPr>
      <w:r>
        <w:rPr>
          <w:b/>
          <w:sz w:val="19"/>
        </w:rPr>
        <w:t xml:space="preserve">§ </w:t>
      </w:r>
      <w:r>
        <w:rPr>
          <w:sz w:val="19"/>
        </w:rPr>
        <w:t>Jeżeli kraj pochodzenia nie jest państwem członkowskim Unii Europejskiej lub EOG, ale nie ma informacji o kraju pochodzenia, raport dotyczący emisji może zawierać wpis, że nie ma informacji o kraju pochodzenia.</w:t>
      </w:r>
    </w:p>
    <w:p w14:paraId="732E5498" w14:textId="77777777" w:rsidR="00A2416E" w:rsidRDefault="00A2416E">
      <w:pPr>
        <w:spacing w:line="273" w:lineRule="auto"/>
        <w:jc w:val="both"/>
        <w:rPr>
          <w:sz w:val="19"/>
        </w:rPr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53703E9C" w14:textId="77777777" w:rsidR="00A2416E" w:rsidRDefault="00A2416E">
      <w:pPr>
        <w:pStyle w:val="Brdtext"/>
        <w:rPr>
          <w:sz w:val="20"/>
        </w:rPr>
      </w:pPr>
    </w:p>
    <w:p w14:paraId="141EB606" w14:textId="77777777" w:rsidR="00A2416E" w:rsidRDefault="00A2416E">
      <w:pPr>
        <w:pStyle w:val="Brdtext"/>
        <w:rPr>
          <w:sz w:val="20"/>
        </w:rPr>
      </w:pPr>
    </w:p>
    <w:p w14:paraId="7939C55D" w14:textId="77777777" w:rsidR="00A2416E" w:rsidRDefault="00A2416E">
      <w:pPr>
        <w:pStyle w:val="Brdtext"/>
        <w:rPr>
          <w:sz w:val="20"/>
        </w:rPr>
      </w:pPr>
    </w:p>
    <w:p w14:paraId="3855820A" w14:textId="77777777" w:rsidR="00A2416E" w:rsidRDefault="00A2416E">
      <w:pPr>
        <w:pStyle w:val="Brdtext"/>
        <w:rPr>
          <w:sz w:val="20"/>
        </w:rPr>
      </w:pPr>
    </w:p>
    <w:p w14:paraId="436A79D9" w14:textId="77777777" w:rsidR="00A2416E" w:rsidRDefault="00A2416E">
      <w:pPr>
        <w:pStyle w:val="Brdtext"/>
        <w:rPr>
          <w:sz w:val="20"/>
        </w:rPr>
      </w:pPr>
    </w:p>
    <w:p w14:paraId="66D146DB" w14:textId="77777777" w:rsidR="00A2416E" w:rsidRDefault="00A2416E">
      <w:pPr>
        <w:pStyle w:val="Brdtext"/>
        <w:rPr>
          <w:sz w:val="20"/>
        </w:rPr>
      </w:pPr>
    </w:p>
    <w:p w14:paraId="05983546" w14:textId="77777777" w:rsidR="00A2416E" w:rsidRDefault="00A2416E">
      <w:pPr>
        <w:pStyle w:val="Brdtext"/>
        <w:rPr>
          <w:sz w:val="20"/>
        </w:rPr>
      </w:pPr>
    </w:p>
    <w:p w14:paraId="3B407F9E" w14:textId="77777777" w:rsidR="00A2416E" w:rsidRDefault="00A2416E">
      <w:pPr>
        <w:pStyle w:val="Brdtext"/>
        <w:spacing w:before="8"/>
        <w:rPr>
          <w:sz w:val="26"/>
        </w:rPr>
      </w:pPr>
    </w:p>
    <w:p w14:paraId="346CAB4A" w14:textId="77777777" w:rsidR="00A2416E" w:rsidRDefault="00534832">
      <w:pPr>
        <w:pStyle w:val="Rubrik3"/>
        <w:spacing w:before="111"/>
      </w:pPr>
      <w:r>
        <w:t>2</w:t>
      </w:r>
    </w:p>
    <w:p w14:paraId="47F3F605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5320A3C" w14:textId="77777777" w:rsidR="00A2416E" w:rsidRDefault="00534832">
      <w:pPr>
        <w:spacing w:before="63"/>
        <w:ind w:left="400"/>
        <w:jc w:val="both"/>
        <w:rPr>
          <w:b/>
          <w:sz w:val="21"/>
        </w:rPr>
      </w:pPr>
      <w:bookmarkStart w:id="2" w:name="Beräkning_av_växthusgasintensitet"/>
      <w:bookmarkEnd w:id="2"/>
      <w:r>
        <w:rPr>
          <w:b/>
          <w:sz w:val="21"/>
        </w:rPr>
        <w:lastRenderedPageBreak/>
        <w:t>Obliczanie intensywności emisji gazów cieplarnianych</w:t>
      </w:r>
    </w:p>
    <w:p w14:paraId="1BBF99A2" w14:textId="77777777" w:rsidR="00A2416E" w:rsidRDefault="00534832">
      <w:pPr>
        <w:pStyle w:val="Brdtext"/>
        <w:spacing w:before="141" w:line="273" w:lineRule="auto"/>
        <w:ind w:left="400" w:right="238"/>
        <w:jc w:val="both"/>
      </w:pPr>
      <w:r>
        <w:rPr>
          <w:b/>
        </w:rPr>
        <w:t xml:space="preserve">12 § </w:t>
      </w:r>
      <w:r>
        <w:t>Na potrzeby obliczenia redukcji przez dostawcę emisji gazów cieplarnianych do celu określonego w § 21 ustawy o paliwach (2011:319) należy wykonać obliczenie intensywności emisji gazów cieplarnianych zgodnie z następującym wzorem:</w:t>
      </w:r>
    </w:p>
    <w:p w14:paraId="20759CD1" w14:textId="77777777" w:rsidR="00A2416E" w:rsidRDefault="00534832" w:rsidP="00BC58BD">
      <w:pPr>
        <w:pStyle w:val="Brdtext"/>
        <w:spacing w:before="86" w:line="213" w:lineRule="exact"/>
        <w:ind w:left="2364" w:right="-1418"/>
        <w:jc w:val="center"/>
      </w:pPr>
      <w:r>
        <w:rPr>
          <w:color w:val="010102"/>
        </w:rPr>
        <w:t xml:space="preserve">∑ </w:t>
      </w:r>
      <w:r>
        <w:rPr>
          <w:color w:val="010102"/>
          <w:vertAlign w:val="subscript"/>
        </w:rPr>
        <w:t>x</w:t>
      </w:r>
      <w:r>
        <w:rPr>
          <w:color w:val="010102"/>
        </w:rPr>
        <w:t xml:space="preserve"> (GHGi</w:t>
      </w:r>
      <w:r>
        <w:rPr>
          <w:color w:val="010102"/>
          <w:vertAlign w:val="subscript"/>
        </w:rPr>
        <w:t>x</w:t>
      </w:r>
      <w:r>
        <w:rPr>
          <w:color w:val="010102"/>
        </w:rPr>
        <w:t>×AF×MJ</w:t>
      </w:r>
      <w:r>
        <w:rPr>
          <w:color w:val="010102"/>
          <w:vertAlign w:val="subscript"/>
        </w:rPr>
        <w:t>x</w:t>
      </w:r>
      <w:r>
        <w:rPr>
          <w:color w:val="010102"/>
        </w:rPr>
        <w:t>) – UER</w:t>
      </w:r>
    </w:p>
    <w:p w14:paraId="5B0DC3E8" w14:textId="77777777" w:rsidR="00A2416E" w:rsidRDefault="00534832">
      <w:pPr>
        <w:pStyle w:val="Brdtext"/>
        <w:spacing w:line="191" w:lineRule="exact"/>
        <w:ind w:left="400"/>
        <w:jc w:val="both"/>
      </w:pPr>
      <w:r>
        <w:rPr>
          <w:color w:val="010102"/>
        </w:rPr>
        <w:t>Intensywność emisji gazów cieplarnianych</w:t>
      </w:r>
      <w:r>
        <w:rPr>
          <w:color w:val="010102"/>
          <w:vertAlign w:val="subscript"/>
        </w:rPr>
        <w:t>#</w:t>
      </w:r>
      <w:r>
        <w:rPr>
          <w:color w:val="010102"/>
        </w:rPr>
        <w:t xml:space="preserve">  =  ––––––––––––––––––––––––</w:t>
      </w:r>
    </w:p>
    <w:p w14:paraId="3A218E26" w14:textId="77777777" w:rsidR="00A2416E" w:rsidRDefault="00534832" w:rsidP="00BC58BD">
      <w:pPr>
        <w:pStyle w:val="Brdtext"/>
        <w:spacing w:line="217" w:lineRule="exact"/>
        <w:ind w:left="2121" w:right="-1134"/>
        <w:jc w:val="center"/>
      </w:pPr>
      <w:r>
        <w:rPr>
          <w:color w:val="010102"/>
        </w:rPr>
        <w:t xml:space="preserve">∑ </w:t>
      </w:r>
      <w:r>
        <w:rPr>
          <w:color w:val="010102"/>
          <w:vertAlign w:val="subscript"/>
        </w:rPr>
        <w:t>x</w:t>
      </w:r>
      <w:r>
        <w:rPr>
          <w:color w:val="010102"/>
        </w:rPr>
        <w:t xml:space="preserve"> MJ</w:t>
      </w:r>
      <w:r>
        <w:rPr>
          <w:color w:val="010102"/>
          <w:vertAlign w:val="subscript"/>
        </w:rPr>
        <w:t>x</w:t>
      </w:r>
    </w:p>
    <w:p w14:paraId="34570CBD" w14:textId="77777777" w:rsidR="00A2416E" w:rsidRDefault="00A2416E">
      <w:pPr>
        <w:pStyle w:val="Brdtext"/>
        <w:spacing w:before="4"/>
        <w:rPr>
          <w:sz w:val="15"/>
        </w:rPr>
      </w:pPr>
    </w:p>
    <w:tbl>
      <w:tblPr>
        <w:tblStyle w:val="TableNormal1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800"/>
        <w:gridCol w:w="5497"/>
      </w:tblGrid>
      <w:tr w:rsidR="00A2416E" w14:paraId="4CFD6340" w14:textId="77777777">
        <w:trPr>
          <w:trHeight w:val="251"/>
        </w:trPr>
        <w:tc>
          <w:tcPr>
            <w:tcW w:w="800" w:type="dxa"/>
          </w:tcPr>
          <w:p w14:paraId="0A908CB3" w14:textId="3B0230DC" w:rsidR="00A2416E" w:rsidRDefault="00534832">
            <w:pPr>
              <w:pStyle w:val="TableParagraph"/>
              <w:spacing w:before="0" w:line="210" w:lineRule="exact"/>
              <w:ind w:left="200"/>
              <w:rPr>
                <w:sz w:val="19"/>
              </w:rPr>
            </w:pPr>
            <w:r>
              <w:rPr>
                <w:sz w:val="19"/>
              </w:rPr>
              <w:t>#</w:t>
            </w:r>
            <w:r>
              <w:rPr>
                <w:sz w:val="19"/>
              </w:rPr>
              <w:tab/>
            </w:r>
          </w:p>
        </w:tc>
        <w:tc>
          <w:tcPr>
            <w:tcW w:w="5497" w:type="dxa"/>
          </w:tcPr>
          <w:p w14:paraId="667260ED" w14:textId="5E193AA4" w:rsidR="00A2416E" w:rsidRDefault="00BC58BD">
            <w:pPr>
              <w:pStyle w:val="TableParagraph"/>
              <w:spacing w:before="0" w:line="210" w:lineRule="exact"/>
              <w:ind w:left="85"/>
              <w:rPr>
                <w:sz w:val="19"/>
              </w:rPr>
            </w:pPr>
            <w:r>
              <w:rPr>
                <w:sz w:val="19"/>
              </w:rPr>
              <w:t>identyfikator dostawcy</w:t>
            </w:r>
          </w:p>
        </w:tc>
      </w:tr>
      <w:tr w:rsidR="00A2416E" w14:paraId="66C6F643" w14:textId="77777777">
        <w:trPr>
          <w:trHeight w:val="291"/>
        </w:trPr>
        <w:tc>
          <w:tcPr>
            <w:tcW w:w="800" w:type="dxa"/>
          </w:tcPr>
          <w:p w14:paraId="2FD57175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x</w:t>
            </w:r>
          </w:p>
        </w:tc>
        <w:tc>
          <w:tcPr>
            <w:tcW w:w="5497" w:type="dxa"/>
          </w:tcPr>
          <w:p w14:paraId="2A6E5BDD" w14:textId="77777777" w:rsidR="00A2416E" w:rsidRDefault="00534832">
            <w:pPr>
              <w:pStyle w:val="TableParagraph"/>
              <w:spacing w:before="32"/>
              <w:ind w:left="85"/>
              <w:rPr>
                <w:sz w:val="19"/>
              </w:rPr>
            </w:pPr>
            <w:r>
              <w:rPr>
                <w:sz w:val="19"/>
              </w:rPr>
              <w:t>dostarczone paliwa, które muszą być ujęte w raporcie</w:t>
            </w:r>
          </w:p>
        </w:tc>
      </w:tr>
      <w:tr w:rsidR="00A2416E" w14:paraId="4EEEE19A" w14:textId="77777777">
        <w:trPr>
          <w:trHeight w:val="751"/>
        </w:trPr>
        <w:tc>
          <w:tcPr>
            <w:tcW w:w="800" w:type="dxa"/>
          </w:tcPr>
          <w:p w14:paraId="79E26564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GHGi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7" w:type="dxa"/>
          </w:tcPr>
          <w:p w14:paraId="7D58B399" w14:textId="77777777" w:rsidR="00A2416E" w:rsidRDefault="00534832">
            <w:pPr>
              <w:pStyle w:val="TableParagraph"/>
              <w:spacing w:before="38" w:line="230" w:lineRule="auto"/>
              <w:ind w:left="85" w:right="198"/>
              <w:jc w:val="both"/>
              <w:rPr>
                <w:sz w:val="19"/>
              </w:rPr>
            </w:pPr>
            <w:r>
              <w:rPr>
                <w:sz w:val="19"/>
              </w:rPr>
              <w:t>suma emisji wyrażonych w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eq/MJ ze wszystkich biokomponentów oraz komponentów kopalnych zawartych w dostarczonych paliwach</w:t>
            </w:r>
          </w:p>
        </w:tc>
      </w:tr>
      <w:tr w:rsidR="00A2416E" w14:paraId="5FB64182" w14:textId="77777777">
        <w:trPr>
          <w:trHeight w:val="521"/>
        </w:trPr>
        <w:tc>
          <w:tcPr>
            <w:tcW w:w="800" w:type="dxa"/>
          </w:tcPr>
          <w:p w14:paraId="3D51B5E0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MJ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7" w:type="dxa"/>
          </w:tcPr>
          <w:p w14:paraId="02BB1F8E" w14:textId="77777777" w:rsidR="00A2416E" w:rsidRDefault="00534832">
            <w:pPr>
              <w:pStyle w:val="TableParagraph"/>
              <w:spacing w:before="32" w:line="252" w:lineRule="auto"/>
              <w:ind w:left="85" w:right="170"/>
              <w:rPr>
                <w:sz w:val="19"/>
              </w:rPr>
            </w:pPr>
            <w:r>
              <w:rPr>
                <w:sz w:val="19"/>
              </w:rPr>
              <w:t>energia zawarta w komponentach kopalnych i biokomponentach dostarczonych paliw, wyrażona w megadżulach</w:t>
            </w:r>
          </w:p>
        </w:tc>
      </w:tr>
      <w:tr w:rsidR="00A2416E" w14:paraId="5072D8FC" w14:textId="77777777">
        <w:trPr>
          <w:trHeight w:val="521"/>
        </w:trPr>
        <w:tc>
          <w:tcPr>
            <w:tcW w:w="800" w:type="dxa"/>
          </w:tcPr>
          <w:p w14:paraId="6DFBF789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AF</w:t>
            </w:r>
          </w:p>
        </w:tc>
        <w:tc>
          <w:tcPr>
            <w:tcW w:w="5497" w:type="dxa"/>
          </w:tcPr>
          <w:p w14:paraId="76543568" w14:textId="77777777" w:rsidR="00A2416E" w:rsidRDefault="00534832">
            <w:pPr>
              <w:pStyle w:val="TableParagraph"/>
              <w:spacing w:before="32"/>
              <w:ind w:left="85"/>
              <w:rPr>
                <w:sz w:val="19"/>
              </w:rPr>
            </w:pPr>
            <w:r>
              <w:rPr>
                <w:sz w:val="19"/>
              </w:rPr>
              <w:t>współczynniki korekty o wydajność układu napędowego zgodnie z następującą</w:t>
            </w:r>
          </w:p>
          <w:p w14:paraId="1791D3B1" w14:textId="77777777" w:rsidR="00A2416E" w:rsidRDefault="00534832">
            <w:pPr>
              <w:pStyle w:val="TableParagraph"/>
              <w:spacing w:before="12"/>
              <w:ind w:left="85"/>
              <w:rPr>
                <w:sz w:val="19"/>
              </w:rPr>
            </w:pPr>
            <w:r>
              <w:rPr>
                <w:sz w:val="19"/>
              </w:rPr>
              <w:t>tabelą</w:t>
            </w:r>
          </w:p>
        </w:tc>
      </w:tr>
      <w:tr w:rsidR="00A2416E" w14:paraId="690B8266" w14:textId="77777777">
        <w:trPr>
          <w:trHeight w:val="297"/>
        </w:trPr>
        <w:tc>
          <w:tcPr>
            <w:tcW w:w="800" w:type="dxa"/>
          </w:tcPr>
          <w:p w14:paraId="60FB116A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UER</w:t>
            </w:r>
          </w:p>
        </w:tc>
        <w:tc>
          <w:tcPr>
            <w:tcW w:w="5497" w:type="dxa"/>
          </w:tcPr>
          <w:p w14:paraId="1AD7EF7E" w14:textId="77777777" w:rsidR="00A2416E" w:rsidRDefault="00534832">
            <w:pPr>
              <w:pStyle w:val="TableParagraph"/>
              <w:spacing w:before="32" w:line="245" w:lineRule="exact"/>
              <w:ind w:left="85"/>
              <w:rPr>
                <w:sz w:val="19"/>
              </w:rPr>
            </w:pPr>
            <w:r>
              <w:rPr>
                <w:sz w:val="19"/>
              </w:rPr>
              <w:t>Redukcja emisji w segmencie wydobywczym wyrażona jako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</w:t>
            </w:r>
          </w:p>
        </w:tc>
      </w:tr>
    </w:tbl>
    <w:p w14:paraId="799663C9" w14:textId="77777777" w:rsidR="00A2416E" w:rsidRDefault="00534832">
      <w:pPr>
        <w:pStyle w:val="Brdtext"/>
        <w:spacing w:before="132"/>
        <w:ind w:left="400"/>
        <w:jc w:val="both"/>
      </w:pPr>
      <w:r>
        <w:t>Emisje koryguje się o współczynnik wydajności układu napędowego i emisje w segmencie wydobywczym.</w:t>
      </w:r>
    </w:p>
    <w:p w14:paraId="197F02F8" w14:textId="77777777" w:rsidR="00A2416E" w:rsidRDefault="00A2416E">
      <w:pPr>
        <w:pStyle w:val="Brdtext"/>
        <w:rPr>
          <w:sz w:val="28"/>
        </w:rPr>
      </w:pPr>
    </w:p>
    <w:tbl>
      <w:tblPr>
        <w:tblStyle w:val="TableNormal1"/>
        <w:tblW w:w="0" w:type="auto"/>
        <w:tblInd w:w="407" w:type="dxa"/>
        <w:tblLayout w:type="fixed"/>
        <w:tblLook w:val="01E0" w:firstRow="1" w:lastRow="1" w:firstColumn="1" w:lastColumn="1" w:noHBand="0" w:noVBand="0"/>
      </w:tblPr>
      <w:tblGrid>
        <w:gridCol w:w="3368"/>
        <w:gridCol w:w="1656"/>
      </w:tblGrid>
      <w:tr w:rsidR="00A2416E" w14:paraId="28F08263" w14:textId="77777777">
        <w:trPr>
          <w:trHeight w:val="325"/>
        </w:trPr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</w:tcPr>
          <w:p w14:paraId="38A19BC4" w14:textId="77777777" w:rsidR="00A2416E" w:rsidRDefault="00534832">
            <w:pPr>
              <w:pStyle w:val="TableParagraph"/>
              <w:spacing w:before="67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Główny obszar zastosowania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14:paraId="2AE18678" w14:textId="77777777" w:rsidR="00A2416E" w:rsidRDefault="00534832">
            <w:pPr>
              <w:pStyle w:val="TableParagraph"/>
              <w:spacing w:before="67"/>
              <w:ind w:left="237"/>
              <w:rPr>
                <w:b/>
                <w:sz w:val="16"/>
              </w:rPr>
            </w:pPr>
            <w:r>
              <w:rPr>
                <w:b/>
                <w:sz w:val="16"/>
              </w:rPr>
              <w:t>Współczynnik wydajności</w:t>
            </w:r>
          </w:p>
        </w:tc>
      </w:tr>
      <w:tr w:rsidR="00A2416E" w14:paraId="63DF21ED" w14:textId="77777777">
        <w:trPr>
          <w:trHeight w:val="295"/>
        </w:trPr>
        <w:tc>
          <w:tcPr>
            <w:tcW w:w="3368" w:type="dxa"/>
            <w:tcBorders>
              <w:top w:val="single" w:sz="4" w:space="0" w:color="000000"/>
            </w:tcBorders>
          </w:tcPr>
          <w:p w14:paraId="2DC6CCCF" w14:textId="77777777" w:rsidR="00A2416E" w:rsidRDefault="00534832">
            <w:pPr>
              <w:pStyle w:val="TableParagraph"/>
              <w:spacing w:before="72"/>
              <w:ind w:left="0"/>
              <w:rPr>
                <w:sz w:val="17"/>
              </w:rPr>
            </w:pPr>
            <w:r>
              <w:rPr>
                <w:sz w:val="17"/>
              </w:rPr>
              <w:t>Silniki spalania wewnętrznego</w:t>
            </w:r>
          </w:p>
        </w:tc>
        <w:tc>
          <w:tcPr>
            <w:tcW w:w="1656" w:type="dxa"/>
            <w:tcBorders>
              <w:top w:val="single" w:sz="4" w:space="0" w:color="000000"/>
            </w:tcBorders>
          </w:tcPr>
          <w:p w14:paraId="3EABE78F" w14:textId="77777777" w:rsidR="00A2416E" w:rsidRDefault="00534832">
            <w:pPr>
              <w:pStyle w:val="TableParagraph"/>
              <w:spacing w:before="72"/>
              <w:ind w:left="2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</w:tr>
      <w:tr w:rsidR="00A2416E" w14:paraId="17A28BEE" w14:textId="77777777">
        <w:trPr>
          <w:trHeight w:val="242"/>
        </w:trPr>
        <w:tc>
          <w:tcPr>
            <w:tcW w:w="3368" w:type="dxa"/>
          </w:tcPr>
          <w:p w14:paraId="02257E28" w14:textId="77777777" w:rsidR="00A2416E" w:rsidRDefault="00534832">
            <w:pPr>
              <w:pStyle w:val="TableParagraph"/>
              <w:spacing w:before="20"/>
              <w:ind w:left="0"/>
              <w:rPr>
                <w:sz w:val="17"/>
              </w:rPr>
            </w:pPr>
            <w:r>
              <w:rPr>
                <w:sz w:val="17"/>
              </w:rPr>
              <w:t>Układy elektryczne zasilane akumulatorowo</w:t>
            </w:r>
          </w:p>
        </w:tc>
        <w:tc>
          <w:tcPr>
            <w:tcW w:w="1656" w:type="dxa"/>
          </w:tcPr>
          <w:p w14:paraId="73657E13" w14:textId="77777777" w:rsidR="00A2416E" w:rsidRDefault="00534832">
            <w:pPr>
              <w:pStyle w:val="TableParagraph"/>
              <w:spacing w:before="20"/>
              <w:ind w:left="237"/>
              <w:rPr>
                <w:sz w:val="17"/>
              </w:rPr>
            </w:pPr>
            <w:r>
              <w:rPr>
                <w:sz w:val="17"/>
              </w:rPr>
              <w:t>0,4</w:t>
            </w:r>
          </w:p>
        </w:tc>
      </w:tr>
      <w:tr w:rsidR="00A2416E" w14:paraId="320937A7" w14:textId="77777777">
        <w:trPr>
          <w:trHeight w:val="287"/>
        </w:trPr>
        <w:tc>
          <w:tcPr>
            <w:tcW w:w="3368" w:type="dxa"/>
            <w:tcBorders>
              <w:bottom w:val="single" w:sz="4" w:space="0" w:color="000000"/>
            </w:tcBorders>
          </w:tcPr>
          <w:p w14:paraId="51DED897" w14:textId="77777777" w:rsidR="00A2416E" w:rsidRDefault="00534832">
            <w:pPr>
              <w:pStyle w:val="TableParagraph"/>
              <w:spacing w:before="20"/>
              <w:ind w:left="0"/>
              <w:rPr>
                <w:sz w:val="17"/>
              </w:rPr>
            </w:pPr>
            <w:r>
              <w:rPr>
                <w:sz w:val="17"/>
              </w:rPr>
              <w:t>Elektryczne układy napędowe wykorzystujące wodorowe ogniwa paliwowe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</w:tcPr>
          <w:p w14:paraId="6D27FC5C" w14:textId="77777777" w:rsidR="00A2416E" w:rsidRDefault="00534832">
            <w:pPr>
              <w:pStyle w:val="TableParagraph"/>
              <w:spacing w:before="20"/>
              <w:ind w:left="237"/>
              <w:rPr>
                <w:sz w:val="17"/>
              </w:rPr>
            </w:pPr>
            <w:r>
              <w:rPr>
                <w:sz w:val="17"/>
              </w:rPr>
              <w:t>0,4</w:t>
            </w:r>
          </w:p>
        </w:tc>
      </w:tr>
    </w:tbl>
    <w:p w14:paraId="26A8E09B" w14:textId="77777777" w:rsidR="00A2416E" w:rsidRDefault="00A2416E">
      <w:pPr>
        <w:pStyle w:val="Brdtext"/>
        <w:spacing w:before="10"/>
        <w:rPr>
          <w:sz w:val="28"/>
        </w:rPr>
      </w:pPr>
    </w:p>
    <w:p w14:paraId="37BD531B" w14:textId="77777777" w:rsidR="00A2416E" w:rsidRDefault="00534832">
      <w:pPr>
        <w:pStyle w:val="Brdtext"/>
        <w:spacing w:before="1" w:line="273" w:lineRule="auto"/>
        <w:ind w:left="400" w:right="238"/>
        <w:jc w:val="both"/>
      </w:pPr>
      <w:r>
        <w:rPr>
          <w:b/>
        </w:rPr>
        <w:t xml:space="preserve">§ 12a </w:t>
      </w:r>
      <w:r>
        <w:t>Podstawą informacji środowiskowej jest obliczenie przez dostawcę intensywności emisji gazów cieplarnianych dla produktów wprowadzanych do obrotu według następującego wzoru:</w:t>
      </w:r>
    </w:p>
    <w:p w14:paraId="752A0082" w14:textId="77777777" w:rsidR="00A2416E" w:rsidRDefault="00534832">
      <w:pPr>
        <w:pStyle w:val="Brdtext"/>
        <w:spacing w:before="177" w:line="170" w:lineRule="auto"/>
        <w:ind w:left="400" w:right="3425" w:firstLine="808"/>
      </w:pPr>
      <w:r>
        <w:rPr>
          <w:color w:val="010102"/>
        </w:rPr>
        <w:t xml:space="preserve">∑ </w:t>
      </w:r>
      <w:r>
        <w:rPr>
          <w:color w:val="010102"/>
          <w:sz w:val="12"/>
        </w:rPr>
        <w:t xml:space="preserve">x </w:t>
      </w:r>
      <w:r>
        <w:rPr>
          <w:color w:val="010102"/>
        </w:rPr>
        <w:t>(GHGi</w:t>
      </w:r>
      <w:r>
        <w:rPr>
          <w:color w:val="010102"/>
          <w:sz w:val="12"/>
        </w:rPr>
        <w:t xml:space="preserve">x </w:t>
      </w:r>
      <w:r>
        <w:rPr>
          <w:color w:val="010102"/>
        </w:rPr>
        <w:t>× MJ</w:t>
      </w:r>
      <w:r>
        <w:rPr>
          <w:color w:val="010102"/>
          <w:sz w:val="12"/>
        </w:rPr>
        <w:t>x</w:t>
      </w:r>
      <w:r>
        <w:rPr>
          <w:color w:val="010102"/>
        </w:rPr>
        <w:t>) GHGi</w:t>
      </w:r>
      <w:r>
        <w:rPr>
          <w:color w:val="010102"/>
          <w:sz w:val="11"/>
        </w:rPr>
        <w:t xml:space="preserve">a </w:t>
      </w:r>
      <w:r>
        <w:rPr>
          <w:color w:val="010102"/>
        </w:rPr>
        <w:t>= ––––––––––––––––</w:t>
      </w:r>
    </w:p>
    <w:p w14:paraId="676262ED" w14:textId="77777777" w:rsidR="00A2416E" w:rsidRDefault="00534832">
      <w:pPr>
        <w:spacing w:line="201" w:lineRule="auto"/>
        <w:ind w:left="1610"/>
        <w:rPr>
          <w:sz w:val="12"/>
        </w:rPr>
      </w:pPr>
      <w:r>
        <w:rPr>
          <w:color w:val="010102"/>
          <w:sz w:val="19"/>
        </w:rPr>
        <w:t xml:space="preserve">∑ </w:t>
      </w:r>
      <w:r>
        <w:rPr>
          <w:color w:val="010102"/>
          <w:sz w:val="12"/>
        </w:rPr>
        <w:t xml:space="preserve">x </w:t>
      </w:r>
      <w:r>
        <w:rPr>
          <w:color w:val="010102"/>
          <w:sz w:val="19"/>
        </w:rPr>
        <w:t>MJ</w:t>
      </w:r>
      <w:r>
        <w:rPr>
          <w:color w:val="010102"/>
          <w:sz w:val="12"/>
        </w:rPr>
        <w:t>x</w:t>
      </w:r>
    </w:p>
    <w:p w14:paraId="447A06EC" w14:textId="77777777" w:rsidR="00A2416E" w:rsidRDefault="00534832">
      <w:pPr>
        <w:pStyle w:val="Rubrik2"/>
        <w:spacing w:line="228" w:lineRule="auto"/>
        <w:ind w:left="200" w:right="134"/>
      </w:pPr>
      <w:r>
        <w:br w:type="column"/>
      </w:r>
      <w:r>
        <w:t>STEMFS 2021:2</w:t>
      </w:r>
    </w:p>
    <w:p w14:paraId="186869FF" w14:textId="77777777" w:rsidR="00A2416E" w:rsidRDefault="00A2416E">
      <w:pPr>
        <w:spacing w:line="228" w:lineRule="auto"/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6538" w:space="427"/>
            <w:col w:w="1195"/>
          </w:cols>
        </w:sectPr>
      </w:pPr>
    </w:p>
    <w:p w14:paraId="78B72271" w14:textId="77777777" w:rsidR="00A2416E" w:rsidRDefault="00534832">
      <w:pPr>
        <w:pStyle w:val="Brdtext"/>
        <w:spacing w:before="129" w:after="58"/>
        <w:ind w:left="400"/>
      </w:pPr>
      <w:r>
        <w:t>Gdzie:</w:t>
      </w:r>
    </w:p>
    <w:tbl>
      <w:tblPr>
        <w:tblStyle w:val="TableNormal1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777"/>
        <w:gridCol w:w="5495"/>
      </w:tblGrid>
      <w:tr w:rsidR="00A2416E" w14:paraId="595F037B" w14:textId="77777777">
        <w:trPr>
          <w:trHeight w:val="242"/>
        </w:trPr>
        <w:tc>
          <w:tcPr>
            <w:tcW w:w="777" w:type="dxa"/>
          </w:tcPr>
          <w:p w14:paraId="24B13BD8" w14:textId="77777777" w:rsidR="00A2416E" w:rsidRDefault="00534832">
            <w:pPr>
              <w:pStyle w:val="TableParagraph"/>
              <w:spacing w:before="0" w:line="211" w:lineRule="exact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a</w:t>
            </w:r>
          </w:p>
        </w:tc>
        <w:tc>
          <w:tcPr>
            <w:tcW w:w="5495" w:type="dxa"/>
          </w:tcPr>
          <w:p w14:paraId="3E518B6F" w14:textId="77777777" w:rsidR="00A2416E" w:rsidRDefault="00534832">
            <w:pPr>
              <w:pStyle w:val="TableParagraph"/>
              <w:spacing w:before="0" w:line="210" w:lineRule="exact"/>
              <w:ind w:left="57"/>
              <w:rPr>
                <w:sz w:val="19"/>
              </w:rPr>
            </w:pPr>
            <w:r>
              <w:rPr>
                <w:sz w:val="19"/>
              </w:rPr>
              <w:t>dostarczone produkty paliwowe, które muszą być ujęte w raporcie</w:t>
            </w:r>
          </w:p>
        </w:tc>
      </w:tr>
      <w:tr w:rsidR="00A2416E" w14:paraId="32F5B9EE" w14:textId="77777777">
        <w:trPr>
          <w:trHeight w:val="273"/>
        </w:trPr>
        <w:tc>
          <w:tcPr>
            <w:tcW w:w="777" w:type="dxa"/>
          </w:tcPr>
          <w:p w14:paraId="2D155D93" w14:textId="77777777" w:rsidR="00A2416E" w:rsidRDefault="00534832">
            <w:pPr>
              <w:pStyle w:val="TableParagraph"/>
              <w:spacing w:before="23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x</w:t>
            </w:r>
          </w:p>
        </w:tc>
        <w:tc>
          <w:tcPr>
            <w:tcW w:w="5495" w:type="dxa"/>
          </w:tcPr>
          <w:p w14:paraId="27B3ACB7" w14:textId="77777777" w:rsidR="00A2416E" w:rsidRDefault="00534832">
            <w:pPr>
              <w:pStyle w:val="TableParagraph"/>
              <w:spacing w:before="23"/>
              <w:ind w:left="57"/>
              <w:rPr>
                <w:sz w:val="19"/>
              </w:rPr>
            </w:pPr>
            <w:r>
              <w:rPr>
                <w:sz w:val="19"/>
              </w:rPr>
              <w:t>składniki produktu, które należy zgłaszać</w:t>
            </w:r>
          </w:p>
        </w:tc>
      </w:tr>
      <w:tr w:rsidR="00A2416E" w14:paraId="64FD007D" w14:textId="77777777">
        <w:trPr>
          <w:trHeight w:val="526"/>
        </w:trPr>
        <w:tc>
          <w:tcPr>
            <w:tcW w:w="777" w:type="dxa"/>
          </w:tcPr>
          <w:p w14:paraId="17EAA3F3" w14:textId="77777777" w:rsidR="00A2416E" w:rsidRDefault="00534832">
            <w:pPr>
              <w:pStyle w:val="TableParagraph"/>
              <w:spacing w:before="23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GHGi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5" w:type="dxa"/>
          </w:tcPr>
          <w:p w14:paraId="1FA05581" w14:textId="77777777" w:rsidR="00A2416E" w:rsidRDefault="00534832">
            <w:pPr>
              <w:pStyle w:val="TableParagraph"/>
              <w:spacing w:before="17" w:line="230" w:lineRule="exact"/>
              <w:ind w:left="57"/>
              <w:rPr>
                <w:sz w:val="19"/>
              </w:rPr>
            </w:pPr>
            <w:r>
              <w:rPr>
                <w:sz w:val="19"/>
              </w:rPr>
              <w:t>intensywność emisji gazów cieplarnianych według odpowiednich komponentów zawartych w produkcie, wyrażona jako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eq/MJ</w:t>
            </w:r>
          </w:p>
        </w:tc>
      </w:tr>
      <w:tr w:rsidR="00A2416E" w14:paraId="473B90F4" w14:textId="77777777">
        <w:trPr>
          <w:trHeight w:val="480"/>
        </w:trPr>
        <w:tc>
          <w:tcPr>
            <w:tcW w:w="777" w:type="dxa"/>
          </w:tcPr>
          <w:p w14:paraId="5908B850" w14:textId="77777777" w:rsidR="00A2416E" w:rsidRDefault="00534832">
            <w:pPr>
              <w:pStyle w:val="TableParagraph"/>
              <w:spacing w:before="0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MJ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5" w:type="dxa"/>
          </w:tcPr>
          <w:p w14:paraId="3E93CD66" w14:textId="77777777" w:rsidR="00A2416E" w:rsidRDefault="00534832">
            <w:pPr>
              <w:pStyle w:val="TableParagraph"/>
              <w:spacing w:before="0" w:line="252" w:lineRule="auto"/>
              <w:ind w:left="57"/>
              <w:rPr>
                <w:sz w:val="19"/>
              </w:rPr>
            </w:pPr>
            <w:r>
              <w:rPr>
                <w:sz w:val="19"/>
              </w:rPr>
              <w:t>energia zawarta w komponentach produktu a, wyrażona w megadżulach</w:t>
            </w:r>
          </w:p>
        </w:tc>
      </w:tr>
      <w:tr w:rsidR="00A2416E" w14:paraId="245B7179" w14:textId="77777777">
        <w:trPr>
          <w:trHeight w:val="702"/>
        </w:trPr>
        <w:tc>
          <w:tcPr>
            <w:tcW w:w="777" w:type="dxa"/>
          </w:tcPr>
          <w:p w14:paraId="5334C4BE" w14:textId="77777777" w:rsidR="00A2416E" w:rsidRDefault="00534832">
            <w:pPr>
              <w:pStyle w:val="TableParagraph"/>
              <w:spacing w:before="23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GHGi</w:t>
            </w:r>
            <w:r>
              <w:rPr>
                <w:i/>
                <w:sz w:val="11"/>
              </w:rPr>
              <w:t>a</w:t>
            </w:r>
          </w:p>
        </w:tc>
        <w:tc>
          <w:tcPr>
            <w:tcW w:w="5495" w:type="dxa"/>
          </w:tcPr>
          <w:p w14:paraId="2A6CA0A4" w14:textId="77777777" w:rsidR="00A2416E" w:rsidRDefault="00534832">
            <w:pPr>
              <w:pStyle w:val="TableParagraph"/>
              <w:spacing w:before="17" w:line="230" w:lineRule="exact"/>
              <w:ind w:left="57" w:right="197"/>
              <w:jc w:val="both"/>
              <w:rPr>
                <w:sz w:val="19"/>
              </w:rPr>
            </w:pPr>
            <w:r>
              <w:rPr>
                <w:sz w:val="19"/>
              </w:rPr>
              <w:t>emisje gazów cieplarnianych wyrażone jako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eq/MJ ze wszystkich biokomponentów oraz komponentów kopalnych zawartych w dostarczonym produkcie.</w:t>
            </w:r>
          </w:p>
        </w:tc>
      </w:tr>
    </w:tbl>
    <w:p w14:paraId="631CE3C8" w14:textId="77777777" w:rsidR="00A2416E" w:rsidRDefault="00A2416E">
      <w:pPr>
        <w:pStyle w:val="Brdtext"/>
        <w:rPr>
          <w:sz w:val="20"/>
        </w:rPr>
      </w:pPr>
    </w:p>
    <w:p w14:paraId="5772BB0F" w14:textId="057ABC67" w:rsidR="00A2416E" w:rsidRDefault="00BC58BD" w:rsidP="00BC58BD">
      <w:pPr>
        <w:pStyle w:val="Rubrik3"/>
        <w:ind w:left="0" w:right="155"/>
      </w:pPr>
      <w:r>
        <w:t xml:space="preserve">                                                                                                                                              </w:t>
      </w:r>
      <w:r w:rsidR="00534832">
        <w:t>3</w:t>
      </w:r>
    </w:p>
    <w:p w14:paraId="677F036A" w14:textId="77777777" w:rsidR="00A2416E" w:rsidRDefault="00A2416E">
      <w:pPr>
        <w:jc w:val="right"/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0EB2F8F7" w14:textId="77777777" w:rsidR="00A2416E" w:rsidRDefault="00534832">
      <w:pPr>
        <w:spacing w:before="73" w:line="228" w:lineRule="auto"/>
        <w:ind w:left="117" w:right="19"/>
        <w:rPr>
          <w:b/>
          <w:sz w:val="21"/>
        </w:rPr>
      </w:pPr>
      <w:bookmarkStart w:id="3" w:name="Utsläppsminskning_i_tidigare_led"/>
      <w:bookmarkStart w:id="4" w:name="Ikraftträdandebestämmelser"/>
      <w:bookmarkEnd w:id="3"/>
      <w:bookmarkEnd w:id="4"/>
      <w:r>
        <w:rPr>
          <w:b/>
          <w:sz w:val="21"/>
        </w:rPr>
        <w:lastRenderedPageBreak/>
        <w:t>STEMFS 2021:2</w:t>
      </w:r>
    </w:p>
    <w:p w14:paraId="0305CE16" w14:textId="77777777" w:rsidR="00A2416E" w:rsidRDefault="00534832">
      <w:pPr>
        <w:pStyle w:val="Brdtext"/>
        <w:spacing w:before="72" w:line="273" w:lineRule="auto"/>
        <w:ind w:left="117" w:right="381"/>
        <w:jc w:val="both"/>
      </w:pPr>
      <w:r>
        <w:br w:type="column"/>
      </w:r>
      <w:r>
        <w:rPr>
          <w:b/>
        </w:rPr>
        <w:t xml:space="preserve">§ 13 </w:t>
      </w:r>
      <w:r>
        <w:t>W obliczeniach, o których mowa w § 12, dostawca paliw oblicza emisje gazów cieplarnianych z komponentów kopalnych zgodnie z ważonymi wartościami normalnymi podanymi w załączniku 1.</w:t>
      </w:r>
    </w:p>
    <w:p w14:paraId="10BFD7DE" w14:textId="77777777" w:rsidR="00A2416E" w:rsidRDefault="00534832">
      <w:pPr>
        <w:pStyle w:val="Brdtext"/>
        <w:spacing w:before="115" w:line="273" w:lineRule="auto"/>
        <w:ind w:left="117" w:right="381"/>
        <w:jc w:val="both"/>
      </w:pPr>
      <w:r>
        <w:t>W obliczeniach, o których mowa w § 12a, dostawca paliw oblicza emisje gazów cieplarnianych z komponentów kopalnych zgodnie z wartościami normalnymi dla konkretnych źródeł surowców podanymi w załączniku 1.</w:t>
      </w:r>
    </w:p>
    <w:p w14:paraId="2AC92A22" w14:textId="77777777" w:rsidR="00A2416E" w:rsidRDefault="00A2416E">
      <w:pPr>
        <w:pStyle w:val="Brdtext"/>
        <w:spacing w:before="5"/>
        <w:rPr>
          <w:sz w:val="26"/>
        </w:rPr>
      </w:pPr>
    </w:p>
    <w:p w14:paraId="0262139A" w14:textId="77777777" w:rsidR="00A2416E" w:rsidRDefault="00534832">
      <w:pPr>
        <w:pStyle w:val="Rubrik2"/>
        <w:spacing w:before="0"/>
      </w:pPr>
      <w:r>
        <w:t>Redukcja emisji w segmencie wydobywczym</w:t>
      </w:r>
    </w:p>
    <w:p w14:paraId="0796A5BC" w14:textId="77777777" w:rsidR="00A2416E" w:rsidRDefault="00534832">
      <w:pPr>
        <w:pStyle w:val="Brdtext"/>
        <w:spacing w:before="141" w:line="273" w:lineRule="auto"/>
        <w:ind w:left="117" w:right="380"/>
        <w:jc w:val="both"/>
      </w:pPr>
      <w:r>
        <w:rPr>
          <w:b/>
        </w:rPr>
        <w:t xml:space="preserve">§ 16 </w:t>
      </w:r>
      <w:r>
        <w:t>Na potrzeby uzyskania odliczenia redukcji emisji w segmencie wydobywczym podczas obliczeń intensywności emisji gazów cieplarnianych na podstawie § 12, dostawca zgłasza do szwedzkiego Urzędu Energetyki następujące dane:</w:t>
      </w:r>
    </w:p>
    <w:p w14:paraId="3960C5E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data rozpoczęcia projektu, która musi być późniejsza niż dzień 1 stycznia 2011 r;</w:t>
      </w:r>
    </w:p>
    <w:p w14:paraId="5095575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roczna redukcja emisji wyrażona jako g CO</w:t>
      </w:r>
      <w:r>
        <w:rPr>
          <w:sz w:val="11"/>
        </w:rPr>
        <w:t>2</w:t>
      </w:r>
      <w:r>
        <w:rPr>
          <w:sz w:val="19"/>
        </w:rPr>
        <w:t>eq;</w:t>
      </w:r>
    </w:p>
    <w:p w14:paraId="0C44C87A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before="25"/>
        <w:jc w:val="both"/>
        <w:rPr>
          <w:sz w:val="19"/>
        </w:rPr>
      </w:pPr>
      <w:r>
        <w:rPr>
          <w:sz w:val="19"/>
        </w:rPr>
        <w:t>okres, w jakim nastąpiła redukcja zgłaszana do odliczenia;</w:t>
      </w:r>
    </w:p>
    <w:p w14:paraId="45CBAD50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line="252" w:lineRule="auto"/>
        <w:ind w:right="381"/>
        <w:jc w:val="both"/>
        <w:rPr>
          <w:sz w:val="19"/>
        </w:rPr>
      </w:pPr>
      <w:r>
        <w:rPr>
          <w:sz w:val="19"/>
        </w:rPr>
        <w:t>położenie geograficzne projektu znajdującego się najbliżej źródła emisji, z współrzędnymi geograficznymi podanymi z dokładnością do czwartego miejsca po przecinku;</w:t>
      </w:r>
    </w:p>
    <w:p w14:paraId="31C4AA5C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before="65" w:line="230" w:lineRule="auto"/>
        <w:ind w:right="382"/>
        <w:jc w:val="both"/>
        <w:rPr>
          <w:sz w:val="19"/>
        </w:rPr>
      </w:pPr>
      <w:r>
        <w:rPr>
          <w:sz w:val="19"/>
        </w:rPr>
        <w:t>minimalna norma rocznych emisji przed instalacją środków ograniczających emisje oraz roczne emisje po zastosowaniu środków ograniczających, wyrażone jako CO</w:t>
      </w:r>
      <w:r>
        <w:rPr>
          <w:sz w:val="11"/>
        </w:rPr>
        <w:t>2</w:t>
      </w:r>
      <w:r>
        <w:rPr>
          <w:sz w:val="19"/>
        </w:rPr>
        <w:t>eq/MJ dla wyprodukowanego surowca;</w:t>
      </w:r>
    </w:p>
    <w:p w14:paraId="60C84C2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jednorazowy numer świadectwa identyfikujący układ oraz</w:t>
      </w:r>
    </w:p>
    <w:p w14:paraId="7F1E9855" w14:textId="77777777" w:rsidR="00A2416E" w:rsidRDefault="00534832">
      <w:pPr>
        <w:pStyle w:val="Brdtext"/>
        <w:spacing w:before="12"/>
        <w:ind w:left="315"/>
        <w:jc w:val="both"/>
      </w:pPr>
      <w:r>
        <w:t>zgłoszone do odliczenia redukcje gazów cieplarnianych;</w:t>
      </w:r>
    </w:p>
    <w:p w14:paraId="53C6F41B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jednorazowy numer identyfikujący metodę obliczeniową</w:t>
      </w:r>
    </w:p>
    <w:p w14:paraId="128F9A23" w14:textId="77777777" w:rsidR="00A2416E" w:rsidRDefault="00534832">
      <w:pPr>
        <w:pStyle w:val="Brdtext"/>
        <w:spacing w:before="11"/>
        <w:ind w:left="315"/>
        <w:jc w:val="both"/>
      </w:pPr>
      <w:r>
        <w:t>oraz powiązany układ.</w:t>
      </w:r>
    </w:p>
    <w:p w14:paraId="2A18DA87" w14:textId="77777777" w:rsidR="00A2416E" w:rsidRDefault="00A2416E">
      <w:pPr>
        <w:pStyle w:val="Brdtext"/>
        <w:rPr>
          <w:sz w:val="29"/>
        </w:rPr>
      </w:pPr>
    </w:p>
    <w:p w14:paraId="16842E29" w14:textId="77777777" w:rsidR="00A2416E" w:rsidRDefault="00534832">
      <w:pPr>
        <w:pStyle w:val="Rubrik2"/>
        <w:spacing w:before="0"/>
      </w:pPr>
      <w:r>
        <w:t>Przepisy dotyczące wejścia w życie</w:t>
      </w:r>
    </w:p>
    <w:p w14:paraId="67EB8873" w14:textId="77777777" w:rsidR="00A2416E" w:rsidRDefault="00534832" w:rsidP="00BC58BD">
      <w:pPr>
        <w:pStyle w:val="Brdtext"/>
        <w:spacing w:before="140" w:line="461" w:lineRule="auto"/>
        <w:ind w:left="119" w:right="1418"/>
      </w:pPr>
      <w:r>
        <w:t>Niniejsze przepisy wchodzą w życie z dniem 24 lutego 2020 r. W imieniu szwedzkiego Urzędu Energetyki</w:t>
      </w:r>
    </w:p>
    <w:p w14:paraId="51DE8E66" w14:textId="77777777" w:rsidR="00A2416E" w:rsidRDefault="00A2416E">
      <w:pPr>
        <w:spacing w:line="460" w:lineRule="auto"/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6209CB19" w14:textId="77777777" w:rsidR="00A2416E" w:rsidRDefault="00A2416E">
      <w:pPr>
        <w:pStyle w:val="Brdtext"/>
        <w:spacing w:before="8"/>
        <w:rPr>
          <w:sz w:val="28"/>
        </w:rPr>
      </w:pPr>
    </w:p>
    <w:p w14:paraId="2CC17B70" w14:textId="77777777" w:rsidR="00A2416E" w:rsidRDefault="00534832">
      <w:pPr>
        <w:pStyle w:val="Brdtext"/>
        <w:spacing w:before="92"/>
        <w:ind w:left="1817"/>
      </w:pPr>
      <w:r>
        <w:t>Robert Andrén</w:t>
      </w:r>
    </w:p>
    <w:p w14:paraId="15A94D1C" w14:textId="77777777" w:rsidR="00A2416E" w:rsidRDefault="00A2416E">
      <w:pPr>
        <w:pStyle w:val="Brdtext"/>
        <w:spacing w:before="6"/>
        <w:rPr>
          <w:sz w:val="17"/>
        </w:rPr>
      </w:pPr>
    </w:p>
    <w:p w14:paraId="1AFFE159" w14:textId="77777777" w:rsidR="00A2416E" w:rsidRDefault="00534832">
      <w:pPr>
        <w:pStyle w:val="Brdtext"/>
        <w:ind w:left="3265" w:right="2636"/>
        <w:jc w:val="center"/>
      </w:pPr>
      <w:r>
        <w:t>Ulf Jonson</w:t>
      </w:r>
    </w:p>
    <w:p w14:paraId="6574D352" w14:textId="77777777" w:rsidR="00A2416E" w:rsidRDefault="00A2416E">
      <w:pPr>
        <w:pStyle w:val="Brdtext"/>
        <w:rPr>
          <w:sz w:val="20"/>
        </w:rPr>
      </w:pPr>
    </w:p>
    <w:p w14:paraId="4DDBCF46" w14:textId="77777777" w:rsidR="00A2416E" w:rsidRDefault="00A2416E">
      <w:pPr>
        <w:pStyle w:val="Brdtext"/>
        <w:rPr>
          <w:sz w:val="20"/>
        </w:rPr>
      </w:pPr>
    </w:p>
    <w:p w14:paraId="04AB8C25" w14:textId="77777777" w:rsidR="00A2416E" w:rsidRDefault="00A2416E">
      <w:pPr>
        <w:pStyle w:val="Brdtext"/>
        <w:rPr>
          <w:sz w:val="20"/>
        </w:rPr>
      </w:pPr>
    </w:p>
    <w:p w14:paraId="442C2781" w14:textId="77777777" w:rsidR="00A2416E" w:rsidRDefault="00A2416E">
      <w:pPr>
        <w:pStyle w:val="Brdtext"/>
        <w:rPr>
          <w:sz w:val="20"/>
        </w:rPr>
      </w:pPr>
    </w:p>
    <w:p w14:paraId="6CF46550" w14:textId="77777777" w:rsidR="00A2416E" w:rsidRDefault="00A2416E">
      <w:pPr>
        <w:pStyle w:val="Brdtext"/>
        <w:rPr>
          <w:sz w:val="20"/>
        </w:rPr>
      </w:pPr>
    </w:p>
    <w:p w14:paraId="76DFAC04" w14:textId="77777777" w:rsidR="00A2416E" w:rsidRDefault="00A2416E">
      <w:pPr>
        <w:pStyle w:val="Brdtext"/>
        <w:rPr>
          <w:sz w:val="20"/>
        </w:rPr>
      </w:pPr>
    </w:p>
    <w:p w14:paraId="7DD6FC54" w14:textId="77777777" w:rsidR="00A2416E" w:rsidRDefault="00A2416E">
      <w:pPr>
        <w:pStyle w:val="Brdtext"/>
        <w:rPr>
          <w:sz w:val="20"/>
        </w:rPr>
      </w:pPr>
    </w:p>
    <w:p w14:paraId="3B9B0B7E" w14:textId="77777777" w:rsidR="00A2416E" w:rsidRDefault="00A2416E">
      <w:pPr>
        <w:pStyle w:val="Brdtext"/>
        <w:rPr>
          <w:sz w:val="20"/>
        </w:rPr>
      </w:pPr>
    </w:p>
    <w:p w14:paraId="4614A6AE" w14:textId="77777777" w:rsidR="00A2416E" w:rsidRDefault="00A2416E">
      <w:pPr>
        <w:pStyle w:val="Brdtext"/>
        <w:rPr>
          <w:sz w:val="20"/>
        </w:rPr>
      </w:pPr>
    </w:p>
    <w:p w14:paraId="247B32BC" w14:textId="77777777" w:rsidR="00A2416E" w:rsidRDefault="00534832" w:rsidP="00BC58BD">
      <w:pPr>
        <w:pStyle w:val="Rubrik3"/>
        <w:spacing w:before="112"/>
        <w:ind w:left="0"/>
      </w:pPr>
      <w:r>
        <w:t>4</w:t>
      </w:r>
    </w:p>
    <w:p w14:paraId="25560BB9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10C7F3D" w14:textId="77777777" w:rsidR="00A2416E" w:rsidRDefault="00534832">
      <w:pPr>
        <w:spacing w:before="71"/>
        <w:ind w:right="38"/>
        <w:jc w:val="right"/>
        <w:rPr>
          <w:b/>
          <w:sz w:val="26"/>
        </w:rPr>
      </w:pPr>
      <w:bookmarkStart w:id="5" w:name="Bilaga_1"/>
      <w:bookmarkStart w:id="6" w:name="Genomsnittliga_normalvärden_för_växthusg"/>
      <w:bookmarkEnd w:id="5"/>
      <w:bookmarkEnd w:id="6"/>
      <w:r>
        <w:rPr>
          <w:b/>
          <w:sz w:val="26"/>
        </w:rPr>
        <w:lastRenderedPageBreak/>
        <w:t>Załącznik 1</w:t>
      </w:r>
    </w:p>
    <w:p w14:paraId="077A287F" w14:textId="77777777" w:rsidR="00A2416E" w:rsidRDefault="00A2416E">
      <w:pPr>
        <w:pStyle w:val="Brdtext"/>
        <w:spacing w:before="6"/>
        <w:rPr>
          <w:b/>
          <w:sz w:val="28"/>
        </w:rPr>
      </w:pPr>
    </w:p>
    <w:p w14:paraId="747041D0" w14:textId="77777777" w:rsidR="00A2416E" w:rsidRDefault="00534832">
      <w:pPr>
        <w:spacing w:line="228" w:lineRule="auto"/>
        <w:ind w:left="400"/>
        <w:rPr>
          <w:b/>
        </w:rPr>
      </w:pPr>
      <w:r>
        <w:rPr>
          <w:b/>
        </w:rPr>
        <w:t>Średnia intensywność emisji gazów cieplarnianych w cyklu życia składników paliw kopalnych</w:t>
      </w:r>
    </w:p>
    <w:p w14:paraId="1199B2D0" w14:textId="77777777" w:rsidR="00A2416E" w:rsidRDefault="00534832">
      <w:pPr>
        <w:pStyle w:val="Rubrik2"/>
        <w:spacing w:before="93" w:line="228" w:lineRule="auto"/>
        <w:ind w:left="400" w:right="134"/>
      </w:pPr>
      <w:r>
        <w:br w:type="column"/>
      </w:r>
      <w:r>
        <w:t>STEMFS 2021:2</w:t>
      </w:r>
    </w:p>
    <w:p w14:paraId="506D9EEB" w14:textId="77777777" w:rsidR="00A2416E" w:rsidRDefault="00A2416E">
      <w:pPr>
        <w:spacing w:line="228" w:lineRule="auto"/>
        <w:sectPr w:rsidR="00A2416E">
          <w:pgSz w:w="9360" w:h="13720"/>
          <w:pgMar w:top="920" w:right="580" w:bottom="280" w:left="620" w:header="720" w:footer="720" w:gutter="0"/>
          <w:cols w:num="2" w:space="720" w:equalWidth="0">
            <w:col w:w="6337" w:space="428"/>
            <w:col w:w="1395"/>
          </w:cols>
        </w:sectPr>
      </w:pPr>
    </w:p>
    <w:p w14:paraId="1876708B" w14:textId="77777777" w:rsidR="00A2416E" w:rsidRDefault="00A2416E">
      <w:pPr>
        <w:pStyle w:val="Brdtext"/>
        <w:spacing w:before="9"/>
        <w:rPr>
          <w:b/>
          <w:sz w:val="17"/>
        </w:rPr>
      </w:pPr>
    </w:p>
    <w:tbl>
      <w:tblPr>
        <w:tblStyle w:val="TableNormal1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1559"/>
        <w:gridCol w:w="1276"/>
        <w:gridCol w:w="1556"/>
      </w:tblGrid>
      <w:tr w:rsidR="00A2416E" w14:paraId="13BAB754" w14:textId="77777777" w:rsidTr="00553A5B">
        <w:trPr>
          <w:trHeight w:val="895"/>
        </w:trPr>
        <w:tc>
          <w:tcPr>
            <w:tcW w:w="2577" w:type="dxa"/>
            <w:tcBorders>
              <w:left w:val="nil"/>
              <w:right w:val="single" w:sz="6" w:space="0" w:color="000000"/>
            </w:tcBorders>
          </w:tcPr>
          <w:p w14:paraId="12C84FCD" w14:textId="77777777" w:rsidR="00A2416E" w:rsidRDefault="00534832" w:rsidP="006C352C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Źródło surowca i proces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</w:tcPr>
          <w:p w14:paraId="29AA3401" w14:textId="77777777" w:rsidR="00A2416E" w:rsidRDefault="00534832" w:rsidP="006C352C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Paliwo wprowadzane do obrotu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14:paraId="0199DD9D" w14:textId="77777777" w:rsidR="00A2416E" w:rsidRDefault="00534832" w:rsidP="006C352C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Natężenie emisji gazów cieplarnianych w cyklu życia (gCO</w:t>
            </w:r>
            <w:r>
              <w:rPr>
                <w:b/>
                <w:sz w:val="9"/>
              </w:rPr>
              <w:t>2</w:t>
            </w:r>
            <w:r>
              <w:rPr>
                <w:b/>
                <w:sz w:val="16"/>
              </w:rPr>
              <w:t>eq/MJ)</w:t>
            </w:r>
          </w:p>
        </w:tc>
        <w:tc>
          <w:tcPr>
            <w:tcW w:w="1556" w:type="dxa"/>
            <w:tcBorders>
              <w:left w:val="single" w:sz="6" w:space="0" w:color="000000"/>
              <w:right w:val="nil"/>
            </w:tcBorders>
          </w:tcPr>
          <w:p w14:paraId="06D77BF2" w14:textId="77777777" w:rsidR="00A2416E" w:rsidRDefault="00534832" w:rsidP="006C352C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Ważona intensywność emisji gazów cieplarnianych w cyklu życia (gCO</w:t>
            </w:r>
            <w:r>
              <w:rPr>
                <w:b/>
                <w:sz w:val="9"/>
              </w:rPr>
              <w:t>2</w:t>
            </w:r>
            <w:r>
              <w:rPr>
                <w:b/>
                <w:sz w:val="16"/>
              </w:rPr>
              <w:t>eq/MJ)</w:t>
            </w:r>
          </w:p>
        </w:tc>
      </w:tr>
      <w:tr w:rsidR="00A2416E" w14:paraId="3873426A" w14:textId="77777777" w:rsidTr="00553A5B">
        <w:trPr>
          <w:trHeight w:val="280"/>
        </w:trPr>
        <w:tc>
          <w:tcPr>
            <w:tcW w:w="2577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D17CA45" w14:textId="77777777" w:rsidR="00A2416E" w:rsidRDefault="00534832">
            <w:pPr>
              <w:pStyle w:val="TableParagraph"/>
              <w:spacing w:before="44"/>
              <w:ind w:left="7"/>
              <w:rPr>
                <w:sz w:val="10"/>
              </w:rPr>
            </w:pPr>
            <w:r>
              <w:rPr>
                <w:sz w:val="17"/>
              </w:rPr>
              <w:t>Konwencjonalna ropa naftowa</w:t>
            </w:r>
            <w:r>
              <w:rPr>
                <w:sz w:val="10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BCD5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Benzyna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E7B5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93,2</w:t>
            </w:r>
          </w:p>
        </w:tc>
        <w:tc>
          <w:tcPr>
            <w:tcW w:w="1556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76CEAA9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93,3</w:t>
            </w:r>
          </w:p>
        </w:tc>
      </w:tr>
      <w:tr w:rsidR="00A2416E" w14:paraId="73B9A7AC" w14:textId="77777777" w:rsidTr="00553A5B">
        <w:trPr>
          <w:trHeight w:val="272"/>
        </w:trPr>
        <w:tc>
          <w:tcPr>
            <w:tcW w:w="2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C7C15D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Skroplony gaz ziemny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D2FE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83BA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94,3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B66125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BAF8354" w14:textId="77777777" w:rsidTr="00553A5B">
        <w:trPr>
          <w:trHeight w:val="462"/>
        </w:trPr>
        <w:tc>
          <w:tcPr>
            <w:tcW w:w="2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626C85" w14:textId="77777777" w:rsidR="00A2416E" w:rsidRDefault="00534832">
            <w:pPr>
              <w:pStyle w:val="TableParagraph"/>
              <w:spacing w:before="41" w:line="232" w:lineRule="auto"/>
              <w:ind w:left="7" w:right="396"/>
              <w:rPr>
                <w:sz w:val="17"/>
              </w:rPr>
            </w:pPr>
            <w:r>
              <w:rPr>
                <w:sz w:val="17"/>
              </w:rPr>
              <w:t>Olej syntetyczny otrzymywany z węgla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E7AF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F559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F629D4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12BEE648" w14:textId="77777777" w:rsidTr="00553A5B">
        <w:trPr>
          <w:trHeight w:val="272"/>
        </w:trPr>
        <w:tc>
          <w:tcPr>
            <w:tcW w:w="2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4E1B23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Naturalny bitum</w:t>
            </w:r>
            <w:r>
              <w:rPr>
                <w:sz w:val="10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3DD96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8B575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107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262DFB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17E91C6" w14:textId="77777777" w:rsidTr="00553A5B">
        <w:trPr>
          <w:trHeight w:val="272"/>
        </w:trPr>
        <w:tc>
          <w:tcPr>
            <w:tcW w:w="2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950171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Łupki bitumiczne</w:t>
            </w:r>
            <w:r>
              <w:rPr>
                <w:sz w:val="10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291D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707F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131,3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286A2F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7B1F697D" w14:textId="77777777" w:rsidTr="00553A5B">
        <w:trPr>
          <w:trHeight w:val="272"/>
        </w:trPr>
        <w:tc>
          <w:tcPr>
            <w:tcW w:w="2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AB26C8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Konwencjonalna ropa naftowa</w:t>
            </w:r>
            <w:r>
              <w:rPr>
                <w:sz w:val="1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95EE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Olej napędowy lub olej gazowy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3AC0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DC0102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95,1</w:t>
            </w:r>
          </w:p>
        </w:tc>
      </w:tr>
      <w:tr w:rsidR="00A2416E" w14:paraId="45915519" w14:textId="77777777" w:rsidTr="00553A5B">
        <w:trPr>
          <w:trHeight w:val="272"/>
        </w:trPr>
        <w:tc>
          <w:tcPr>
            <w:tcW w:w="2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1ED059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Skroplony gaz ziemny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F4EB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CEB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94,3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88FE51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428360F" w14:textId="77777777" w:rsidTr="00553A5B">
        <w:trPr>
          <w:trHeight w:val="462"/>
        </w:trPr>
        <w:tc>
          <w:tcPr>
            <w:tcW w:w="2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7A7AAB" w14:textId="77777777" w:rsidR="00A2416E" w:rsidRDefault="00534832">
            <w:pPr>
              <w:pStyle w:val="TableParagraph"/>
              <w:spacing w:before="41" w:line="232" w:lineRule="auto"/>
              <w:ind w:left="7" w:right="396"/>
              <w:rPr>
                <w:sz w:val="17"/>
              </w:rPr>
            </w:pPr>
            <w:r>
              <w:rPr>
                <w:sz w:val="17"/>
              </w:rPr>
              <w:t>Olej syntetyczny otrzymywany z węgla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E31D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A614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511F3C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70AAD108" w14:textId="77777777" w:rsidTr="00553A5B">
        <w:trPr>
          <w:trHeight w:val="272"/>
        </w:trPr>
        <w:tc>
          <w:tcPr>
            <w:tcW w:w="2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AEC1A1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Bitum naturalny</w:t>
            </w:r>
            <w:r>
              <w:rPr>
                <w:sz w:val="10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11B6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2CE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108,5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E9DC07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676BFD6A" w14:textId="77777777" w:rsidTr="00553A5B">
        <w:trPr>
          <w:trHeight w:val="272"/>
        </w:trPr>
        <w:tc>
          <w:tcPr>
            <w:tcW w:w="2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220D99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Łupki naftowe</w:t>
            </w:r>
            <w:r>
              <w:rPr>
                <w:sz w:val="10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A3CA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43D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133,7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605A11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6EFD38CA" w14:textId="77777777" w:rsidTr="00553A5B">
        <w:trPr>
          <w:trHeight w:val="360"/>
        </w:trPr>
        <w:tc>
          <w:tcPr>
            <w:tcW w:w="2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E5B109" w14:textId="77777777" w:rsidR="00A2416E" w:rsidRDefault="00534832" w:rsidP="00553A5B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Wszystkie źródła kopalne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584D4" w14:textId="77777777" w:rsidR="00A2416E" w:rsidRDefault="00534832" w:rsidP="00553A5B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LPG w silniku o zapłonie iskrowym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9BB2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73,6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B2DE0C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73,6</w:t>
            </w:r>
          </w:p>
        </w:tc>
      </w:tr>
      <w:tr w:rsidR="00A2416E" w14:paraId="235193A8" w14:textId="77777777" w:rsidTr="00553A5B">
        <w:trPr>
          <w:trHeight w:val="652"/>
        </w:trPr>
        <w:tc>
          <w:tcPr>
            <w:tcW w:w="2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7893B3" w14:textId="77777777" w:rsidR="00A2416E" w:rsidRDefault="00534832" w:rsidP="00553A5B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Gaz ziemny, koszyk energetyczny UE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E64F" w14:textId="77777777" w:rsidR="00A2416E" w:rsidRDefault="00534832" w:rsidP="00553A5B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Sprężony gaz ziemny w silniku o zapłonie iskrowym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4BF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69,3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348EA8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69,3</w:t>
            </w:r>
          </w:p>
        </w:tc>
      </w:tr>
      <w:tr w:rsidR="00A2416E" w14:paraId="748DCDF5" w14:textId="77777777" w:rsidTr="00553A5B">
        <w:trPr>
          <w:trHeight w:val="652"/>
        </w:trPr>
        <w:tc>
          <w:tcPr>
            <w:tcW w:w="2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9A5898" w14:textId="77777777" w:rsidR="00A2416E" w:rsidRDefault="00534832" w:rsidP="00553A5B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Gaz ziemny, koszyk energetyczny UE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57A6A" w14:textId="77777777" w:rsidR="00A2416E" w:rsidRDefault="00534832" w:rsidP="00553A5B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Skroplony gaz ziemny (LNG) w silniku o zapłonie iskrowym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FB0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74,5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2B9F6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74,5</w:t>
            </w:r>
          </w:p>
        </w:tc>
      </w:tr>
      <w:tr w:rsidR="00A2416E" w14:paraId="6E44497F" w14:textId="77777777" w:rsidTr="00553A5B">
        <w:trPr>
          <w:trHeight w:val="652"/>
        </w:trPr>
        <w:tc>
          <w:tcPr>
            <w:tcW w:w="2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02C750" w14:textId="210C39A7" w:rsidR="00A2416E" w:rsidRDefault="00534832" w:rsidP="006C352C">
            <w:pPr>
              <w:pStyle w:val="TableParagraph"/>
              <w:spacing w:before="0"/>
              <w:ind w:left="0"/>
              <w:rPr>
                <w:sz w:val="17"/>
              </w:rPr>
            </w:pPr>
            <w:r>
              <w:rPr>
                <w:sz w:val="17"/>
              </w:rPr>
              <w:t>Reakcja Sabatiera w przypadku wodoru pozyskiwanego w procesie elektrolizy z</w:t>
            </w:r>
            <w:r w:rsidR="00553A5B">
              <w:rPr>
                <w:sz w:val="17"/>
              </w:rPr>
              <w:t xml:space="preserve"> </w:t>
            </w:r>
            <w:r>
              <w:rPr>
                <w:sz w:val="17"/>
              </w:rPr>
              <w:t>udziałem energii z niebiologicznych źródeł</w:t>
            </w:r>
            <w:r w:rsidR="00553A5B">
              <w:rPr>
                <w:sz w:val="17"/>
              </w:rPr>
              <w:t xml:space="preserve"> </w:t>
            </w:r>
            <w:r>
              <w:rPr>
                <w:sz w:val="17"/>
              </w:rPr>
              <w:t>odnawialnych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EB5A" w14:textId="77777777" w:rsidR="00A2416E" w:rsidRDefault="00534832" w:rsidP="00553A5B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Sprężony syntetyczny metan w silniku o zapłonie iskrowym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CABE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3,3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9F95D7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3,3</w:t>
            </w:r>
          </w:p>
        </w:tc>
      </w:tr>
      <w:tr w:rsidR="00A2416E" w14:paraId="3DEDD229" w14:textId="77777777" w:rsidTr="00553A5B">
        <w:trPr>
          <w:trHeight w:val="462"/>
        </w:trPr>
        <w:tc>
          <w:tcPr>
            <w:tcW w:w="2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C478A9" w14:textId="77777777" w:rsidR="00A2416E" w:rsidRDefault="00534832" w:rsidP="00553A5B">
            <w:pPr>
              <w:pStyle w:val="TableParagraph"/>
              <w:spacing w:before="41" w:line="232" w:lineRule="auto"/>
              <w:ind w:left="7"/>
              <w:rPr>
                <w:sz w:val="17"/>
              </w:rPr>
            </w:pPr>
            <w:r>
              <w:rPr>
                <w:sz w:val="17"/>
              </w:rPr>
              <w:t>Gaz ziemny poprzez reforming parowy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B80C" w14:textId="77777777" w:rsidR="00A2416E" w:rsidRDefault="00534832" w:rsidP="00553A5B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Sprężony wodór w ogniwie paliwowym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773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104,3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24E83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104,3</w:t>
            </w:r>
          </w:p>
        </w:tc>
      </w:tr>
      <w:tr w:rsidR="00A2416E" w14:paraId="08CAB5BA" w14:textId="77777777" w:rsidTr="00553A5B">
        <w:trPr>
          <w:trHeight w:val="462"/>
        </w:trPr>
        <w:tc>
          <w:tcPr>
            <w:tcW w:w="2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A4479C" w14:textId="77777777" w:rsidR="00A2416E" w:rsidRDefault="00534832" w:rsidP="00553A5B">
            <w:pPr>
              <w:pStyle w:val="TableParagraph"/>
              <w:spacing w:before="41" w:line="232" w:lineRule="auto"/>
              <w:ind w:left="7"/>
              <w:rPr>
                <w:sz w:val="17"/>
              </w:rPr>
            </w:pPr>
            <w:r>
              <w:rPr>
                <w:sz w:val="17"/>
              </w:rPr>
              <w:t>Elektroliza w pełni zasilana energią niebiologiczną ze źródeł odnawialnych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07E9" w14:textId="77777777" w:rsidR="00A2416E" w:rsidRDefault="00534832" w:rsidP="00553A5B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Sprężony wodór w ogniwie paliwowym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8401F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9,1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B0D43B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9,1</w:t>
            </w:r>
          </w:p>
        </w:tc>
      </w:tr>
      <w:tr w:rsidR="00A2416E" w14:paraId="0C1EC040" w14:textId="77777777" w:rsidTr="00553A5B">
        <w:trPr>
          <w:trHeight w:val="462"/>
        </w:trPr>
        <w:tc>
          <w:tcPr>
            <w:tcW w:w="2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AA4F53" w14:textId="77777777" w:rsidR="00A2416E" w:rsidRDefault="00534832" w:rsidP="00553A5B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Węgiel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20A2E" w14:textId="77777777" w:rsidR="00A2416E" w:rsidRDefault="00534832" w:rsidP="00553A5B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Sprężony wodór w ogniwie paliwowym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573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234,4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46830F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234,4</w:t>
            </w:r>
          </w:p>
        </w:tc>
      </w:tr>
      <w:tr w:rsidR="00A2416E" w14:paraId="789D2C95" w14:textId="77777777" w:rsidTr="00553A5B">
        <w:trPr>
          <w:trHeight w:val="462"/>
        </w:trPr>
        <w:tc>
          <w:tcPr>
            <w:tcW w:w="2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C21D03" w14:textId="15A85B39" w:rsidR="00A2416E" w:rsidRDefault="00534832" w:rsidP="00553A5B">
            <w:pPr>
              <w:pStyle w:val="TableParagraph"/>
              <w:spacing w:before="41" w:line="232" w:lineRule="auto"/>
              <w:ind w:left="7"/>
              <w:rPr>
                <w:sz w:val="17"/>
              </w:rPr>
            </w:pPr>
            <w:r>
              <w:rPr>
                <w:sz w:val="17"/>
              </w:rPr>
              <w:t>Węgiel z wychwytywaniem i przechowywaniem dwutlenku węgla z procesów</w:t>
            </w:r>
            <w:r w:rsidR="00553A5B">
              <w:rPr>
                <w:sz w:val="17"/>
              </w:rPr>
              <w:t xml:space="preserve"> </w:t>
            </w:r>
            <w:r>
              <w:rPr>
                <w:sz w:val="17"/>
              </w:rPr>
              <w:t>technologicznych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FB3B0" w14:textId="77777777" w:rsidR="00A2416E" w:rsidRDefault="00534832" w:rsidP="00553A5B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Sprężony wodór w ogniwie paliwowym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383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52,7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6332B6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52,7</w:t>
            </w:r>
          </w:p>
        </w:tc>
      </w:tr>
      <w:tr w:rsidR="00A2416E" w14:paraId="1F750C81" w14:textId="77777777" w:rsidTr="00553A5B">
        <w:trPr>
          <w:trHeight w:val="462"/>
        </w:trPr>
        <w:tc>
          <w:tcPr>
            <w:tcW w:w="2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C44060" w14:textId="77777777" w:rsidR="00A2416E" w:rsidRDefault="00534832" w:rsidP="00553A5B">
            <w:pPr>
              <w:pStyle w:val="TableParagraph"/>
              <w:spacing w:before="41" w:line="232" w:lineRule="auto"/>
              <w:ind w:left="7"/>
              <w:rPr>
                <w:sz w:val="17"/>
              </w:rPr>
            </w:pPr>
            <w:r>
              <w:rPr>
                <w:sz w:val="17"/>
              </w:rPr>
              <w:t>Odpady plastikowe pochodzące z surowców kopalnych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687C" w14:textId="77777777" w:rsidR="00A2416E" w:rsidRDefault="00534832" w:rsidP="00553A5B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Benzyna, olej napędowy lub olej gazowy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2D11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24E515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</w:tr>
    </w:tbl>
    <w:p w14:paraId="686D7B57" w14:textId="77777777" w:rsidR="00A2416E" w:rsidRDefault="00534832" w:rsidP="006C352C">
      <w:pPr>
        <w:spacing w:before="126" w:line="233" w:lineRule="auto"/>
        <w:ind w:left="403" w:right="964"/>
        <w:rPr>
          <w:sz w:val="17"/>
        </w:rPr>
      </w:pPr>
      <w:r>
        <w:rPr>
          <w:sz w:val="10"/>
        </w:rPr>
        <w:t xml:space="preserve">1 </w:t>
      </w:r>
      <w:r>
        <w:rPr>
          <w:sz w:val="17"/>
        </w:rPr>
        <w:t>Konwencjonalna ropa naftowa oznacza każdy surowiec rafineryjny, którego gęstość mierzona w stopniach Amerykańskiego Instytutu Naftowego (API) wynosi powyżej 10 stopni, gdy znajduje się w złożu w miejscu wydobycia, zgodnie z metodą badawczą ASTM D287, i który nie wchodzi w zakres definicji odpowiadającej kodowi CN 2714</w:t>
      </w:r>
    </w:p>
    <w:p w14:paraId="4B21A793" w14:textId="77777777" w:rsidR="00A2416E" w:rsidRDefault="00534832">
      <w:pPr>
        <w:tabs>
          <w:tab w:val="right" w:pos="7997"/>
        </w:tabs>
        <w:spacing w:line="238" w:lineRule="exact"/>
        <w:ind w:left="400"/>
        <w:rPr>
          <w:rFonts w:ascii="HelveticaNeueLT Std Cn" w:hAnsi="HelveticaNeueLT Std Cn"/>
          <w:sz w:val="20"/>
        </w:rPr>
      </w:pPr>
      <w:r>
        <w:rPr>
          <w:sz w:val="17"/>
        </w:rPr>
        <w:t>, jak określono w rozporządzeniu Rady (EWG) nr 2658/87.</w:t>
      </w:r>
      <w:r>
        <w:rPr>
          <w:sz w:val="17"/>
        </w:rPr>
        <w:tab/>
      </w:r>
      <w:r>
        <w:rPr>
          <w:rFonts w:ascii="HelveticaNeueLT Std Cn" w:hAnsi="HelveticaNeueLT Std Cn"/>
          <w:sz w:val="20"/>
        </w:rPr>
        <w:t>5</w:t>
      </w:r>
    </w:p>
    <w:p w14:paraId="65268C9D" w14:textId="77777777" w:rsidR="00A2416E" w:rsidRDefault="00A2416E">
      <w:pPr>
        <w:spacing w:line="238" w:lineRule="exact"/>
        <w:rPr>
          <w:rFonts w:ascii="HelveticaNeueLT Std Cn" w:hAnsi="HelveticaNeueLT Std Cn"/>
          <w:sz w:val="20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12ED578D" w14:textId="77777777" w:rsidR="00A2416E" w:rsidRDefault="00534832">
      <w:pPr>
        <w:pStyle w:val="Rubrik2"/>
        <w:spacing w:line="228" w:lineRule="auto"/>
        <w:ind w:right="19"/>
      </w:pPr>
      <w:r>
        <w:lastRenderedPageBreak/>
        <w:t>STEMFS 2021:2</w:t>
      </w:r>
    </w:p>
    <w:p w14:paraId="36448102" w14:textId="77777777" w:rsidR="00A2416E" w:rsidRDefault="00534832">
      <w:pPr>
        <w:spacing w:before="81" w:line="232" w:lineRule="auto"/>
        <w:ind w:left="117" w:right="437"/>
        <w:rPr>
          <w:sz w:val="17"/>
        </w:rPr>
      </w:pPr>
      <w:r>
        <w:br w:type="column"/>
      </w:r>
      <w:r>
        <w:rPr>
          <w:sz w:val="10"/>
        </w:rPr>
        <w:t xml:space="preserve">2 </w:t>
      </w:r>
      <w:r>
        <w:rPr>
          <w:sz w:val="17"/>
        </w:rPr>
        <w:t>Bitum naturalny oznacza każdy surowiec rafineryjny a) o wskaźniku API (American Petroleum Institute) nieprzekraczającym 10 stopni in situ w miejscu wydobycia mierzonym według metody badawczej Amerykańskiego Towarzystwa Badań i Materiałów (ASTM) D287; b) o rocznej średniej lepkości w temperaturze złoża większej niż lepkość obliczona za pomocą równania: lepkość (wyrażona w centypuazach) = 518,98e-0,038T; gdzie T oznacza temperaturę w stopniach Celsjusza; c) wchodzący w zakres definicji piasków bitumicznych objętych kodem CN 2714, jak określono w rozporządzeniu Rady (EWG) nr 2658/87; oraz d) w przypadku którego wydobycie surowca odbywa się przy użyciu technik wydobycia górniczego lub termicznych metod intensyfikacji wydobycia, w których energia cieplna pochodzi głównie z innych źródeł niż samo źródło surowca.</w:t>
      </w:r>
    </w:p>
    <w:p w14:paraId="7D15F9D2" w14:textId="77777777" w:rsidR="00A2416E" w:rsidRDefault="00534832">
      <w:pPr>
        <w:spacing w:before="89" w:line="232" w:lineRule="auto"/>
        <w:ind w:left="117" w:right="473"/>
        <w:rPr>
          <w:sz w:val="17"/>
        </w:rPr>
      </w:pPr>
      <w:r>
        <w:rPr>
          <w:sz w:val="10"/>
        </w:rPr>
        <w:t xml:space="preserve">3 </w:t>
      </w:r>
      <w:r>
        <w:rPr>
          <w:sz w:val="17"/>
        </w:rPr>
        <w:t xml:space="preserve"> Łupki naftowe oznaczają każde źródło surowca rafineryjnego znajdującego się w formacji skalnej zawierające kerogen w formie stałej i wchodzące w zakres definicji łupków naftowych objętych kodem CN 2714, jak określono w rozporządzeniu (EWG) nr 2658/87. Wydobycie surowca odbywa się przy użyciu technik wydobycia górniczego lub termicznych metod intensyfikacji wydobycia.</w:t>
      </w:r>
    </w:p>
    <w:p w14:paraId="4F1DF429" w14:textId="77777777" w:rsidR="00A2416E" w:rsidRDefault="00A2416E">
      <w:pPr>
        <w:spacing w:line="232" w:lineRule="auto"/>
        <w:rPr>
          <w:sz w:val="17"/>
        </w:rPr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4B2CA0EF" w14:textId="77777777" w:rsidR="00A2416E" w:rsidRDefault="00A2416E">
      <w:pPr>
        <w:pStyle w:val="Brdtext"/>
        <w:rPr>
          <w:sz w:val="26"/>
        </w:rPr>
      </w:pPr>
    </w:p>
    <w:p w14:paraId="0A26DB13" w14:textId="77777777" w:rsidR="00A2416E" w:rsidRDefault="00A2416E">
      <w:pPr>
        <w:pStyle w:val="Brdtext"/>
        <w:rPr>
          <w:sz w:val="26"/>
        </w:rPr>
      </w:pPr>
    </w:p>
    <w:p w14:paraId="0FAF311C" w14:textId="77777777" w:rsidR="00A2416E" w:rsidRDefault="00A2416E">
      <w:pPr>
        <w:pStyle w:val="Brdtext"/>
        <w:rPr>
          <w:sz w:val="26"/>
        </w:rPr>
      </w:pPr>
    </w:p>
    <w:p w14:paraId="4EFBC468" w14:textId="77777777" w:rsidR="00A2416E" w:rsidRDefault="00A2416E">
      <w:pPr>
        <w:pStyle w:val="Brdtext"/>
        <w:rPr>
          <w:sz w:val="26"/>
        </w:rPr>
      </w:pPr>
    </w:p>
    <w:p w14:paraId="2BAA9D54" w14:textId="77777777" w:rsidR="00A2416E" w:rsidRDefault="00A2416E">
      <w:pPr>
        <w:pStyle w:val="Brdtext"/>
        <w:rPr>
          <w:sz w:val="26"/>
        </w:rPr>
      </w:pPr>
    </w:p>
    <w:p w14:paraId="4B62674C" w14:textId="77777777" w:rsidR="00A2416E" w:rsidRDefault="00A2416E">
      <w:pPr>
        <w:pStyle w:val="Brdtext"/>
        <w:rPr>
          <w:sz w:val="26"/>
        </w:rPr>
      </w:pPr>
    </w:p>
    <w:p w14:paraId="1921A8E7" w14:textId="77777777" w:rsidR="00A2416E" w:rsidRDefault="00A2416E">
      <w:pPr>
        <w:pStyle w:val="Brdtext"/>
        <w:rPr>
          <w:sz w:val="26"/>
        </w:rPr>
      </w:pPr>
    </w:p>
    <w:p w14:paraId="3B5954AD" w14:textId="77777777" w:rsidR="00A2416E" w:rsidRDefault="00A2416E">
      <w:pPr>
        <w:pStyle w:val="Brdtext"/>
        <w:rPr>
          <w:sz w:val="26"/>
        </w:rPr>
      </w:pPr>
    </w:p>
    <w:p w14:paraId="6D123182" w14:textId="77777777" w:rsidR="00A2416E" w:rsidRDefault="00A2416E">
      <w:pPr>
        <w:pStyle w:val="Brdtext"/>
        <w:rPr>
          <w:sz w:val="26"/>
        </w:rPr>
      </w:pPr>
    </w:p>
    <w:p w14:paraId="6E023F0F" w14:textId="77777777" w:rsidR="00A2416E" w:rsidRDefault="00A2416E">
      <w:pPr>
        <w:pStyle w:val="Brdtext"/>
        <w:rPr>
          <w:sz w:val="26"/>
        </w:rPr>
      </w:pPr>
    </w:p>
    <w:p w14:paraId="673A25F2" w14:textId="77777777" w:rsidR="00A2416E" w:rsidRDefault="00A2416E">
      <w:pPr>
        <w:pStyle w:val="Brdtext"/>
        <w:rPr>
          <w:sz w:val="26"/>
        </w:rPr>
      </w:pPr>
    </w:p>
    <w:p w14:paraId="3CCEACBA" w14:textId="77777777" w:rsidR="00A2416E" w:rsidRDefault="00A2416E">
      <w:pPr>
        <w:pStyle w:val="Brdtext"/>
        <w:rPr>
          <w:sz w:val="26"/>
        </w:rPr>
      </w:pPr>
    </w:p>
    <w:p w14:paraId="5FC5200E" w14:textId="77777777" w:rsidR="00A2416E" w:rsidRDefault="00A2416E">
      <w:pPr>
        <w:pStyle w:val="Brdtext"/>
        <w:rPr>
          <w:sz w:val="26"/>
        </w:rPr>
      </w:pPr>
    </w:p>
    <w:p w14:paraId="286B93AD" w14:textId="77777777" w:rsidR="00A2416E" w:rsidRDefault="00A2416E">
      <w:pPr>
        <w:pStyle w:val="Brdtext"/>
        <w:rPr>
          <w:sz w:val="26"/>
        </w:rPr>
      </w:pPr>
    </w:p>
    <w:p w14:paraId="420D1E7A" w14:textId="77777777" w:rsidR="00A2416E" w:rsidRDefault="00A2416E">
      <w:pPr>
        <w:pStyle w:val="Brdtext"/>
        <w:rPr>
          <w:sz w:val="26"/>
        </w:rPr>
      </w:pPr>
    </w:p>
    <w:p w14:paraId="0C5704DE" w14:textId="77777777" w:rsidR="00A2416E" w:rsidRDefault="00A2416E">
      <w:pPr>
        <w:pStyle w:val="Brdtext"/>
        <w:rPr>
          <w:sz w:val="26"/>
        </w:rPr>
      </w:pPr>
    </w:p>
    <w:p w14:paraId="01626443" w14:textId="77777777" w:rsidR="00A2416E" w:rsidRDefault="00A2416E">
      <w:pPr>
        <w:pStyle w:val="Brdtext"/>
        <w:rPr>
          <w:sz w:val="26"/>
        </w:rPr>
      </w:pPr>
    </w:p>
    <w:p w14:paraId="36AD06E0" w14:textId="77777777" w:rsidR="00A2416E" w:rsidRDefault="00A2416E">
      <w:pPr>
        <w:pStyle w:val="Brdtext"/>
        <w:rPr>
          <w:sz w:val="26"/>
        </w:rPr>
      </w:pPr>
    </w:p>
    <w:p w14:paraId="26EDA37B" w14:textId="77777777" w:rsidR="00A2416E" w:rsidRDefault="00A2416E">
      <w:pPr>
        <w:pStyle w:val="Brdtext"/>
        <w:rPr>
          <w:sz w:val="26"/>
        </w:rPr>
      </w:pPr>
    </w:p>
    <w:p w14:paraId="05A57E67" w14:textId="77777777" w:rsidR="00A2416E" w:rsidRDefault="00A2416E">
      <w:pPr>
        <w:pStyle w:val="Brdtext"/>
        <w:rPr>
          <w:sz w:val="26"/>
        </w:rPr>
      </w:pPr>
    </w:p>
    <w:p w14:paraId="38EEEB4B" w14:textId="77777777" w:rsidR="00A2416E" w:rsidRDefault="00A2416E">
      <w:pPr>
        <w:pStyle w:val="Brdtext"/>
        <w:rPr>
          <w:sz w:val="26"/>
        </w:rPr>
      </w:pPr>
    </w:p>
    <w:p w14:paraId="40C566BA" w14:textId="77777777" w:rsidR="00A2416E" w:rsidRDefault="00A2416E">
      <w:pPr>
        <w:pStyle w:val="Brdtext"/>
        <w:rPr>
          <w:sz w:val="26"/>
        </w:rPr>
      </w:pPr>
    </w:p>
    <w:p w14:paraId="7002B62C" w14:textId="77777777" w:rsidR="00A2416E" w:rsidRDefault="00A2416E">
      <w:pPr>
        <w:pStyle w:val="Brdtext"/>
        <w:rPr>
          <w:sz w:val="26"/>
        </w:rPr>
      </w:pPr>
    </w:p>
    <w:p w14:paraId="3313B690" w14:textId="77777777" w:rsidR="00A2416E" w:rsidRDefault="00A2416E">
      <w:pPr>
        <w:pStyle w:val="Brdtext"/>
        <w:rPr>
          <w:sz w:val="26"/>
        </w:rPr>
      </w:pPr>
    </w:p>
    <w:p w14:paraId="164F8077" w14:textId="77777777" w:rsidR="00A2416E" w:rsidRDefault="00A2416E">
      <w:pPr>
        <w:pStyle w:val="Brdtext"/>
        <w:rPr>
          <w:sz w:val="26"/>
        </w:rPr>
      </w:pPr>
    </w:p>
    <w:p w14:paraId="03001A05" w14:textId="77777777" w:rsidR="00A2416E" w:rsidRDefault="00A2416E">
      <w:pPr>
        <w:pStyle w:val="Brdtext"/>
        <w:rPr>
          <w:sz w:val="26"/>
        </w:rPr>
      </w:pPr>
    </w:p>
    <w:p w14:paraId="35F2DB8D" w14:textId="77777777" w:rsidR="00A2416E" w:rsidRDefault="00A2416E">
      <w:pPr>
        <w:pStyle w:val="Brdtext"/>
        <w:rPr>
          <w:sz w:val="26"/>
        </w:rPr>
      </w:pPr>
    </w:p>
    <w:p w14:paraId="40DD90BC" w14:textId="77777777" w:rsidR="00A2416E" w:rsidRDefault="00534832">
      <w:pPr>
        <w:pStyle w:val="Rubrik3"/>
        <w:spacing w:before="224"/>
      </w:pPr>
      <w:r>
        <w:t>6</w:t>
      </w:r>
    </w:p>
    <w:p w14:paraId="0F0644FB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E910C00" w14:textId="77777777" w:rsidR="00A2416E" w:rsidRDefault="00A2416E">
      <w:pPr>
        <w:pStyle w:val="Brdtext"/>
        <w:spacing w:before="5"/>
        <w:rPr>
          <w:rFonts w:ascii="HelveticaNeueLT Std Cn"/>
          <w:sz w:val="17"/>
        </w:rPr>
      </w:pPr>
    </w:p>
    <w:p w14:paraId="1D864C65" w14:textId="77777777" w:rsidR="00A2416E" w:rsidRDefault="00A2416E">
      <w:pPr>
        <w:rPr>
          <w:rFonts w:ascii="HelveticaNeueLT Std Cn"/>
          <w:sz w:val="17"/>
        </w:rPr>
        <w:sectPr w:rsidR="00A2416E">
          <w:pgSz w:w="9360" w:h="13720"/>
          <w:pgMar w:top="1280" w:right="580" w:bottom="280" w:left="620" w:header="720" w:footer="720" w:gutter="0"/>
          <w:cols w:space="720"/>
        </w:sectPr>
      </w:pPr>
    </w:p>
    <w:p w14:paraId="442D83DA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1280EC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8CB8DD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40CFE4B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1845BE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DC5E8B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4C7E42E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D939CA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28AB1C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DD21BD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083FCE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28AE273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51DFACB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A2B0D4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0A8100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A7B330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361A1F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38FFF7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649281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F92DCE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0327EA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C32F2E3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9CDD4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1E205C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705398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E7BCDE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E96DEB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CEA537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490DF5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4D5B22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521357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60C531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1DCA327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86BC41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4DA32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79245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C74010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57219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EB0BC7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D3A12A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7EB7451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EDA141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F42861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61E477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A8064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306BE0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4B49DE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01BA4A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F896C4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460C6538" w14:textId="77777777" w:rsidR="00A2416E" w:rsidRDefault="00A2416E">
      <w:pPr>
        <w:pStyle w:val="Brdtext"/>
        <w:spacing w:before="5"/>
        <w:rPr>
          <w:rFonts w:ascii="HelveticaNeueLT Std Cn"/>
          <w:sz w:val="16"/>
        </w:rPr>
      </w:pPr>
    </w:p>
    <w:p w14:paraId="6493E55E" w14:textId="77777777" w:rsidR="00A2416E" w:rsidRDefault="00534832">
      <w:pPr>
        <w:spacing w:before="94"/>
        <w:ind w:left="3265" w:right="3303"/>
        <w:jc w:val="center"/>
        <w:rPr>
          <w:sz w:val="16"/>
        </w:rPr>
      </w:pPr>
      <w:r>
        <w:rPr>
          <w:sz w:val="16"/>
        </w:rPr>
        <w:t>Arkitektkopia AB, 2021 r.</w:t>
      </w:r>
    </w:p>
    <w:sectPr w:rsidR="00A2416E">
      <w:pgSz w:w="9360" w:h="13720"/>
      <w:pgMar w:top="12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Cn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3022"/>
    <w:multiLevelType w:val="hybridMultilevel"/>
    <w:tmpl w:val="9C32ADD2"/>
    <w:lvl w:ilvl="0" w:tplc="DCE0122A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46349384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CC300154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49C20834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265016FE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4BD2233C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3E8E58BE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D1A2B188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2B70E1B6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1" w15:restartNumberingAfterBreak="0">
    <w:nsid w:val="481C1347"/>
    <w:multiLevelType w:val="hybridMultilevel"/>
    <w:tmpl w:val="9C7E1930"/>
    <w:lvl w:ilvl="0" w:tplc="C744F9C0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FEB4DD82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50BA73C2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4ED00D5E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20641262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A4BE9D08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CCC41658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905C7B2E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0A20BB10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2" w15:restartNumberingAfterBreak="0">
    <w:nsid w:val="5BD660CD"/>
    <w:multiLevelType w:val="hybridMultilevel"/>
    <w:tmpl w:val="E2CC420E"/>
    <w:lvl w:ilvl="0" w:tplc="87C88236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D8EA215C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2D1CE9CC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F2682940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C7582D32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4C42FF80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8EB06906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A57C080A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D0B8D752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3" w15:restartNumberingAfterBreak="0">
    <w:nsid w:val="75B322EB"/>
    <w:multiLevelType w:val="hybridMultilevel"/>
    <w:tmpl w:val="9434F28E"/>
    <w:lvl w:ilvl="0" w:tplc="B284F896">
      <w:start w:val="4"/>
      <w:numFmt w:val="decimal"/>
      <w:lvlText w:val="%1"/>
      <w:lvlJc w:val="left"/>
      <w:pPr>
        <w:ind w:left="117" w:hanging="191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19"/>
        <w:szCs w:val="19"/>
        <w:lang w:val="sv-SE" w:eastAsia="sv-SE" w:bidi="sv-SE"/>
      </w:rPr>
    </w:lvl>
    <w:lvl w:ilvl="1" w:tplc="393E4A44">
      <w:numFmt w:val="bullet"/>
      <w:lvlText w:val="•"/>
      <w:lvlJc w:val="left"/>
      <w:pPr>
        <w:ind w:left="400" w:hanging="191"/>
      </w:pPr>
      <w:rPr>
        <w:rFonts w:hint="default"/>
        <w:lang w:val="sv-SE" w:eastAsia="sv-SE" w:bidi="sv-SE"/>
      </w:rPr>
    </w:lvl>
    <w:lvl w:ilvl="2" w:tplc="6742EC7E">
      <w:numFmt w:val="bullet"/>
      <w:lvlText w:val="•"/>
      <w:lvlJc w:val="left"/>
      <w:pPr>
        <w:ind w:left="892" w:hanging="191"/>
      </w:pPr>
      <w:rPr>
        <w:rFonts w:hint="default"/>
        <w:lang w:val="sv-SE" w:eastAsia="sv-SE" w:bidi="sv-SE"/>
      </w:rPr>
    </w:lvl>
    <w:lvl w:ilvl="3" w:tplc="458C596A">
      <w:numFmt w:val="bullet"/>
      <w:lvlText w:val="•"/>
      <w:lvlJc w:val="left"/>
      <w:pPr>
        <w:ind w:left="1385" w:hanging="191"/>
      </w:pPr>
      <w:rPr>
        <w:rFonts w:hint="default"/>
        <w:lang w:val="sv-SE" w:eastAsia="sv-SE" w:bidi="sv-SE"/>
      </w:rPr>
    </w:lvl>
    <w:lvl w:ilvl="4" w:tplc="A57C0292">
      <w:numFmt w:val="bullet"/>
      <w:lvlText w:val="•"/>
      <w:lvlJc w:val="left"/>
      <w:pPr>
        <w:ind w:left="1878" w:hanging="191"/>
      </w:pPr>
      <w:rPr>
        <w:rFonts w:hint="default"/>
        <w:lang w:val="sv-SE" w:eastAsia="sv-SE" w:bidi="sv-SE"/>
      </w:rPr>
    </w:lvl>
    <w:lvl w:ilvl="5" w:tplc="EAD81622">
      <w:numFmt w:val="bullet"/>
      <w:lvlText w:val="•"/>
      <w:lvlJc w:val="left"/>
      <w:pPr>
        <w:ind w:left="2371" w:hanging="191"/>
      </w:pPr>
      <w:rPr>
        <w:rFonts w:hint="default"/>
        <w:lang w:val="sv-SE" w:eastAsia="sv-SE" w:bidi="sv-SE"/>
      </w:rPr>
    </w:lvl>
    <w:lvl w:ilvl="6" w:tplc="79FE8E66">
      <w:numFmt w:val="bullet"/>
      <w:lvlText w:val="•"/>
      <w:lvlJc w:val="left"/>
      <w:pPr>
        <w:ind w:left="2864" w:hanging="191"/>
      </w:pPr>
      <w:rPr>
        <w:rFonts w:hint="default"/>
        <w:lang w:val="sv-SE" w:eastAsia="sv-SE" w:bidi="sv-SE"/>
      </w:rPr>
    </w:lvl>
    <w:lvl w:ilvl="7" w:tplc="48705B1C">
      <w:numFmt w:val="bullet"/>
      <w:lvlText w:val="•"/>
      <w:lvlJc w:val="left"/>
      <w:pPr>
        <w:ind w:left="3357" w:hanging="191"/>
      </w:pPr>
      <w:rPr>
        <w:rFonts w:hint="default"/>
        <w:lang w:val="sv-SE" w:eastAsia="sv-SE" w:bidi="sv-SE"/>
      </w:rPr>
    </w:lvl>
    <w:lvl w:ilvl="8" w:tplc="9DD4479E">
      <w:numFmt w:val="bullet"/>
      <w:lvlText w:val="•"/>
      <w:lvlJc w:val="left"/>
      <w:pPr>
        <w:ind w:left="3850" w:hanging="191"/>
      </w:pPr>
      <w:rPr>
        <w:rFonts w:hint="default"/>
        <w:lang w:val="sv-SE" w:eastAsia="sv-SE" w:bidi="sv-SE"/>
      </w:rPr>
    </w:lvl>
  </w:abstractNum>
  <w:abstractNum w:abstractNumId="4" w15:restartNumberingAfterBreak="0">
    <w:nsid w:val="781053DB"/>
    <w:multiLevelType w:val="hybridMultilevel"/>
    <w:tmpl w:val="78DE761A"/>
    <w:lvl w:ilvl="0" w:tplc="46523CC6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0C929874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1D466E7E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7B32C61C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CC2A008E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BFD03AA2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BFA48664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4F0CD3C6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00F4FAC6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16E"/>
    <w:rsid w:val="00534832"/>
    <w:rsid w:val="00553A5B"/>
    <w:rsid w:val="00581354"/>
    <w:rsid w:val="006C352C"/>
    <w:rsid w:val="00A2416E"/>
    <w:rsid w:val="00B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978AA5"/>
  <w15:docId w15:val="{3431FC6E-06A0-4218-8771-913709BB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sv-SE" w:bidi="sv-SE"/>
    </w:rPr>
  </w:style>
  <w:style w:type="paragraph" w:styleId="Rubrik1">
    <w:name w:val="heading 1"/>
    <w:basedOn w:val="Normal"/>
    <w:uiPriority w:val="9"/>
    <w:qFormat/>
    <w:pPr>
      <w:spacing w:before="71"/>
      <w:ind w:right="33"/>
      <w:outlineLvl w:val="0"/>
    </w:pPr>
    <w:rPr>
      <w:b/>
      <w:bCs/>
      <w:sz w:val="26"/>
      <w:szCs w:val="26"/>
    </w:rPr>
  </w:style>
  <w:style w:type="paragraph" w:styleId="Rubrik2">
    <w:name w:val="heading 2"/>
    <w:basedOn w:val="Normal"/>
    <w:uiPriority w:val="9"/>
    <w:unhideWhenUsed/>
    <w:qFormat/>
    <w:pPr>
      <w:spacing w:before="73"/>
      <w:ind w:left="117"/>
      <w:outlineLvl w:val="1"/>
    </w:pPr>
    <w:rPr>
      <w:b/>
      <w:bCs/>
      <w:sz w:val="21"/>
      <w:szCs w:val="21"/>
    </w:rPr>
  </w:style>
  <w:style w:type="paragraph" w:styleId="Rubrik3">
    <w:name w:val="heading 3"/>
    <w:basedOn w:val="Normal"/>
    <w:uiPriority w:val="9"/>
    <w:unhideWhenUsed/>
    <w:qFormat/>
    <w:pPr>
      <w:spacing w:before="1"/>
      <w:ind w:left="117"/>
      <w:outlineLvl w:val="2"/>
    </w:pPr>
    <w:rPr>
      <w:rFonts w:ascii="HelveticaNeueLT Std Cn" w:eastAsia="HelveticaNeueLT Std Cn" w:hAnsi="HelveticaNeueLT Std Cn" w:cs="HelveticaNeueLT Std Cn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9"/>
      <w:szCs w:val="19"/>
    </w:rPr>
  </w:style>
  <w:style w:type="paragraph" w:styleId="Liststycke">
    <w:name w:val="List Paragraph"/>
    <w:basedOn w:val="Normal"/>
    <w:uiPriority w:val="1"/>
    <w:qFormat/>
    <w:pPr>
      <w:spacing w:before="68"/>
      <w:ind w:left="315" w:hanging="199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1710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STEMFS 2021:2 Föreskrifter om ändring av Statens energimyndighets föreskrifter (STEMFS 2017:3) om rapportering och beräkning enligt drivmedelslagen</vt:lpstr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STEMFS 2021:2 Föreskrifter om ändring av Statens energimyndighets föreskrifter (STEMFS 2017:3) om rapportering och beräkning enligt drivmedelslagen</dc:title>
  <dc:creator>Rikard Janson (chefsjurist)</dc:creator>
  <cp:keywords>STEMFS 2021:2 Föreskrifter om ändring av Statens energimyndighets föreskrifter (STEMFS 2017:3) om rapportering och beräkning enligt drivmedelslagen</cp:keywords>
  <cp:lastModifiedBy>Edison Moises Parraga Chica</cp:lastModifiedBy>
  <cp:revision>4</cp:revision>
  <dcterms:created xsi:type="dcterms:W3CDTF">2021-04-07T09:34:00Z</dcterms:created>
  <dcterms:modified xsi:type="dcterms:W3CDTF">2022-01-17T20:05:00Z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2021-04-07T00:00:00Z</vt:filetime>
  </property>
</Properties>
</file>