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0FC49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557B5785" w14:textId="77777777" w:rsidR="00133AA5" w:rsidRDefault="00BA3408">
      <w:pPr>
        <w:jc w:val="center"/>
        <w:rPr>
          <w:caps/>
          <w:sz w:val="22"/>
        </w:rPr>
      </w:pPr>
      <w:r>
        <w:rPr>
          <w:caps/>
          <w:noProof/>
        </w:rPr>
        <w:drawing>
          <wp:inline distT="0" distB="0" distL="0" distR="0" wp14:anchorId="0D7A5CC3" wp14:editId="2A455C37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96720" w14:textId="77777777" w:rsidR="00133AA5" w:rsidRDefault="00133AA5">
      <w:pPr>
        <w:jc w:val="center"/>
        <w:rPr>
          <w:caps/>
          <w:sz w:val="12"/>
          <w:szCs w:val="12"/>
        </w:rPr>
      </w:pPr>
    </w:p>
    <w:p w14:paraId="6A562059" w14:textId="77777777" w:rsidR="00133AA5" w:rsidRDefault="00BA3408">
      <w:pPr>
        <w:jc w:val="center"/>
        <w:rPr>
          <w:b/>
          <w:bCs/>
          <w:caps/>
        </w:rPr>
      </w:pPr>
      <w:r>
        <w:rPr>
          <w:b/>
          <w:caps/>
        </w:rPr>
        <w:t>REPUBLIKA LITEWSKA</w:t>
      </w:r>
    </w:p>
    <w:p w14:paraId="0523DB90" w14:textId="77777777" w:rsidR="00133AA5" w:rsidRDefault="00BA3408">
      <w:pPr>
        <w:jc w:val="center"/>
        <w:rPr>
          <w:b/>
          <w:caps/>
        </w:rPr>
      </w:pPr>
      <w:r>
        <w:rPr>
          <w:b/>
          <w:caps/>
        </w:rPr>
        <w:t>USTAWA ZMIENIAJĄCA ART. 9</w:t>
      </w:r>
      <w:r>
        <w:rPr>
          <w:b/>
          <w:caps/>
          <w:vertAlign w:val="superscript"/>
        </w:rPr>
        <w:t>2</w:t>
      </w:r>
      <w:r>
        <w:rPr>
          <w:b/>
          <w:caps/>
        </w:rPr>
        <w:t xml:space="preserve"> USTAWY NR I-1143 O KONTROLI TYTONIU, WYROBÓW TYTONIOWYCH I WYROBÓW POKREWNYCH</w:t>
      </w:r>
    </w:p>
    <w:p w14:paraId="4BAAE600" w14:textId="77777777" w:rsidR="00133AA5" w:rsidRDefault="00BA3408">
      <w:pPr>
        <w:jc w:val="center"/>
        <w:rPr>
          <w:caps/>
        </w:rPr>
      </w:pPr>
      <w:r>
        <w:rPr>
          <w:b/>
          <w:caps/>
        </w:rPr>
        <w:t>TYTONIU</w:t>
      </w:r>
    </w:p>
    <w:p w14:paraId="76465ACC" w14:textId="77777777" w:rsidR="00133AA5" w:rsidRDefault="00133AA5">
      <w:pPr>
        <w:jc w:val="center"/>
        <w:rPr>
          <w:b/>
          <w:caps/>
        </w:rPr>
      </w:pPr>
    </w:p>
    <w:p w14:paraId="04164B49" w14:textId="77777777" w:rsidR="00133AA5" w:rsidRDefault="00BA3408">
      <w:pPr>
        <w:jc w:val="center"/>
        <w:rPr>
          <w:szCs w:val="24"/>
        </w:rPr>
      </w:pPr>
      <w:r>
        <w:t>Nr XIV-909 z dnia 18 stycznia 2022 r.</w:t>
      </w:r>
    </w:p>
    <w:p w14:paraId="6652D6B4" w14:textId="77777777" w:rsidR="00133AA5" w:rsidRDefault="00BA3408">
      <w:pPr>
        <w:jc w:val="center"/>
        <w:rPr>
          <w:szCs w:val="24"/>
        </w:rPr>
      </w:pPr>
      <w:r>
        <w:t>Wilno</w:t>
      </w:r>
    </w:p>
    <w:p w14:paraId="1303B785" w14:textId="77777777" w:rsidR="00133AA5" w:rsidRDefault="00133AA5">
      <w:pPr>
        <w:jc w:val="center"/>
        <w:rPr>
          <w:sz w:val="22"/>
        </w:rPr>
      </w:pPr>
    </w:p>
    <w:p w14:paraId="10A43406" w14:textId="77777777" w:rsidR="00133AA5" w:rsidRDefault="00133AA5">
      <w:pPr>
        <w:spacing w:line="360" w:lineRule="auto"/>
        <w:ind w:firstLine="720"/>
        <w:jc w:val="both"/>
        <w:rPr>
          <w:sz w:val="16"/>
          <w:szCs w:val="16"/>
        </w:rPr>
      </w:pPr>
    </w:p>
    <w:p w14:paraId="066C8155" w14:textId="77777777" w:rsidR="00133AA5" w:rsidRDefault="00133AA5">
      <w:pPr>
        <w:spacing w:line="360" w:lineRule="auto"/>
        <w:ind w:firstLine="720"/>
        <w:jc w:val="both"/>
        <w:sectPr w:rsidR="00133A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14:paraId="0BAA415F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1D9A826D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Art. 1. Poprawka do art. 9</w:t>
      </w:r>
      <w:r>
        <w:rPr>
          <w:b/>
          <w:vertAlign w:val="superscript"/>
        </w:rPr>
        <w:t>2</w:t>
      </w:r>
    </w:p>
    <w:p w14:paraId="4B8A49D1" w14:textId="77777777" w:rsidR="00133AA5" w:rsidRDefault="00BA3408">
      <w:pPr>
        <w:spacing w:line="360" w:lineRule="auto"/>
        <w:ind w:firstLine="720"/>
        <w:jc w:val="both"/>
      </w:pPr>
      <w:r>
        <w:t>W art. 9</w:t>
      </w:r>
      <w:r>
        <w:rPr>
          <w:vertAlign w:val="superscript"/>
        </w:rPr>
        <w:t>2</w:t>
      </w:r>
      <w:r>
        <w:t xml:space="preserve"> ust. 4 otrzymuje brzmienie:</w:t>
      </w:r>
    </w:p>
    <w:p w14:paraId="133EB5F0" w14:textId="77777777" w:rsidR="00133AA5" w:rsidRDefault="00BA3408">
      <w:pPr>
        <w:spacing w:line="360" w:lineRule="auto"/>
        <w:ind w:firstLine="720"/>
        <w:jc w:val="both"/>
      </w:pPr>
      <w:r>
        <w:t>"4. Zabrania się wprowadzania do obrotu papierosów elektronicznych i wkładów do papierosów elektronicznych zawierających płyny przeznaczone do napełniania papierosów elektronicznych, jeżeli płyn zawiera następujące dodatki:</w:t>
      </w:r>
    </w:p>
    <w:p w14:paraId="67D677F3" w14:textId="77777777" w:rsidR="00133AA5" w:rsidRDefault="00BA3408">
      <w:pPr>
        <w:spacing w:line="360" w:lineRule="auto"/>
        <w:ind w:firstLine="720"/>
        <w:jc w:val="both"/>
      </w:pPr>
      <w:r>
        <w:t>1) witaminy lub inne dodatki, które stwarzają wrażenie, że elektroniczne papierosy lub papierosy elektroniczne mają korzystny wpływ na zdrowie lub stwarzają mniejsze zagrożenie dla zdrowia;</w:t>
      </w:r>
    </w:p>
    <w:p w14:paraId="29C49539" w14:textId="77777777" w:rsidR="00133AA5" w:rsidRDefault="00BA3408">
      <w:pPr>
        <w:spacing w:line="360" w:lineRule="auto"/>
        <w:ind w:firstLine="720"/>
        <w:jc w:val="both"/>
      </w:pPr>
      <w:r>
        <w:t>2) kofeinę lub taurynę lub inne dodatki i związki pobudzające, które są kojarzone z energią i witalnością;</w:t>
      </w:r>
    </w:p>
    <w:p w14:paraId="759D6D6B" w14:textId="77777777" w:rsidR="00133AA5" w:rsidRDefault="00BA3408">
      <w:pPr>
        <w:spacing w:line="360" w:lineRule="auto"/>
        <w:ind w:firstLine="720"/>
        <w:jc w:val="both"/>
      </w:pPr>
      <w:r>
        <w:t>3) dodatki barwiące emisje;</w:t>
      </w:r>
    </w:p>
    <w:p w14:paraId="337B872D" w14:textId="77777777" w:rsidR="00133AA5" w:rsidRDefault="00BA3408">
      <w:pPr>
        <w:spacing w:line="360" w:lineRule="auto"/>
        <w:ind w:firstLine="720"/>
        <w:jc w:val="both"/>
      </w:pPr>
      <w:r>
        <w:t>4) dodatki, które w postaci niespalonej zawierają substancje rakotwórcze, mutagenne lub działające szkodliwie na rozrodczość (CMR);</w:t>
      </w:r>
    </w:p>
    <w:p w14:paraId="24FD9301" w14:textId="77777777" w:rsidR="00133AA5" w:rsidRDefault="00BA3408">
      <w:pPr>
        <w:spacing w:line="360" w:lineRule="auto"/>
        <w:ind w:firstLine="720"/>
        <w:jc w:val="both"/>
      </w:pPr>
      <w:r>
        <w:t>5) środki aromatyzujące inne niż aromaty tytoniu”.</w:t>
      </w:r>
    </w:p>
    <w:p w14:paraId="2EFD560C" w14:textId="77777777" w:rsidR="00133AA5" w:rsidRDefault="00133AA5">
      <w:pPr>
        <w:spacing w:line="360" w:lineRule="auto"/>
        <w:ind w:firstLine="720"/>
        <w:jc w:val="both"/>
      </w:pPr>
    </w:p>
    <w:p w14:paraId="47DAC52E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 xml:space="preserve">Art. 2 Wejście w życie i wdrożenie ustawy </w:t>
      </w:r>
    </w:p>
    <w:p w14:paraId="2ECB3FBE" w14:textId="77777777" w:rsidR="00133AA5" w:rsidRDefault="00BA3408">
      <w:pPr>
        <w:spacing w:line="360" w:lineRule="auto"/>
        <w:ind w:firstLine="720"/>
        <w:jc w:val="both"/>
      </w:pPr>
      <w:r>
        <w:t>1. Niniejsza ustawa, z wyjątkiem ust. 2 niniejszego artykułu, wchodzi w życie z dniem 1 lipca 2022 r.</w:t>
      </w:r>
    </w:p>
    <w:p w14:paraId="4659212F" w14:textId="77777777" w:rsidR="00133AA5" w:rsidRDefault="00BA3408">
      <w:pPr>
        <w:spacing w:line="360" w:lineRule="auto"/>
        <w:ind w:firstLine="720"/>
        <w:jc w:val="both"/>
      </w:pPr>
      <w:r>
        <w:t>2. Rząd Republiki Litewskiej lub instytucja upoważniona przez niego ustanowi wykonawczy akt prawny do niniejszej ustawy do dnia 30 czerwca 2022 r.</w:t>
      </w:r>
    </w:p>
    <w:p w14:paraId="645AD4A6" w14:textId="77777777" w:rsidR="00133AA5" w:rsidRDefault="00133AA5">
      <w:pPr>
        <w:spacing w:line="360" w:lineRule="auto"/>
        <w:ind w:firstLine="720"/>
        <w:jc w:val="both"/>
        <w:rPr>
          <w:i/>
          <w:szCs w:val="24"/>
        </w:rPr>
      </w:pPr>
    </w:p>
    <w:p w14:paraId="0B9CD693" w14:textId="77777777" w:rsidR="00133AA5" w:rsidRDefault="00BA3408">
      <w:pPr>
        <w:spacing w:line="360" w:lineRule="auto"/>
        <w:ind w:firstLine="720"/>
        <w:jc w:val="both"/>
        <w:rPr>
          <w:i/>
          <w:szCs w:val="24"/>
        </w:rPr>
      </w:pPr>
      <w:r>
        <w:rPr>
          <w:i/>
        </w:rPr>
        <w:t>Niniejszym ogłaszam tę ustawę za przyjętą przez Sejm Republiki Litewskiej.</w:t>
      </w:r>
    </w:p>
    <w:p w14:paraId="1AE078F5" w14:textId="77777777" w:rsidR="00133AA5" w:rsidRDefault="00133AA5">
      <w:pPr>
        <w:spacing w:line="360" w:lineRule="auto"/>
        <w:rPr>
          <w:i/>
          <w:szCs w:val="24"/>
        </w:rPr>
      </w:pPr>
    </w:p>
    <w:p w14:paraId="2C76FC6D" w14:textId="77777777" w:rsidR="00133AA5" w:rsidRDefault="00133AA5">
      <w:pPr>
        <w:spacing w:line="360" w:lineRule="auto"/>
      </w:pPr>
    </w:p>
    <w:p w14:paraId="6BBEB032" w14:textId="77777777" w:rsidR="00133AA5" w:rsidRDefault="00BA3408">
      <w:pPr>
        <w:tabs>
          <w:tab w:val="right" w:pos="9356"/>
        </w:tabs>
      </w:pPr>
      <w:r>
        <w:t>Prezydent Republiki</w:t>
      </w:r>
      <w:r>
        <w:rPr>
          <w:caps/>
        </w:rPr>
        <w:tab/>
      </w:r>
      <w:r>
        <w:t>Gitanas Nausėda</w:t>
      </w:r>
    </w:p>
    <w:sectPr w:rsidR="00133AA5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35422" w14:textId="77777777" w:rsidR="00E03CDC" w:rsidRDefault="00E03CD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2C98F3A6" w14:textId="77777777" w:rsidR="00E03CDC" w:rsidRDefault="00E03CD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A5352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41BB465B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C6E83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43D89D30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3CB32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C4969" w14:textId="77777777" w:rsidR="00E03CDC" w:rsidRDefault="00E03CD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737751E1" w14:textId="77777777" w:rsidR="00E03CDC" w:rsidRDefault="00E03CD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F7B87" w14:textId="77777777" w:rsidR="00133AA5" w:rsidRDefault="00BA3408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76E2CE4B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7B233" w14:textId="77777777" w:rsidR="00133AA5" w:rsidRDefault="00BA3408">
    <w:pPr>
      <w:framePr w:wrap="auto" w:vAnchor="text" w:hAnchor="page" w:x="6337" w:y="15"/>
      <w:tabs>
        <w:tab w:val="center" w:pos="4153"/>
        <w:tab w:val="right" w:pos="8306"/>
      </w:tabs>
      <w:rPr>
        <w:szCs w:val="24"/>
      </w:rPr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275C0B25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A4242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9D3"/>
    <w:rsid w:val="00133AA5"/>
    <w:rsid w:val="00220FED"/>
    <w:rsid w:val="003A09D3"/>
    <w:rsid w:val="00892064"/>
    <w:rsid w:val="00BA3408"/>
    <w:rsid w:val="00E0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5F3B59"/>
  <w15:docId w15:val="{F148A8F8-7F48-4AC4-A232-09532B42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1192</Characters>
  <Application>Microsoft Office Word</Application>
  <DocSecurity>0</DocSecurity>
  <Lines>41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1369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MOZERĖ Dainora</dc:creator>
  <cp:keywords>class='Internal'</cp:keywords>
  <cp:lastModifiedBy>Antonia Čarija</cp:lastModifiedBy>
  <cp:revision>2</cp:revision>
  <cp:lastPrinted>2004-12-10T05:45:00Z</cp:lastPrinted>
  <dcterms:created xsi:type="dcterms:W3CDTF">2022-06-09T09:03:00Z</dcterms:created>
  <dcterms:modified xsi:type="dcterms:W3CDTF">2022-06-09T09:03:00Z</dcterms:modified>
</cp:coreProperties>
</file>