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C4128" w14:textId="77777777" w:rsidR="0040649C" w:rsidRDefault="0040649C" w:rsidP="0040649C">
      <w:pPr>
        <w:autoSpaceDE w:val="0"/>
        <w:autoSpaceDN w:val="0"/>
        <w:adjustRightInd w:val="0"/>
        <w:spacing w:after="0" w:line="240" w:lineRule="auto"/>
        <w:jc w:val="center"/>
        <w:rPr>
          <w:b/>
          <w:bCs/>
          <w:sz w:val="44"/>
          <w:szCs w:val="44"/>
          <w:rFonts w:ascii="Times New Roman" w:hAnsi="Times New Roman" w:cs="Times New Roman"/>
        </w:rPr>
      </w:pPr>
      <w:r>
        <w:rPr>
          <w:b/>
          <w:sz w:val="44"/>
          <w:rFonts w:ascii="Times New Roman" w:hAnsi="Times New Roman"/>
        </w:rPr>
        <w:t xml:space="preserve">UDKAST TIL LOV</w:t>
      </w:r>
    </w:p>
    <w:p w14:paraId="2BDC59CC" w14:textId="77777777" w:rsidR="0040649C" w:rsidRDefault="0040649C" w:rsidP="0040649C">
      <w:pPr>
        <w:autoSpaceDE w:val="0"/>
        <w:autoSpaceDN w:val="0"/>
        <w:adjustRightInd w:val="0"/>
        <w:spacing w:after="0" w:line="240" w:lineRule="auto"/>
        <w:jc w:val="center"/>
        <w:rPr>
          <w:rFonts w:ascii="Times New Roman" w:hAnsi="Times New Roman" w:cs="Times New Roman"/>
          <w:b/>
          <w:bCs/>
          <w:sz w:val="44"/>
          <w:szCs w:val="44"/>
        </w:rPr>
      </w:pPr>
    </w:p>
    <w:p w14:paraId="3F6DBEC7" w14:textId="2E4AB870" w:rsidR="00A57D62" w:rsidRDefault="0040649C" w:rsidP="0040649C">
      <w:pPr>
        <w:jc w:val="center"/>
        <w:rPr>
          <w:i/>
          <w:iCs/>
          <w:sz w:val="28"/>
          <w:szCs w:val="28"/>
          <w:rFonts w:ascii="Times New Roman" w:hAnsi="Times New Roman" w:cs="Times New Roman"/>
        </w:rPr>
      </w:pPr>
      <w:r>
        <w:rPr>
          <w:sz w:val="28"/>
          <w:i/>
          <w:rFonts w:ascii="Times New Roman" w:hAnsi="Times New Roman"/>
        </w:rPr>
        <w:t xml:space="preserve">om </w:t>
      </w:r>
      <w:r>
        <w:rPr>
          <w:sz w:val="28"/>
          <w:b/>
          <w:rFonts w:ascii="Times New Roman" w:hAnsi="Times New Roman"/>
        </w:rPr>
        <w:t xml:space="preserve">styrkelse af</w:t>
      </w:r>
      <w:r>
        <w:rPr>
          <w:sz w:val="28"/>
          <w:b/>
          <w:i/>
          <w:rFonts w:ascii="Times New Roman" w:hAnsi="Times New Roman"/>
        </w:rPr>
        <w:t xml:space="preserve"> </w:t>
      </w:r>
      <w:r>
        <w:rPr>
          <w:sz w:val="28"/>
          <w:b/>
          <w:b/>
          <w:b/>
          <w:rFonts w:ascii="Times New Roman" w:hAnsi="Times New Roman"/>
        </w:rPr>
        <w:t xml:space="preserve">forældrekontrol</w:t>
      </w:r>
      <w:r>
        <w:rPr>
          <w:sz w:val="28"/>
          <w:b/>
          <w:rFonts w:ascii="Times New Roman" w:hAnsi="Times New Roman"/>
        </w:rPr>
        <w:t xml:space="preserve"> </w:t>
      </w:r>
      <w:r>
        <w:rPr>
          <w:sz w:val="28"/>
          <w:i/>
          <w:rFonts w:ascii="Times New Roman" w:hAnsi="Times New Roman"/>
        </w:rPr>
        <w:t xml:space="preserve">over </w:t>
      </w:r>
      <w:r>
        <w:rPr>
          <w:sz w:val="28"/>
          <w:b/>
          <w:rFonts w:ascii="Times New Roman" w:hAnsi="Times New Roman"/>
        </w:rPr>
        <w:t xml:space="preserve">midler </w:t>
      </w:r>
      <w:r>
        <w:rPr>
          <w:sz w:val="28"/>
          <w:i/>
          <w:rFonts w:ascii="Times New Roman" w:hAnsi="Times New Roman"/>
        </w:rPr>
        <w:t xml:space="preserve">til </w:t>
      </w:r>
      <w:r>
        <w:rPr>
          <w:sz w:val="28"/>
          <w:b/>
          <w:rFonts w:ascii="Times New Roman" w:hAnsi="Times New Roman"/>
        </w:rPr>
        <w:t xml:space="preserve">internetadgang</w:t>
      </w:r>
      <w:r>
        <w:rPr>
          <w:sz w:val="28"/>
          <w:i/>
          <w:rFonts w:ascii="Times New Roman" w:hAnsi="Times New Roman"/>
        </w:rPr>
        <w:t xml:space="preserve">,</w:t>
      </w:r>
    </w:p>
    <w:p w14:paraId="703C9FB2" w14:textId="77777777" w:rsidR="0040649C" w:rsidRDefault="0040649C" w:rsidP="0040649C">
      <w:pPr>
        <w:jc w:val="both"/>
        <w:rPr>
          <w:rFonts w:ascii="Times New Roman" w:hAnsi="Times New Roman" w:cs="Times New Roman"/>
          <w:i/>
          <w:iCs/>
          <w:sz w:val="28"/>
          <w:szCs w:val="28"/>
        </w:rPr>
      </w:pPr>
    </w:p>
    <w:p w14:paraId="60C773D6" w14:textId="77777777" w:rsidR="0040649C" w:rsidRDefault="0040649C" w:rsidP="0040649C">
      <w:pPr>
        <w:jc w:val="both"/>
        <w:rPr>
          <w:rFonts w:ascii="Times New Roman" w:hAnsi="Times New Roman" w:cs="Times New Roman"/>
          <w:i/>
          <w:iCs/>
          <w:sz w:val="28"/>
          <w:szCs w:val="28"/>
        </w:rPr>
      </w:pPr>
    </w:p>
    <w:p w14:paraId="5EB3C277" w14:textId="77777777" w:rsidR="0040649C" w:rsidRDefault="0040649C" w:rsidP="0040649C">
      <w:pPr>
        <w:autoSpaceDE w:val="0"/>
        <w:autoSpaceDN w:val="0"/>
        <w:adjustRightInd w:val="0"/>
        <w:spacing w:after="0" w:line="240" w:lineRule="auto"/>
        <w:jc w:val="center"/>
        <w:rPr>
          <w:b/>
          <w:bCs/>
          <w:sz w:val="18"/>
          <w:szCs w:val="18"/>
          <w:rFonts w:ascii="Times New Roman" w:hAnsi="Times New Roman" w:cs="Times New Roman"/>
        </w:rPr>
      </w:pPr>
      <w:r>
        <w:rPr>
          <w:b/>
          <w:sz w:val="28"/>
          <w:rFonts w:ascii="Times New Roman" w:hAnsi="Times New Roman"/>
        </w:rPr>
        <w:t xml:space="preserve">Artikel 1</w:t>
      </w:r>
    </w:p>
    <w:p w14:paraId="31383463" w14:textId="77777777" w:rsidR="0040649C" w:rsidRDefault="0040649C" w:rsidP="0040649C">
      <w:pPr>
        <w:autoSpaceDE w:val="0"/>
        <w:autoSpaceDN w:val="0"/>
        <w:adjustRightInd w:val="0"/>
        <w:spacing w:after="0" w:line="240" w:lineRule="auto"/>
        <w:jc w:val="center"/>
        <w:rPr>
          <w:rFonts w:ascii="Times New Roman" w:hAnsi="Times New Roman" w:cs="Times New Roman"/>
          <w:b/>
          <w:bCs/>
          <w:sz w:val="18"/>
          <w:szCs w:val="18"/>
        </w:rPr>
      </w:pPr>
    </w:p>
    <w:p w14:paraId="543E75AF"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 – Afsnit 5, kapitel II, afsnit I, bind II, i lov om post- og elektronisk kommunikation suppleres med artikel L. 34-9-3 som følger:</w:t>
      </w:r>
    </w:p>
    <w:p w14:paraId="7B358B7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0356792"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w:t>
      </w:r>
      <w:r>
        <w:rPr>
          <w:sz w:val="28"/>
          <w:i/>
          <w:rFonts w:ascii="Times New Roman" w:hAnsi="Times New Roman"/>
        </w:rPr>
        <w:t xml:space="preserve">Artikel L. 34-9-3</w:t>
      </w:r>
      <w:r>
        <w:rPr>
          <w:sz w:val="28"/>
          <w:rFonts w:ascii="Times New Roman" w:hAnsi="Times New Roman"/>
        </w:rPr>
        <w:t xml:space="preserve">.</w:t>
      </w:r>
      <w:r>
        <w:rPr>
          <w:sz w:val="28"/>
          <w:rFonts w:ascii="Times New Roman" w:hAnsi="Times New Roman"/>
        </w:rPr>
        <w:t xml:space="preserve"> </w:t>
      </w:r>
      <w:r>
        <w:rPr>
          <w:sz w:val="28"/>
          <w:rFonts w:ascii="Times New Roman" w:hAnsi="Times New Roman"/>
        </w:rPr>
        <w:t xml:space="preserve">– I. – Terminaludstyr, der er beregnet til brug af offentlige onlinekommunikationstjenester, der giver adgang til tjenester og indhold, der kan skade mindreåriges fysiske, psykiske eller moralske udvikling, skal være udstyret med et let tilgængeligt og forståeligt system, der gør det muligt for brugerne at begrænse eller kontrollere sådanne personers adgang til disse tjenester og indhold.</w:t>
      </w:r>
    </w:p>
    <w:p w14:paraId="2BD31D30"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D138969"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Aktiveringen af det system, der er omhandlet i første afsnit, vil blive tilbudt brugeren, når udstyret tages i brug første gang.</w:t>
      </w:r>
      <w:r>
        <w:rPr>
          <w:sz w:val="28"/>
          <w:rFonts w:ascii="Times New Roman" w:hAnsi="Times New Roman"/>
        </w:rPr>
        <w:t xml:space="preserve"> </w:t>
      </w:r>
      <w:r>
        <w:rPr>
          <w:sz w:val="28"/>
          <w:rFonts w:ascii="Times New Roman" w:hAnsi="Times New Roman"/>
        </w:rPr>
        <w:t xml:space="preserve">Personoplysninger om mindreårige, der indsamles eller genereres i forbindelse med aktiveringen af dette system, må ikke anvendes til kommercielle formål, f.eks. direkte markedsføring, profilering og adfærdsorienteret reklame, også efter at de berørte parter er blevet myndige.</w:t>
      </w:r>
    </w:p>
    <w:p w14:paraId="518B6C37"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6CC36979"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Fabrikanten skal, når vedkommende bringer sit terminaludstyr i omsætning, sikre, at de operativsystemer, der er installeret på det pågældende udstyr, indeholder det system, der er omhandlet i første afsnit.</w:t>
      </w:r>
      <w:r>
        <w:rPr>
          <w:sz w:val="28"/>
          <w:rFonts w:ascii="Times New Roman" w:hAnsi="Times New Roman"/>
        </w:rPr>
        <w:t xml:space="preserve"> </w:t>
      </w:r>
      <w:r>
        <w:rPr>
          <w:sz w:val="28"/>
          <w:rFonts w:ascii="Times New Roman" w:hAnsi="Times New Roman"/>
        </w:rPr>
        <w:t xml:space="preserve">Aktivering, anvendelse og i givet fald afinstallation af dette system er tilladt uden yderligere omkostninger for brugeren.</w:t>
      </w:r>
    </w:p>
    <w:p w14:paraId="1FB22B97"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13EF13D"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Hvis det er relevant, skal operativsystemleverandøren på fabrikantens anmodning garantere og certificere, at det operativsystem, der skal installeres på terminaludstyret, omfatter det system, der er omhandlet i første afsnit.</w:t>
      </w:r>
    </w:p>
    <w:p w14:paraId="36B9592C"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7F9EC6AC"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Fabrikanter skal over for importører, distributører og ekspeditionsselskaber garantere, at terminaludstyr, der bringes i omsætning, inkorporerer det system, der er omhandlet i første afsnit.</w:t>
      </w:r>
      <w:r>
        <w:rPr>
          <w:sz w:val="28"/>
          <w:rFonts w:ascii="Times New Roman" w:hAnsi="Times New Roman"/>
        </w:rPr>
        <w:t xml:space="preserve"> </w:t>
      </w:r>
      <w:r>
        <w:rPr>
          <w:sz w:val="28"/>
          <w:rFonts w:ascii="Times New Roman" w:hAnsi="Times New Roman"/>
        </w:rPr>
        <w:t xml:space="preserve">I det tilfælde, der er nævnt i fjerde afsnit i dette I, sender fabrikanten disse personer certifikatet fra operativsystemleverandøren.</w:t>
      </w:r>
    </w:p>
    <w:p w14:paraId="09389E96"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C289BC2"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Importører, distributører og ekspeditionsselskaber kontrollerer, at terminaludstyret er certificeret af fabrikanterne eller, hvis det er relevant, af operativsystemleverandøren på de betingelser, der er fastsat i femte afsnit i dette I.</w:t>
      </w:r>
    </w:p>
    <w:p w14:paraId="1CEC5551" w14:textId="77777777" w:rsidR="0040649C" w:rsidRP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3191D739"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 </w:t>
      </w:r>
      <w:r>
        <w:rPr>
          <w:sz w:val="28"/>
          <w:rFonts w:ascii="Times New Roman" w:hAnsi="Times New Roman"/>
        </w:rPr>
        <w:t xml:space="preserve">Det system, der er omhandlet i første afsnit, finder ikke anvendelse på udstyr, der bringes i omsætning uden et operativsystem.</w:t>
      </w:r>
    </w:p>
    <w:p w14:paraId="42FA7488"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D55628B"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De forpligtelser, der er fastsat i tredje og femte afsnit, finder i givet fald anvendelse på fabrikantens bemyndigede repræsentant.</w:t>
      </w:r>
    </w:p>
    <w:p w14:paraId="6FB23FD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24490B88"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Personer, der markedsfører det terminaludstyr, der er omhandlet i første afsnit i dette I, når det anvendes som defineret i handelslovens tredje afsnit i artikel L. 321-1, skal sikre, at dette udstyr inkorporerer det system, der er omhandlet i første afsnit i dette I.</w:t>
      </w:r>
    </w:p>
    <w:p w14:paraId="214C18D4"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7F614E3C"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II. – Et dekret fra statsrådet, der er udstedt efter udtalelse fra den nationale kommission for informationsteknologi og frihedsrettigheder, fastsætter:</w:t>
      </w:r>
    </w:p>
    <w:p w14:paraId="5303501A"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4124DC79" w14:textId="6FCBA180"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"Stk. 1. Metoderne for implementeringen af I, herunder de minimale funktioner og tekniske specifikationer for det system, der er omhandlet i første afsnit i samme I, og de midler, som fabrikanten anvender for at lette anvendelsen af dette system</w:t>
      </w:r>
    </w:p>
    <w:p w14:paraId="3E2ADE6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0DA3FEF3"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"Stk. 1, litra </w:t>
      </w:r>
      <w:r>
        <w:rPr>
          <w:sz w:val="28"/>
          <w:i/>
          <w:rFonts w:ascii="Times New Roman" w:hAnsi="Times New Roman"/>
        </w:rPr>
        <w:t xml:space="preserve">a). </w:t>
      </w:r>
      <w:r>
        <w:rPr>
          <w:sz w:val="28"/>
          <w:rFonts w:ascii="Times New Roman" w:hAnsi="Times New Roman"/>
        </w:rPr>
        <w:t xml:space="preserve">Den måde, hvorpå fabrikanter og i givet fald operativsystemleverandøren skal certificere, at de operativsystemer, der er installeret på terminaludstyret, omfatter det system, der er omhandlet i første afsnit</w:t>
      </w:r>
    </w:p>
    <w:p w14:paraId="677873B6"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2FBF93E"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”Stk. 2. De betingelser, hvorunder den kompetente myndighed kan begrænse eller forbyde markedsføring af det i første afsnit omhandlede terminaludstyr, der udgør en risiko eller ikke opfylder kravene, og de betingelser, hvorunder den kompetente myndighed kan få det kaldt eller trukket tilbage</w:t>
      </w:r>
    </w:p>
    <w:p w14:paraId="6795771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6C07B18E"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"Stk. 3. Den måde, hvorpå fabrikanterne bidrager til formidlingen af tilgængelige oplysninger om de risici, der er forbundet med mindreåriges brug af offentlige onlinekommunikationstjenester, børns tidlige eksponering for skærme og midlerne til at forebygge sådanne risici."</w:t>
      </w:r>
    </w:p>
    <w:p w14:paraId="7E3397DB"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C55B5C1"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II. – Artikel L. 34-9-3, sidste afsnit, i lov om post- og elektronisk kommunikation finder anvendelse på terminaludstyr, der første gang markedsføres efter offentliggørelsen af statsrådets dekret i henhold til artikel L. 34-9-3.</w:t>
      </w:r>
    </w:p>
    <w:p w14:paraId="1F2A7712" w14:textId="77777777" w:rsidR="0040649C" w:rsidRDefault="0040649C" w:rsidP="0040649C">
      <w:pPr>
        <w:autoSpaceDE w:val="0"/>
        <w:autoSpaceDN w:val="0"/>
        <w:adjustRightInd w:val="0"/>
        <w:spacing w:after="0" w:line="240" w:lineRule="auto"/>
        <w:jc w:val="both"/>
        <w:rPr>
          <w:rFonts w:ascii="Numero" w:eastAsia="Numero" w:hAnsi="Times New Roman" w:cs="Numero"/>
          <w:sz w:val="34"/>
          <w:szCs w:val="34"/>
        </w:rPr>
      </w:pPr>
    </w:p>
    <w:p w14:paraId="3B26ABBB"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Et dekret fra statsrådet fastsætter de betingelser, under hvilke de personer, der er omhandlet i artikel L. 34-9-3, sidste afsnit, i ovennævnte artikel L. 34-9-3, for så vidt angår udstyr, der første gang blev bragt i omsætning inden offentliggørelsen af statsrådets dekret, jf. artikel L. 34-9-3, skal oplyse brugeren om, at der findes systemer, der sætter vedkommende i stand til at begrænse eller kontrollere mindreåriges adgang til tjenester og indhold, der kan skade mindreåriges fysiske, psykiske eller moralske udvikling.</w:t>
      </w:r>
    </w:p>
    <w:p w14:paraId="5596F5A1" w14:textId="77777777" w:rsidR="0040649C" w:rsidRDefault="0040649C" w:rsidP="0040649C">
      <w:pPr>
        <w:autoSpaceDE w:val="0"/>
        <w:autoSpaceDN w:val="0"/>
        <w:adjustRightInd w:val="0"/>
        <w:spacing w:after="0" w:line="240" w:lineRule="auto"/>
        <w:jc w:val="both"/>
        <w:rPr>
          <w:rFonts w:ascii="Times New Roman" w:hAnsi="Times New Roman" w:cs="Times New Roman"/>
          <w:sz w:val="24"/>
          <w:szCs w:val="24"/>
        </w:rPr>
      </w:pPr>
    </w:p>
    <w:p w14:paraId="1B5A1362" w14:textId="77777777" w:rsidR="0040649C" w:rsidRDefault="0040649C" w:rsidP="0040649C">
      <w:pPr>
        <w:autoSpaceDE w:val="0"/>
        <w:autoSpaceDN w:val="0"/>
        <w:adjustRightInd w:val="0"/>
        <w:spacing w:after="0" w:line="240" w:lineRule="auto"/>
        <w:jc w:val="center"/>
        <w:rPr>
          <w:b/>
          <w:bCs/>
          <w:i/>
          <w:iCs/>
          <w:sz w:val="28"/>
          <w:szCs w:val="28"/>
          <w:rFonts w:ascii="Times New Roman" w:hAnsi="Times New Roman" w:cs="Times New Roman"/>
        </w:rPr>
      </w:pPr>
      <w:r>
        <w:rPr>
          <w:b/>
          <w:sz w:val="28"/>
          <w:rFonts w:ascii="Times New Roman" w:hAnsi="Times New Roman"/>
        </w:rPr>
        <w:t xml:space="preserve">Artikel 3, litra </w:t>
      </w:r>
      <w:r>
        <w:rPr>
          <w:b/>
          <w:sz w:val="28"/>
          <w:i/>
          <w:rFonts w:ascii="Times New Roman" w:hAnsi="Times New Roman"/>
        </w:rPr>
        <w:t xml:space="preserve">a)</w:t>
      </w:r>
    </w:p>
    <w:p w14:paraId="69A64DAC"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2BFEACBB"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Denne lov træder i kraft på en dato, der fastsættes ved dekret, og som højst må være tre måneder senere end datoen for regeringens modtagelse af Europa-Kommissionens svar, således at den kan anse de lovbestemmelser, der er meddelt den, for at være i overensstemmelse med EU-retten.</w:t>
      </w:r>
    </w:p>
    <w:p w14:paraId="64355554" w14:textId="77777777" w:rsidR="0040649C" w:rsidRDefault="0040649C" w:rsidP="0040649C">
      <w:pPr>
        <w:jc w:val="both"/>
      </w:pPr>
    </w:p>
    <w:sectPr w:rsidR="004064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mero">
    <w:altName w:val="Microsoft JhengHei"/>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9C"/>
    <w:rsid w:val="000868C1"/>
    <w:rsid w:val="001246BF"/>
    <w:rsid w:val="0040649C"/>
    <w:rsid w:val="00A57D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D36BD"/>
  <w15:chartTrackingRefBased/>
  <w15:docId w15:val="{F0E58F22-4C65-4FF2-AC15-9BE63125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766</Words>
  <Characters>4372</Characters>
  <Application>Microsoft Office Word</Application>
  <DocSecurity>0</DocSecurity>
  <Lines>36</Lines>
  <Paragraphs>10</Paragraphs>
  <ScaleCrop>false</ScaleCrop>
  <Company>Secrétariat Général</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BORTOLUZZI Noemie</dc:creator>
  <cp:keywords/>
  <dc:description/>
  <cp:lastModifiedBy>Liana Brili</cp:lastModifiedBy>
  <cp:revision>4</cp:revision>
  <dcterms:created xsi:type="dcterms:W3CDTF">2022-02-22T14:47:00Z</dcterms:created>
  <dcterms:modified xsi:type="dcterms:W3CDTF">2022-02-25T08:34:00Z</dcterms:modified>
</cp:coreProperties>
</file>