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GESETZENTWURF</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zur </w:t>
      </w:r>
      <w:r>
        <w:rPr>
          <w:sz w:val="28"/>
          <w:b/>
          <w:rFonts w:ascii="Times New Roman" w:hAnsi="Times New Roman"/>
        </w:rPr>
        <w:t xml:space="preserve">Stärkung</w:t>
      </w:r>
      <w:r>
        <w:rPr>
          <w:sz w:val="28"/>
          <w:i/>
          <w:rFonts w:ascii="Times New Roman" w:hAnsi="Times New Roman"/>
        </w:rPr>
        <w:t xml:space="preserve"> </w:t>
      </w:r>
      <w:r>
        <w:rPr>
          <w:sz w:val="28"/>
          <w:b/>
          <w:rFonts w:ascii="Times New Roman" w:hAnsi="Times New Roman"/>
        </w:rPr>
        <w:t xml:space="preserve">der elterlichen Aufsicht </w:t>
      </w:r>
      <w:r>
        <w:rPr>
          <w:sz w:val="28"/>
          <w:i/>
          <w:rFonts w:ascii="Times New Roman" w:hAnsi="Times New Roman"/>
        </w:rPr>
        <w:t xml:space="preserve">über </w:t>
      </w:r>
      <w:r>
        <w:rPr>
          <w:sz w:val="28"/>
          <w:b/>
          <w:rFonts w:ascii="Times New Roman" w:hAnsi="Times New Roman"/>
        </w:rPr>
        <w:t xml:space="preserve">den </w:t>
      </w:r>
      <w:r>
        <w:rPr>
          <w:sz w:val="28"/>
          <w:i/>
          <w:rFonts w:ascii="Times New Roman" w:hAnsi="Times New Roman"/>
        </w:rPr>
        <w:t xml:space="preserve"> </w:t>
      </w:r>
      <w:r>
        <w:rPr>
          <w:sz w:val="28"/>
          <w:b/>
          <w:rFonts w:ascii="Times New Roman" w:hAnsi="Times New Roman"/>
        </w:rPr>
        <w:t xml:space="preserve">Internetzugang</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Artikel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Abschnitt 5 des Kapitels II des Titels I des Buches II des Kodex für Post und elektronische Kommunikation wird durch Artikel L. 34-9-3 wie folgt ergänzt:</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Artikel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Endgeräte, die für die Nutzung öffentlicher Online-Kommunikationsdienste bestimmt sind, die den Zugang zu Diensten und Inhalten ermöglichen, die die körperliche, geistige oder moralische Entwicklung von Minderjährigen beeinträchtigen könnten, müssen mit einem leicht zugänglichen und verständlichen System ausgestattet sein, das seinen Nutzern ermöglicht, den Zugang dieser Personen zu diesen Diensten und Inhalten einzuschränken oder zu kontrollieren.</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Die Aktivierung des Systems nach Unterabsatz 1 dieses ersten Punktes wird dem Nutzer angeboten, wenn die Ausrüstung zum ersten Mal in Betrieb genommen wird.</w:t>
      </w:r>
      <w:r>
        <w:rPr>
          <w:sz w:val="28"/>
          <w:rFonts w:ascii="Times New Roman" w:hAnsi="Times New Roman"/>
        </w:rPr>
        <w:t xml:space="preserve"> </w:t>
      </w:r>
      <w:r>
        <w:rPr>
          <w:sz w:val="28"/>
          <w:rFonts w:ascii="Times New Roman" w:hAnsi="Times New Roman"/>
        </w:rPr>
        <w:t xml:space="preserve">Die personenbezogenen Daten der Minderjährigen, die während der Aktivierung dieses Systems gesammelt oder generiert werden, dürfen, auch nach dem Alter der Betroffenen, nicht für kommerzielle Zwecke, wie Direktwerbung, Benutzerprofilerstellung und verhaltensorientierte Werbung verwendet werden.</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Die Hersteller stellen beim Inverkehrbringen ihrer Endgeräte sicher, dass die in diesem Gerät installierten Betriebssysteme das in Unterabsatz 1 vorgesehene System enthalten.</w:t>
      </w:r>
      <w:r>
        <w:rPr>
          <w:sz w:val="28"/>
          <w:rFonts w:ascii="Times New Roman" w:hAnsi="Times New Roman"/>
        </w:rPr>
        <w:t xml:space="preserve"> </w:t>
      </w:r>
      <w:r>
        <w:rPr>
          <w:sz w:val="28"/>
          <w:rFonts w:ascii="Times New Roman" w:hAnsi="Times New Roman"/>
        </w:rPr>
        <w:t xml:space="preserve">Die Aktivierung, Nutzung und gegebenenfalls Deinstallation dieses Systems ist ohne zusätzliche Kosten für den Nutzer zulässig.</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Der Betreiber des Betriebssystems garantiert und bescheinigt gegebenenfalls dem Hersteller auf Verlangen des Herstellers, dass das Betriebssystem, das auf die Endeinrichtungen eingebaut werden soll, das in Unterabsatz 1 genannte System umfasst.</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Die Hersteller garantieren Importeure, Händlern und Fullfilment-Dienstleistern, dass Endgeräte, die in Verkehr gebracht werden, das in Unterabsatz 1 vorgesehene System umfassen.</w:t>
      </w:r>
      <w:r>
        <w:rPr>
          <w:sz w:val="28"/>
          <w:rFonts w:ascii="Times New Roman" w:hAnsi="Times New Roman"/>
        </w:rPr>
        <w:t xml:space="preserve"> </w:t>
      </w:r>
      <w:r>
        <w:rPr>
          <w:sz w:val="28"/>
          <w:rFonts w:ascii="Times New Roman" w:hAnsi="Times New Roman"/>
        </w:rPr>
        <w:t xml:space="preserve">In dem in Unterabsatz 4 dieses ersten Punktes genannten Fall übermittelt der Hersteller diesen Personen die Bescheinigung des Betriebssystems.</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Importeure, Händler und Fullfilment-Dienstleister überprüfen, ob die Endgeräte von den Herstellern oder gegebenenfalls vom Betreiber des Betriebssystems unter den in Unterabsatz 5 des ersten Punktes genannten Bedingungen zertifiziert sind.</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Das in Unterabsatz des ersten Punktes vorgesehene System gilt nicht für Geräte, die ohne Betriebssystem in Verkehr gebracht werden.</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Die Verpflichtungen gemäß den Unterabsätzen 3 und 5 des ersten Punktes gelten gegebenenfalls für den Bevollmächtigten des Herstellers.</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Personen, die die Endeinrichtungen gemäß Unterabsatz 1 dieses ersten Punktes in Verkehr bringen, wenn sie Geräte im Sinne von Artikel L. 321-1 Absatz 3 des Handelsgesetzbuchs verwendet werden, stellen sicher, dass dieses Gerät mit dem in Unterabsatz 1 des ersten Punktes vorgesehenen System ausgestattet ist.</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Ein Dekret des Staatsrats, der nach Stellungnahme der Nationalen Kommission für Informationstechnologie und Freiheiten erlassen wurde, bestimmt:</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Die Durchführungsmethoden dieses ersten Punktes, einschließlich der Mindestfunktionen und technischen Merkmale des Systems nach Unterabsatz 1 desselben ersten Punktes, und die vom Hersteller zur Erleichterung der Nutzung dieses Systems verwendeten Mittel;</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Die Art und Weise, in der die Hersteller und gegebenenfalls der Betreiber des Betriebssystems bescheinigen, dass die auf der Endeinrichtung installierten Betriebssysteme das in Unterabsatz 1 vorgesehene System enthalten;</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Die Bedingungen, unter denen die zuständige Behörde das Inverkehrbringen der in Unterabsatz 1 genannten Endeinrichtungen, die ein Risiko darstellen oder nicht konform sind, beschränken oder untersagen kann, sowie die Bedingungen, unter denen die zuständige Behörde sie zurückrufen oder zurücknehmen lassen kann;</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Die Art und Weise, wie Hersteller zur Verbreitung verfügbarer Informationen über Risiken im Zusammenhang mit der Nutzung öffentlicher Online-Kommunikationsdienste durch Minderjährige, zur frühzeitigen Exposition von Kindern gegenüber Bildschirmen und zu den Mitteln beitragen, um solche Risiken zu verhindern.“</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Der letzte Absatz des ersten Punktes von Artikel L. 34-9-3 I des Post- und elektronischen Kommunikationsgesetzes gilt für Endgeräte, die erstmals nach der Veröffentlichung des in Artikel L. 34 9-3 vorgesehenen Dekretes des Staatsrates auf den Markt gebracht werden.</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 Dekret des Staatsrats werden die Bedingungen festgelegt, unter denen die in Artikel L. 34-9-3 genannten Personen gemäß Artikel L. 34-9-3 den Nutzer über Systeme informieren, die es ihm ermöglichen, den Zugang Minderjähriger zu Diensten und Inhalten, die die körperliche, geistige oder moralische Entwicklung von Minderjährigen beeinträchtigen könnten, einzuschränken oder zu kontrollieren.</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Artikel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Dieses Gesetz tritt zu einem per Dekret festgesetzten Zeitpunkt in Kraft, der nicht mehr als drei Monate nach dem Zeitpunkt des Eingangs der Antwort der Europäischen Kommission bei der Regierung liegt, die es ihr ermöglicht, die ihr mitgeteilten Rechtsvorschriften als mit dem EU-Recht vereinbar zu betrachten.</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