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51406" w14:textId="1A815006" w:rsidR="00A12959" w:rsidRDefault="00A12959" w:rsidP="00A12959">
      <w:pPr>
        <w:ind w:left="6372"/>
      </w:pPr>
      <w:r>
        <w:t xml:space="preserve">V.19.03.2021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A12959" w14:paraId="0C3DE7B2" w14:textId="77777777" w:rsidTr="00A12959">
        <w:trPr>
          <w:cantSplit/>
        </w:trPr>
        <w:tc>
          <w:tcPr>
            <w:tcW w:w="4054" w:type="dxa"/>
            <w:gridSpan w:val="3"/>
            <w:hideMark/>
          </w:tcPr>
          <w:p w14:paraId="38AE27E9" w14:textId="77777777" w:rsidR="00A12959" w:rsidRDefault="00A12959">
            <w:pPr>
              <w:pStyle w:val="SNREPUBLIQUE"/>
            </w:pPr>
            <w:r>
              <w:t xml:space="preserve">FRANCOUZSKÁ REPUBLIKA</w:t>
            </w:r>
          </w:p>
        </w:tc>
      </w:tr>
      <w:tr w:rsidR="00A12959" w14:paraId="2668388F" w14:textId="77777777" w:rsidTr="00A12959">
        <w:trPr>
          <w:cantSplit/>
          <w:trHeight w:hRule="exact" w:val="113"/>
        </w:trPr>
        <w:tc>
          <w:tcPr>
            <w:tcW w:w="1527" w:type="dxa"/>
            <w:hideMark/>
          </w:tcPr>
          <w:p w14:paraId="3DEE472B" w14:textId="77777777" w:rsidR="00A12959" w:rsidRDefault="00A12959">
            <w:r>
              <w:t xml:space="preserve">                                                        </w:t>
            </w:r>
          </w:p>
        </w:tc>
        <w:tc>
          <w:tcPr>
            <w:tcW w:w="968" w:type="dxa"/>
          </w:tcPr>
          <w:p w14:paraId="792D1C9A" w14:textId="77777777" w:rsidR="00A12959" w:rsidRDefault="00A12959"/>
        </w:tc>
        <w:tc>
          <w:tcPr>
            <w:tcW w:w="1559" w:type="dxa"/>
          </w:tcPr>
          <w:p w14:paraId="52AF33EF" w14:textId="77777777" w:rsidR="00A12959" w:rsidRDefault="00A12959"/>
        </w:tc>
      </w:tr>
      <w:tr w:rsidR="00A12959" w14:paraId="6B721B4A" w14:textId="77777777" w:rsidTr="00A12959">
        <w:trPr>
          <w:cantSplit/>
        </w:trPr>
        <w:tc>
          <w:tcPr>
            <w:tcW w:w="4054" w:type="dxa"/>
            <w:gridSpan w:val="3"/>
            <w:hideMark/>
          </w:tcPr>
          <w:p w14:paraId="074E8C89" w14:textId="77777777" w:rsidR="00A12959" w:rsidRDefault="00177800" w:rsidP="00573262">
            <w:pPr>
              <w:pStyle w:val="SNTimbre"/>
            </w:pPr>
            <w:r>
              <w:t xml:space="preserve">Ministr hospodářství, financí a oživení</w:t>
            </w:r>
          </w:p>
        </w:tc>
      </w:tr>
      <w:tr w:rsidR="00A12959" w14:paraId="1521100F" w14:textId="77777777" w:rsidTr="00A12959">
        <w:trPr>
          <w:cantSplit/>
          <w:trHeight w:hRule="exact" w:val="227"/>
        </w:trPr>
        <w:tc>
          <w:tcPr>
            <w:tcW w:w="1527" w:type="dxa"/>
          </w:tcPr>
          <w:p w14:paraId="138DD694" w14:textId="77777777" w:rsidR="00A12959" w:rsidRDefault="00A12959"/>
        </w:tc>
        <w:tc>
          <w:tcPr>
            <w:tcW w:w="968" w:type="dxa"/>
          </w:tcPr>
          <w:p w14:paraId="436DA66F" w14:textId="77777777" w:rsidR="00A12959" w:rsidRDefault="00A12959"/>
        </w:tc>
        <w:tc>
          <w:tcPr>
            <w:tcW w:w="1559" w:type="dxa"/>
          </w:tcPr>
          <w:p w14:paraId="6096D2C7" w14:textId="77777777" w:rsidR="00A12959" w:rsidRDefault="00A12959"/>
        </w:tc>
      </w:tr>
      <w:tr w:rsidR="00A12959" w14:paraId="1DE80421" w14:textId="77777777" w:rsidTr="00A12959">
        <w:trPr>
          <w:cantSplit/>
          <w:trHeight w:hRule="exact" w:val="227"/>
        </w:trPr>
        <w:tc>
          <w:tcPr>
            <w:tcW w:w="1527" w:type="dxa"/>
          </w:tcPr>
          <w:p w14:paraId="3071DB47" w14:textId="77777777" w:rsidR="00A12959" w:rsidRDefault="00A12959"/>
        </w:tc>
        <w:tc>
          <w:tcPr>
            <w:tcW w:w="968" w:type="dxa"/>
          </w:tcPr>
          <w:p w14:paraId="1AF605BE" w14:textId="77777777" w:rsidR="00A12959" w:rsidRDefault="00A12959"/>
        </w:tc>
        <w:tc>
          <w:tcPr>
            <w:tcW w:w="1559" w:type="dxa"/>
          </w:tcPr>
          <w:p w14:paraId="6B47006B" w14:textId="77777777" w:rsidR="00A12959" w:rsidRDefault="00A12959"/>
        </w:tc>
      </w:tr>
    </w:tbl>
    <w:p w14:paraId="68F3382F" w14:textId="77777777" w:rsidR="00A12959" w:rsidRDefault="00A12959" w:rsidP="00A12959">
      <w:pPr>
        <w:pStyle w:val="SNNature"/>
        <w:rPr>
          <w:color w:val="000000" w:themeColor="text1"/>
        </w:rPr>
      </w:pPr>
      <w:r>
        <w:t xml:space="preserve">Nařízení </w:t>
      </w:r>
      <w:r>
        <w:rPr>
          <w:color w:val="000000" w:themeColor="text1"/>
        </w:rPr>
        <w:t xml:space="preserve">č. 2020-xxx ze dne xxxx 2020</w:t>
      </w:r>
    </w:p>
    <w:p w14:paraId="55BF46E1" w14:textId="77777777" w:rsidR="009B27E1" w:rsidRDefault="00A12959" w:rsidP="009B27E1">
      <w:pPr>
        <w:pStyle w:val="SNtitre"/>
      </w:pPr>
      <w:r>
        <w:t xml:space="preserve">o době dostupnosti náhradních dílů u některých zařízení uvedených v článku L. 111-4 spotřebitelského zákoníku</w:t>
      </w:r>
      <w:r>
        <w:t xml:space="preserve"> </w:t>
      </w:r>
    </w:p>
    <w:p w14:paraId="260EFD7B" w14:textId="77777777" w:rsidR="00C005E2" w:rsidRDefault="00C005E2" w:rsidP="00C005E2">
      <w:pPr>
        <w:pStyle w:val="SNNORCentr"/>
        <w:rPr>
          <w:lang w:eastAsia="en-US"/>
        </w:rPr>
      </w:pPr>
    </w:p>
    <w:p w14:paraId="281F260F" w14:textId="731C7B99" w:rsidR="00A12959" w:rsidRDefault="00A12959" w:rsidP="009B27E1">
      <w:pPr>
        <w:pStyle w:val="SNtitre"/>
      </w:pPr>
      <w:r>
        <w:t xml:space="preserve">NOR:</w:t>
      </w:r>
      <w:r>
        <w:t xml:space="preserve"> </w:t>
      </w:r>
      <w:r>
        <w:t xml:space="preserve">ECOC2101006D</w:t>
      </w:r>
    </w:p>
    <w:p w14:paraId="4E03E723" w14:textId="77777777" w:rsidR="00161892" w:rsidRDefault="00A12959" w:rsidP="00A12959">
      <w:pPr>
        <w:pStyle w:val="SNAutorit"/>
        <w:rPr>
          <w:i/>
        </w:rPr>
      </w:pPr>
      <w:r>
        <w:rPr>
          <w:i/>
          <w:b/>
        </w:rPr>
        <w:t xml:space="preserve">Dotčené skupiny obyvatelstva:</w:t>
      </w:r>
      <w:r>
        <w:rPr>
          <w:i/>
        </w:rPr>
        <w:t xml:space="preserve"> výrobci a dovozci notebooků a chytrých telefonů;</w:t>
      </w:r>
    </w:p>
    <w:p w14:paraId="06C713D1" w14:textId="77777777" w:rsidR="00C20F8A" w:rsidRDefault="00A12959" w:rsidP="00A12959">
      <w:pPr>
        <w:pStyle w:val="SNAutorit"/>
        <w:rPr>
          <w:i/>
        </w:rPr>
      </w:pPr>
      <w:r>
        <w:rPr>
          <w:i/>
          <w:b/>
        </w:rPr>
        <w:t xml:space="preserve">Předmět: </w:t>
      </w:r>
      <w:r>
        <w:rPr>
          <w:i/>
        </w:rPr>
        <w:t xml:space="preserve">sestavení seznamu kategorií zařízení (notebooků a chytrých telefonů) a náhradních dílů, které mají být dodávány na trh po dobu nejméně pěti let ode dne uvedení posledního kusu daného modelu zařízení na trh;</w:t>
      </w:r>
    </w:p>
    <w:p w14:paraId="1E4FF432" w14:textId="77777777" w:rsidR="00A12959" w:rsidRDefault="00A12959" w:rsidP="00A12959">
      <w:pPr>
        <w:pStyle w:val="SNAutorit"/>
        <w:rPr>
          <w:i/>
        </w:rPr>
      </w:pPr>
      <w:r>
        <w:rPr>
          <w:i/>
          <w:b/>
        </w:rPr>
        <w:t xml:space="preserve">Nabytí účinnosti:</w:t>
      </w:r>
      <w:r>
        <w:rPr>
          <w:i/>
        </w:rPr>
        <w:t xml:space="preserve"> </w:t>
      </w:r>
      <w:r>
        <w:rPr>
          <w:i/>
        </w:rPr>
        <w:t xml:space="preserve">1. ledna 2022;</w:t>
      </w:r>
    </w:p>
    <w:p w14:paraId="7C57EFA3" w14:textId="088E8340" w:rsidR="00145388" w:rsidRPr="00E35882" w:rsidRDefault="00A12959" w:rsidP="00542E4C">
      <w:pPr>
        <w:pStyle w:val="SNAutorit"/>
        <w:rPr>
          <w:i/>
          <w:color w:val="1F4E79" w:themeColor="accent1" w:themeShade="80"/>
        </w:rPr>
      </w:pPr>
      <w:r>
        <w:rPr>
          <w:i/>
          <w:b/>
        </w:rPr>
        <w:t xml:space="preserve">Poznámka:</w:t>
      </w:r>
      <w:r>
        <w:rPr>
          <w:i/>
        </w:rPr>
        <w:t xml:space="preserve"> </w:t>
      </w:r>
      <w:r>
        <w:rPr>
          <w:i/>
        </w:rPr>
        <w:t xml:space="preserve">Toto nařízení se vydává za účelem provádění článku L. 111-4 spotřebitelského zákoníku, který ukládá výrobcům a dovozcům domácích spotřebičů, malých počítačových a telekomunikačních zařízení, obrazovek a monitorů, aby zajistili dostupnost náhradních dílů po dobu nejméně pěti let ode dne uvedení posledního kusu daného modelu na trh.</w:t>
      </w:r>
      <w:r>
        <w:rPr>
          <w:i/>
        </w:rPr>
        <w:t xml:space="preserve"> </w:t>
      </w:r>
      <w:r>
        <w:rPr>
          <w:i/>
        </w:rPr>
        <w:t xml:space="preserve">Ustanovení týkající se doby dostupnosti součástí některých domácích spotřebičů, obrazovek a monitorů jsou rovněž stanovena prováděcími nařízeními ke směrnici Evropského parlamentu a Rady 2009/125/ES ze dne 21. října 2009 o stanovení rámce pro určení požadavků na ekodesign výrobků spojených se spotřebou energie.</w:t>
      </w:r>
    </w:p>
    <w:p w14:paraId="5491395F" w14:textId="77777777" w:rsidR="00A12959" w:rsidRDefault="00A12959" w:rsidP="00A12959">
      <w:pPr>
        <w:pStyle w:val="SNAutorit"/>
        <w:rPr>
          <w:i/>
        </w:rPr>
      </w:pPr>
      <w:r>
        <w:rPr>
          <w:i/>
        </w:rPr>
        <w:t xml:space="preserve">Odkaz:</w:t>
      </w:r>
      <w:r>
        <w:rPr>
          <w:i/>
        </w:rPr>
        <w:t xml:space="preserve"> </w:t>
      </w:r>
      <w:r>
        <w:rPr>
          <w:i/>
        </w:rPr>
        <w:t xml:space="preserve">Toto nařízení je k dispozici k nahlédnutí na internetových stránkách Légifrance (</w:t>
      </w:r>
      <w:hyperlink r:id="rId6" w:history="1">
        <w:r>
          <w:rPr>
            <w:rStyle w:val="Lienhypertexte"/>
            <w:b/>
            <w:i/>
            <w:color w:val="000000"/>
          </w:rPr>
          <w:t xml:space="preserve">http://www.legifrance.gouv.fr</w:t>
        </w:r>
      </w:hyperlink>
      <w:r>
        <w:rPr>
          <w:i/>
        </w:rPr>
        <w:t xml:space="preserve">).</w:t>
      </w:r>
    </w:p>
    <w:p w14:paraId="6252E6C6" w14:textId="77777777" w:rsidR="00A12959" w:rsidRDefault="00A12959" w:rsidP="00171D8C">
      <w:pPr>
        <w:pStyle w:val="SNAutorit"/>
        <w:rPr>
          <w:b/>
        </w:rPr>
      </w:pPr>
      <w:r>
        <w:rPr>
          <w:b/>
        </w:rPr>
        <w:t xml:space="preserve">Předseda vlády,</w:t>
      </w:r>
    </w:p>
    <w:p w14:paraId="216C1E09" w14:textId="77777777" w:rsidR="00A12959" w:rsidRDefault="00A12959" w:rsidP="00171D8C">
      <w:pPr>
        <w:pStyle w:val="SNRapport"/>
        <w:ind w:firstLine="0"/>
      </w:pPr>
      <w:r>
        <w:t xml:space="preserve">v návaznosti na zprávu ministra hospodářství, financí a oživení,</w:t>
      </w:r>
    </w:p>
    <w:p w14:paraId="4BC90C85" w14:textId="77777777" w:rsidR="001222B7" w:rsidRDefault="001222B7" w:rsidP="00171D8C">
      <w:pPr>
        <w:pStyle w:val="SNRapport"/>
        <w:ind w:firstLine="0"/>
      </w:pPr>
      <w:r>
        <w:t xml:space="preserve">s ohledem na směrnici Evropského parlamentu a Rady (EU) 2015/1535 ze dne 9. září 2015 o postupu při poskytování informací v oblasti technických předpisů a předpisů pro služby informační společnosti;</w:t>
      </w:r>
    </w:p>
    <w:p w14:paraId="7AF22E91" w14:textId="77777777" w:rsidR="00A12959" w:rsidRDefault="00A12959" w:rsidP="001533FA">
      <w:pPr>
        <w:pStyle w:val="SNVisa"/>
      </w:pPr>
      <w:r>
        <w:t xml:space="preserve">s ohledem na spotřebitelský zákoník, a zejména na článek L. 111-4, ve znění článku 19 zákona č. 2020-105 ze dne 10. února 2020 o boji proti plýtvání a o oběhovém hospodářství;</w:t>
      </w:r>
    </w:p>
    <w:p w14:paraId="37F1723A" w14:textId="1F07C396" w:rsidR="00564362" w:rsidRPr="003B2709" w:rsidRDefault="00564362" w:rsidP="001533FA">
      <w:pPr>
        <w:pStyle w:val="SNVisa"/>
      </w:pPr>
      <w:r>
        <w:t xml:space="preserve">s ohledem na oznámení č. 2021/XXX/F ze dne XX 2021 zaslané Evropské komisi;</w:t>
      </w:r>
    </w:p>
    <w:p w14:paraId="44B7F728" w14:textId="77777777" w:rsidR="00A12959" w:rsidRDefault="00A12959" w:rsidP="00C760F9">
      <w:pPr>
        <w:pStyle w:val="SNVisa"/>
      </w:pPr>
      <w:r>
        <w:t xml:space="preserve">po vyslechnutí Státní rady (finanční odbor),</w:t>
      </w:r>
    </w:p>
    <w:p w14:paraId="60919C6F" w14:textId="77777777" w:rsidR="00A12959" w:rsidRDefault="00A12959" w:rsidP="00A12959">
      <w:pPr>
        <w:pStyle w:val="SNActe"/>
      </w:pPr>
      <w:r>
        <w:t xml:space="preserve">tímto nařizuje:</w:t>
      </w:r>
    </w:p>
    <w:p w14:paraId="4D2B4589" w14:textId="77777777" w:rsidR="00A12959" w:rsidRDefault="00A12959" w:rsidP="00A12959">
      <w:pPr>
        <w:pStyle w:val="SNArticle"/>
      </w:pPr>
      <w:r>
        <w:t xml:space="preserve">Článek 1</w:t>
      </w:r>
    </w:p>
    <w:p w14:paraId="1017723D" w14:textId="77777777" w:rsidR="00D473F7" w:rsidRPr="000D7833" w:rsidRDefault="00C70114" w:rsidP="00D473F7">
      <w:pPr>
        <w:pStyle w:val="Corpsdetexte"/>
      </w:pPr>
      <w:r>
        <w:t xml:space="preserve">Za článek D. 111-4 spotřebitelského zákoníku se vkládají dva nové články, které znějí:</w:t>
      </w:r>
    </w:p>
    <w:p w14:paraId="6E863CFD" w14:textId="22D8D557" w:rsidR="00D473F7" w:rsidRPr="000D7833" w:rsidRDefault="00C70114" w:rsidP="00283F62">
      <w:pPr>
        <w:pStyle w:val="Corpsdetexte"/>
        <w:rPr>
          <w:rFonts w:cstheme="minorHAnsi"/>
        </w:rPr>
      </w:pPr>
      <w:r>
        <w:t xml:space="preserve"> </w:t>
      </w:r>
      <w:r>
        <w:t xml:space="preserve">„</w:t>
      </w:r>
      <w:r>
        <w:rPr>
          <w:i/>
        </w:rPr>
        <w:t xml:space="preserve">Čl. R. 111-4-1.</w:t>
      </w:r>
      <w:r>
        <w:t xml:space="preserve"> </w:t>
      </w:r>
      <w:r>
        <w:t xml:space="preserve">— I.- Výrobci nebo dovozci notebooků zajistí, aby nejpozději po uplynutí dvou let od uvedení prvního kusu modelu daného notebooku na vnitrostátní trh a po dobu nejméně pěti let ode dne uvedení posledního kusu příslušného modelu notebooku na vnitrostátní trh byly k dispozici následující náhradní díly:</w:t>
      </w:r>
      <w:r>
        <w:t xml:space="preserve"> </w:t>
      </w:r>
    </w:p>
    <w:p w14:paraId="2EDEA3E8" w14:textId="039F38D6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„1 základní deska;</w:t>
      </w:r>
    </w:p>
    <w:p w14:paraId="2E42C7A2" w14:textId="71431E0C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„2 RAM;</w:t>
      </w:r>
    </w:p>
    <w:p w14:paraId="29087A94" w14:textId="03B673BB" w:rsidR="00F62ED7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„3 ventilátory;</w:t>
      </w:r>
    </w:p>
    <w:p w14:paraId="52F16F36" w14:textId="363F4F53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„4 chladiče;</w:t>
      </w:r>
    </w:p>
    <w:p w14:paraId="134450E6" w14:textId="2CD08A24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„5 klávesnice;</w:t>
      </w:r>
    </w:p>
    <w:p w14:paraId="3EE038B5" w14:textId="5D502470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„6 porty, konektory.</w:t>
      </w:r>
    </w:p>
    <w:p w14:paraId="08D5701B" w14:textId="77777777" w:rsidR="00667BCB" w:rsidRPr="000D7833" w:rsidRDefault="00667BCB" w:rsidP="00BD004A">
      <w:pPr>
        <w:pStyle w:val="Corpsdetexte"/>
        <w:spacing w:after="0" w:line="257" w:lineRule="auto"/>
        <w:rPr>
          <w:rFonts w:cstheme="minorHAnsi"/>
        </w:rPr>
      </w:pPr>
    </w:p>
    <w:p w14:paraId="4AF041A6" w14:textId="0CCAC326" w:rsidR="00667BCB" w:rsidRPr="000D7833" w:rsidRDefault="004844C6" w:rsidP="00667BCB">
      <w:pPr>
        <w:pStyle w:val="Corpsdetexte"/>
        <w:rPr>
          <w:rFonts w:cstheme="minorHAnsi"/>
        </w:rPr>
      </w:pPr>
      <w:r>
        <w:t xml:space="preserve">„II.- Výrobci nebo dovozci uvedení v bodě I zajistí, aby v době uvedení prvního kusu daného modelu notebooku na vnitrostátní trh a po dobu nejméně pěti let ode dne uvedení posledního kusu daného modelu notebooku na vnitrostátní trh byly k dispozici tyto náhradní díly:</w:t>
      </w:r>
    </w:p>
    <w:p w14:paraId="4235E6A4" w14:textId="603B84B1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„1 velkokapacitní paměťová komponenta (HDD – SSD);</w:t>
      </w:r>
    </w:p>
    <w:p w14:paraId="28DDF739" w14:textId="4638B484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„2 zobrazovací zařízení;</w:t>
      </w:r>
    </w:p>
    <w:p w14:paraId="666210C8" w14:textId="2DE54C04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„3 baterie;</w:t>
      </w:r>
    </w:p>
    <w:p w14:paraId="5B2AC902" w14:textId="12E3AB76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„4 napájecí konektory;</w:t>
      </w:r>
    </w:p>
    <w:p w14:paraId="136E3157" w14:textId="10680E3C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„5 nabíječka.</w:t>
      </w:r>
    </w:p>
    <w:p w14:paraId="3566D0B9" w14:textId="172F8DEF" w:rsidR="00174E77" w:rsidRPr="000D7833" w:rsidRDefault="004844C6" w:rsidP="001703A4">
      <w:pPr>
        <w:pStyle w:val="Corpsdetexte"/>
        <w:spacing w:before="120"/>
        <w:rPr>
          <w:rFonts w:cstheme="minorHAnsi"/>
        </w:rPr>
      </w:pPr>
      <w:r>
        <w:t xml:space="preserve">„Pro účely tohoto článku je notebook definován jako počítač speciálně navržený tak, aby byl přenosný a fungoval po dlouhou dobu s přímým připojením ke zdroji střídavého proudu nebo bez něj.</w:t>
      </w:r>
      <w:r>
        <w:t xml:space="preserve"> </w:t>
      </w:r>
      <w:r>
        <w:t xml:space="preserve">Notebooky používají integrovanou obrazovku s viditelnou úhlopříčkou nejméně 22,86 cm (9 palců) a mohou pracovat s integrovanou baterií nebo jiným přenosným zdrojem energie.</w:t>
      </w:r>
      <w:r>
        <w:t xml:space="preserve"> </w:t>
      </w:r>
    </w:p>
    <w:p w14:paraId="446224D8" w14:textId="7830382D" w:rsidR="001222B7" w:rsidRPr="000D7833" w:rsidRDefault="004844C6" w:rsidP="005816BD">
      <w:pPr>
        <w:pStyle w:val="Corpsdetexte"/>
        <w:rPr>
          <w:rFonts w:cstheme="minorHAnsi"/>
        </w:rPr>
      </w:pPr>
      <w:r>
        <w:t xml:space="preserve">„Ustanovení tohoto článku se nevztahují na zařízení, která obsahují dotykovou obrazovku, nebo počítače, které využívají připojení ke vzdáleným počítačovým prostředkům s cílem využívat základní funkce a které nemají disková paměťová média, která představují nedílnou součást výrobku.</w:t>
      </w:r>
    </w:p>
    <w:p w14:paraId="042C51EE" w14:textId="36D72F10" w:rsidR="00E35882" w:rsidRPr="000D7833" w:rsidRDefault="00C70114" w:rsidP="00E35882">
      <w:pPr>
        <w:pStyle w:val="Corpsdetexte"/>
        <w:rPr>
          <w:rFonts w:cstheme="minorHAnsi"/>
        </w:rPr>
      </w:pPr>
      <w:r>
        <w:t xml:space="preserve">„</w:t>
      </w:r>
      <w:r>
        <w:rPr>
          <w:i/>
        </w:rPr>
        <w:t xml:space="preserve">Čl. R. 111-4-2.</w:t>
      </w:r>
      <w:r>
        <w:t xml:space="preserve"> </w:t>
      </w:r>
      <w:r>
        <w:t xml:space="preserve">— I.- Výrobci nebo dovozci chytrých telefonů zajistí, aby nejpozději po uplynutí dvou let ode dne uvedení prvního kusu daného modelu chytrého telefonu na vnitrostátní trh a po dobu nejméně pěti let ode dne uvedení posledního kusu daného modelu chytrého telefonu na vnitrostátní trh byly k dispozici tyto náhradní díly:</w:t>
      </w:r>
      <w:r>
        <w:t xml:space="preserve"> </w:t>
      </w:r>
    </w:p>
    <w:p w14:paraId="334FDAAC" w14:textId="23BE2991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„1 konektor nabíječky;</w:t>
      </w:r>
    </w:p>
    <w:p w14:paraId="1984CFB4" w14:textId="6B75582B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„2 konektory;</w:t>
      </w:r>
    </w:p>
    <w:p w14:paraId="42F16238" w14:textId="494AF6B6" w:rsidR="00171626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„3 základní deska;</w:t>
      </w:r>
    </w:p>
    <w:p w14:paraId="252F6533" w14:textId="32E1C78F" w:rsidR="00171626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„4 tlačítka;</w:t>
      </w:r>
    </w:p>
    <w:p w14:paraId="6510381F" w14:textId="2C9887FB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„5 mikrofon.</w:t>
      </w:r>
    </w:p>
    <w:p w14:paraId="0AAD15A8" w14:textId="2366471E" w:rsidR="00BD004A" w:rsidRPr="000D7833" w:rsidRDefault="004844C6" w:rsidP="003B1355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„II.- Výrobci nebo dovozci chytrých telefonů uvedení v bodě I zajistí, aby v době uvedení prvního kusu daného modelu na vnitrostátní trh a po dobu nejméně pěti let ode dne uvedení posledního kusu daného modelu chytrého telefonu na vnitrostátní trh byly k dispozici tyto náhradní díly:</w:t>
      </w:r>
    </w:p>
    <w:p w14:paraId="7AA5C237" w14:textId="3896DBA6" w:rsidR="003B1355" w:rsidRPr="000D7833" w:rsidRDefault="003B1355" w:rsidP="003B1355">
      <w:pPr>
        <w:pStyle w:val="Corpsdetexte"/>
        <w:spacing w:after="0"/>
        <w:rPr>
          <w:rFonts w:cstheme="minorHAnsi"/>
        </w:rPr>
      </w:pPr>
      <w:r>
        <w:t xml:space="preserve">„1 zobrazovací zařízení;</w:t>
      </w:r>
    </w:p>
    <w:p w14:paraId="4418BAE1" w14:textId="47452D4E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„2 baterie;</w:t>
      </w:r>
    </w:p>
    <w:p w14:paraId="03C6302B" w14:textId="372B2309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„3 přední kamera;</w:t>
      </w:r>
    </w:p>
    <w:p w14:paraId="6532A0B5" w14:textId="0F09E5F4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„4 zadní kamera;</w:t>
      </w:r>
    </w:p>
    <w:p w14:paraId="624C3DB5" w14:textId="7AB9A3DC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„5 nabíječka.</w:t>
      </w:r>
    </w:p>
    <w:p w14:paraId="3A45F78C" w14:textId="6D1BC34D" w:rsidR="00BC718B" w:rsidRPr="000D7833" w:rsidRDefault="00BC718B" w:rsidP="00BD004A">
      <w:pPr>
        <w:pStyle w:val="Corpsdetexte"/>
        <w:spacing w:before="100" w:beforeAutospacing="1" w:after="100" w:afterAutospacing="1"/>
        <w:rPr>
          <w:rFonts w:cstheme="minorHAnsi"/>
        </w:rPr>
      </w:pPr>
    </w:p>
    <w:p w14:paraId="42052CAA" w14:textId="561BEEC7" w:rsidR="00177800" w:rsidRPr="000D7833" w:rsidRDefault="00177800" w:rsidP="00177800">
      <w:pPr>
        <w:pStyle w:val="Corpsdetexte"/>
        <w:spacing w:before="100" w:beforeAutospacing="1" w:after="100" w:afterAutospacing="1"/>
        <w:jc w:val="center"/>
        <w:rPr>
          <w:rFonts w:cstheme="minorHAnsi"/>
        </w:rPr>
      </w:pPr>
      <w:r>
        <w:t xml:space="preserve">Článek 2</w:t>
      </w:r>
      <w:r>
        <w:t xml:space="preserve"> </w:t>
      </w:r>
    </w:p>
    <w:p w14:paraId="5B8F543E" w14:textId="77777777" w:rsidR="00177800" w:rsidRPr="000D7833" w:rsidRDefault="000B35CA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 </w:t>
      </w:r>
      <w:r>
        <w:t xml:space="preserve">Toto nařízení nabývá účinnosti dne 1. ledna 2020.</w:t>
      </w:r>
    </w:p>
    <w:p w14:paraId="249FAA3D" w14:textId="77777777" w:rsidR="00177800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</w:p>
    <w:p w14:paraId="1C52A63A" w14:textId="1CCF57BD" w:rsidR="00177800" w:rsidRPr="000D7833" w:rsidRDefault="00177800" w:rsidP="00177800">
      <w:pPr>
        <w:pStyle w:val="Corpsdetexte"/>
        <w:spacing w:before="100" w:beforeAutospacing="1" w:after="100" w:afterAutospacing="1"/>
        <w:jc w:val="center"/>
        <w:rPr>
          <w:rFonts w:cstheme="minorHAnsi"/>
        </w:rPr>
      </w:pPr>
      <w:r>
        <w:t xml:space="preserve">Článek 3</w:t>
      </w:r>
    </w:p>
    <w:p w14:paraId="29BFBE29" w14:textId="094041AF" w:rsidR="00177800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Prováděním tohoto nařízení, které bude vyhlášeno v Úředním věstníku Francouzské republiky, jsou pověřeni ministr hospodářství, financí a oživení a náměstek ministra hospodářství, financí a oživení, do jehož působnosti spadají malé a střední podniky.</w:t>
      </w:r>
      <w:r>
        <w:t xml:space="preserve"> </w:t>
      </w:r>
    </w:p>
    <w:p w14:paraId="3BEF027C" w14:textId="77777777" w:rsidR="00E12BA5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 </w:t>
      </w:r>
    </w:p>
    <w:p w14:paraId="5B3F35D9" w14:textId="77777777" w:rsidR="00A12959" w:rsidRPr="00E35882" w:rsidRDefault="00A12959" w:rsidP="00A12959">
      <w:pPr>
        <w:pStyle w:val="SNContreseing"/>
        <w:rPr>
          <w:rFonts w:cstheme="minorHAnsi"/>
        </w:rPr>
      </w:pPr>
      <w:r>
        <w:t xml:space="preserve">Vypracováno dne:</w:t>
      </w:r>
    </w:p>
    <w:p w14:paraId="2301A7C4" w14:textId="77777777" w:rsidR="00A12959" w:rsidRPr="00E35882" w:rsidRDefault="00A12959" w:rsidP="00A12959">
      <w:pPr>
        <w:pStyle w:val="SNContreseing"/>
        <w:rPr>
          <w:rFonts w:cstheme="minorHAnsi"/>
        </w:rPr>
      </w:pPr>
    </w:p>
    <w:p w14:paraId="118DCD31" w14:textId="77777777" w:rsidR="00A12959" w:rsidRPr="00E35882" w:rsidRDefault="00A12959" w:rsidP="00A12959">
      <w:pPr>
        <w:pStyle w:val="SNContreseing"/>
        <w:rPr>
          <w:rFonts w:cstheme="minorHAnsi"/>
        </w:rPr>
      </w:pPr>
      <w:r>
        <w:t xml:space="preserve">Za předsedu vlády,</w:t>
      </w:r>
    </w:p>
    <w:p w14:paraId="0805931E" w14:textId="77777777" w:rsidR="00A12959" w:rsidRPr="00E35882" w:rsidRDefault="00A12959" w:rsidP="00A12959">
      <w:pPr>
        <w:pStyle w:val="SNSignatureprnomnomGauche"/>
        <w:rPr>
          <w:rFonts w:cstheme="minorHAnsi"/>
        </w:rPr>
      </w:pPr>
    </w:p>
    <w:p w14:paraId="58E98FDB" w14:textId="77777777" w:rsidR="00A12959" w:rsidRPr="00E35882" w:rsidRDefault="004A08DF" w:rsidP="00573262">
      <w:pPr>
        <w:pStyle w:val="SNSignatureDroite"/>
        <w:spacing w:before="100" w:beforeAutospacing="1" w:after="100" w:afterAutospacing="1"/>
        <w:ind w:left="0"/>
        <w:jc w:val="left"/>
        <w:rPr>
          <w:rFonts w:cstheme="minorHAnsi"/>
        </w:rPr>
      </w:pPr>
      <w:r>
        <w:t xml:space="preserve">  </w:t>
      </w:r>
    </w:p>
    <w:p w14:paraId="1340B9F9" w14:textId="77777777" w:rsidR="00A12959" w:rsidRPr="00E35882" w:rsidRDefault="00A12959" w:rsidP="00A12959">
      <w:pPr>
        <w:pStyle w:val="SNSignatureprnomnomDroite"/>
        <w:rPr>
          <w:rFonts w:cstheme="minorHAnsi"/>
        </w:rPr>
      </w:pPr>
    </w:p>
    <w:p w14:paraId="352B5123" w14:textId="77777777" w:rsidR="00810E74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  <w:rPr>
          <w:rFonts w:cstheme="minorHAnsi"/>
        </w:rPr>
      </w:pPr>
      <w:r>
        <w:t xml:space="preserve">Ministr hospodářství, financí a</w:t>
      </w:r>
    </w:p>
    <w:p w14:paraId="59D470B9" w14:textId="77777777" w:rsidR="004A08DF" w:rsidRPr="00E35882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  <w:rPr>
          <w:rFonts w:cstheme="minorHAnsi"/>
        </w:rPr>
      </w:pPr>
      <w:r>
        <w:t xml:space="preserve">oživení</w:t>
      </w:r>
    </w:p>
    <w:p w14:paraId="45F54E36" w14:textId="77777777" w:rsidR="004A08DF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</w:pPr>
      <w:r>
        <w:t xml:space="preserve">       </w:t>
      </w:r>
    </w:p>
    <w:p w14:paraId="6EC641C2" w14:textId="77777777" w:rsidR="004A08DF" w:rsidRDefault="004A08DF" w:rsidP="004A08DF">
      <w:pPr>
        <w:pStyle w:val="SNSignatureprnomnomGauche"/>
        <w:spacing w:before="100" w:beforeAutospacing="1" w:after="100" w:afterAutospacing="1"/>
        <w:ind w:left="4956" w:right="0" w:firstLine="708"/>
      </w:pPr>
      <w:r>
        <w:t xml:space="preserve">Bruno LE MAIRE</w:t>
      </w:r>
    </w:p>
    <w:p w14:paraId="51100F51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Náměstek ministra hospodářství,</w:t>
      </w:r>
      <w:r>
        <w:rPr>
          <w:color w:val="000000" w:themeColor="text1"/>
        </w:rPr>
        <w:t xml:space="preserve"> </w:t>
      </w:r>
    </w:p>
    <w:p w14:paraId="4ED1991B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financí a oživení,</w:t>
      </w:r>
    </w:p>
    <w:p w14:paraId="1B025A9B" w14:textId="3B81F052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do jehož působnosti spadají malé a střední podniky,</w:t>
      </w:r>
    </w:p>
    <w:p w14:paraId="445ABEE1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</w:p>
    <w:p w14:paraId="64EF63B9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</w:p>
    <w:p w14:paraId="68599E05" w14:textId="77777777" w:rsidR="00D876E8" w:rsidRPr="009A2D0A" w:rsidRDefault="00D876E8" w:rsidP="00D876E8">
      <w:pPr>
        <w:pStyle w:val="SNSignatureprnomnomDroite"/>
        <w:ind w:left="0" w:firstLine="708"/>
        <w:jc w:val="left"/>
        <w:rPr>
          <w:color w:val="000000" w:themeColor="text1"/>
        </w:rPr>
      </w:pPr>
      <w:r>
        <w:rPr>
          <w:color w:val="000000" w:themeColor="text1"/>
        </w:rPr>
        <w:t xml:space="preserve">Alain Griset</w:t>
      </w:r>
    </w:p>
    <w:p w14:paraId="46D5AF01" w14:textId="77777777" w:rsidR="00A12959" w:rsidRDefault="00A12959" w:rsidP="00D876E8">
      <w:pPr>
        <w:pStyle w:val="SNSignatureprnomnomDroite"/>
        <w:ind w:left="0"/>
        <w:jc w:val="left"/>
      </w:pPr>
    </w:p>
    <w:p w14:paraId="0EA79933" w14:textId="1E996CBD" w:rsidR="00AA23FB" w:rsidRDefault="00081B28" w:rsidP="00081B28">
      <w:r>
        <w:t xml:space="preserve"> </w:t>
      </w:r>
    </w:p>
    <w:sectPr w:rsidR="00AA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B36C0"/>
    <w:multiLevelType w:val="hybridMultilevel"/>
    <w:tmpl w:val="AD24E272"/>
    <w:lvl w:ilvl="0" w:tplc="151418E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5A65"/>
    <w:multiLevelType w:val="hybridMultilevel"/>
    <w:tmpl w:val="DD5EEB12"/>
    <w:lvl w:ilvl="0" w:tplc="075CA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1B20"/>
    <w:multiLevelType w:val="hybridMultilevel"/>
    <w:tmpl w:val="B1546204"/>
    <w:lvl w:ilvl="0" w:tplc="D632C2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C9A"/>
    <w:multiLevelType w:val="hybridMultilevel"/>
    <w:tmpl w:val="DFF2CB3E"/>
    <w:lvl w:ilvl="0" w:tplc="BD76E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661F"/>
    <w:multiLevelType w:val="hybridMultilevel"/>
    <w:tmpl w:val="82EE7A0E"/>
    <w:lvl w:ilvl="0" w:tplc="5ABA06EA">
      <w:start w:val="3"/>
      <w:numFmt w:val="bullet"/>
      <w:lvlText w:val="-"/>
      <w:lvlJc w:val="left"/>
      <w:pPr>
        <w:ind w:left="191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1428"/>
    <w:multiLevelType w:val="hybridMultilevel"/>
    <w:tmpl w:val="4078B8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59"/>
    <w:rsid w:val="00043DF9"/>
    <w:rsid w:val="0005658C"/>
    <w:rsid w:val="00066DCE"/>
    <w:rsid w:val="00067530"/>
    <w:rsid w:val="00073225"/>
    <w:rsid w:val="00081B28"/>
    <w:rsid w:val="000B35CA"/>
    <w:rsid w:val="000C617C"/>
    <w:rsid w:val="000D64D6"/>
    <w:rsid w:val="000D7833"/>
    <w:rsid w:val="001222B7"/>
    <w:rsid w:val="00134419"/>
    <w:rsid w:val="00145388"/>
    <w:rsid w:val="00151403"/>
    <w:rsid w:val="001533FA"/>
    <w:rsid w:val="00161892"/>
    <w:rsid w:val="001703A4"/>
    <w:rsid w:val="00171626"/>
    <w:rsid w:val="00171D8C"/>
    <w:rsid w:val="00172565"/>
    <w:rsid w:val="00174E77"/>
    <w:rsid w:val="00175334"/>
    <w:rsid w:val="00177800"/>
    <w:rsid w:val="00186111"/>
    <w:rsid w:val="001B68CE"/>
    <w:rsid w:val="001C5C7D"/>
    <w:rsid w:val="001F07F8"/>
    <w:rsid w:val="001F2839"/>
    <w:rsid w:val="00202077"/>
    <w:rsid w:val="00225455"/>
    <w:rsid w:val="00251AD1"/>
    <w:rsid w:val="00261AFF"/>
    <w:rsid w:val="00283F62"/>
    <w:rsid w:val="002A1814"/>
    <w:rsid w:val="002B271E"/>
    <w:rsid w:val="002D2B4D"/>
    <w:rsid w:val="00322061"/>
    <w:rsid w:val="003557CC"/>
    <w:rsid w:val="003773A1"/>
    <w:rsid w:val="003A38BE"/>
    <w:rsid w:val="003A6C9D"/>
    <w:rsid w:val="003B1355"/>
    <w:rsid w:val="003B2709"/>
    <w:rsid w:val="003E0D87"/>
    <w:rsid w:val="003E3510"/>
    <w:rsid w:val="003E458D"/>
    <w:rsid w:val="004111A9"/>
    <w:rsid w:val="00422A75"/>
    <w:rsid w:val="004309C5"/>
    <w:rsid w:val="004317F8"/>
    <w:rsid w:val="004364C6"/>
    <w:rsid w:val="00453D68"/>
    <w:rsid w:val="00464DE3"/>
    <w:rsid w:val="00466B46"/>
    <w:rsid w:val="004844C6"/>
    <w:rsid w:val="00494163"/>
    <w:rsid w:val="00494333"/>
    <w:rsid w:val="004A08DF"/>
    <w:rsid w:val="004C5B50"/>
    <w:rsid w:val="004E7346"/>
    <w:rsid w:val="004F6E56"/>
    <w:rsid w:val="00500497"/>
    <w:rsid w:val="00502FED"/>
    <w:rsid w:val="00513CFB"/>
    <w:rsid w:val="005200C5"/>
    <w:rsid w:val="00523041"/>
    <w:rsid w:val="00542E4C"/>
    <w:rsid w:val="00547626"/>
    <w:rsid w:val="00564362"/>
    <w:rsid w:val="00573262"/>
    <w:rsid w:val="00577C0C"/>
    <w:rsid w:val="005816BD"/>
    <w:rsid w:val="005862B7"/>
    <w:rsid w:val="0059056C"/>
    <w:rsid w:val="005A332D"/>
    <w:rsid w:val="005D596F"/>
    <w:rsid w:val="005F453C"/>
    <w:rsid w:val="005F4F80"/>
    <w:rsid w:val="00601DDD"/>
    <w:rsid w:val="00636B89"/>
    <w:rsid w:val="00645E6B"/>
    <w:rsid w:val="00651BC3"/>
    <w:rsid w:val="00655636"/>
    <w:rsid w:val="0066176B"/>
    <w:rsid w:val="00667BCB"/>
    <w:rsid w:val="00685982"/>
    <w:rsid w:val="006A6D0D"/>
    <w:rsid w:val="006C724E"/>
    <w:rsid w:val="006E12C8"/>
    <w:rsid w:val="006F0A21"/>
    <w:rsid w:val="006F40E8"/>
    <w:rsid w:val="0070522E"/>
    <w:rsid w:val="00730906"/>
    <w:rsid w:val="00734679"/>
    <w:rsid w:val="00734C8B"/>
    <w:rsid w:val="00735C8F"/>
    <w:rsid w:val="00792228"/>
    <w:rsid w:val="00795950"/>
    <w:rsid w:val="007A3E05"/>
    <w:rsid w:val="007C711D"/>
    <w:rsid w:val="007E3CBE"/>
    <w:rsid w:val="007F45AD"/>
    <w:rsid w:val="00807F84"/>
    <w:rsid w:val="00810E74"/>
    <w:rsid w:val="008122F1"/>
    <w:rsid w:val="00831E7A"/>
    <w:rsid w:val="00850A0C"/>
    <w:rsid w:val="008542A2"/>
    <w:rsid w:val="008612AE"/>
    <w:rsid w:val="00864564"/>
    <w:rsid w:val="00867E6D"/>
    <w:rsid w:val="008706E4"/>
    <w:rsid w:val="00875E9C"/>
    <w:rsid w:val="008763F4"/>
    <w:rsid w:val="00883FAD"/>
    <w:rsid w:val="008A7D57"/>
    <w:rsid w:val="008C7683"/>
    <w:rsid w:val="00906935"/>
    <w:rsid w:val="00912DB3"/>
    <w:rsid w:val="00960A39"/>
    <w:rsid w:val="0099084D"/>
    <w:rsid w:val="009B0D3C"/>
    <w:rsid w:val="009B27E1"/>
    <w:rsid w:val="009B3208"/>
    <w:rsid w:val="00A12959"/>
    <w:rsid w:val="00A568DF"/>
    <w:rsid w:val="00A7682E"/>
    <w:rsid w:val="00A86669"/>
    <w:rsid w:val="00AA23FB"/>
    <w:rsid w:val="00AB5A74"/>
    <w:rsid w:val="00AC6B4F"/>
    <w:rsid w:val="00AD1550"/>
    <w:rsid w:val="00AE60F8"/>
    <w:rsid w:val="00B22D1F"/>
    <w:rsid w:val="00B323D3"/>
    <w:rsid w:val="00B448F1"/>
    <w:rsid w:val="00B672B7"/>
    <w:rsid w:val="00B8071C"/>
    <w:rsid w:val="00B911B3"/>
    <w:rsid w:val="00BC718B"/>
    <w:rsid w:val="00BD004A"/>
    <w:rsid w:val="00BD5009"/>
    <w:rsid w:val="00BF76F4"/>
    <w:rsid w:val="00C005E2"/>
    <w:rsid w:val="00C064C2"/>
    <w:rsid w:val="00C1432A"/>
    <w:rsid w:val="00C20F8A"/>
    <w:rsid w:val="00C361E6"/>
    <w:rsid w:val="00C61193"/>
    <w:rsid w:val="00C70114"/>
    <w:rsid w:val="00C760F9"/>
    <w:rsid w:val="00CB07A5"/>
    <w:rsid w:val="00CF3437"/>
    <w:rsid w:val="00D473F7"/>
    <w:rsid w:val="00D532F6"/>
    <w:rsid w:val="00D74FF2"/>
    <w:rsid w:val="00D876E8"/>
    <w:rsid w:val="00DA28ED"/>
    <w:rsid w:val="00DB4AF0"/>
    <w:rsid w:val="00E12BA5"/>
    <w:rsid w:val="00E35882"/>
    <w:rsid w:val="00E52DD2"/>
    <w:rsid w:val="00E5602B"/>
    <w:rsid w:val="00E74F63"/>
    <w:rsid w:val="00E86C58"/>
    <w:rsid w:val="00EA14E1"/>
    <w:rsid w:val="00EC0C05"/>
    <w:rsid w:val="00ED43F1"/>
    <w:rsid w:val="00EF3255"/>
    <w:rsid w:val="00F16422"/>
    <w:rsid w:val="00F55038"/>
    <w:rsid w:val="00F62ED7"/>
    <w:rsid w:val="00F815FC"/>
    <w:rsid w:val="00FB6E73"/>
    <w:rsid w:val="00FC2A8E"/>
    <w:rsid w:val="00FC6A5C"/>
    <w:rsid w:val="00FF196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DBBB"/>
  <w15:chartTrackingRefBased/>
  <w15:docId w15:val="{72D55D33-6D18-451F-B509-5122265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5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A12959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sid w:val="00A12959"/>
  </w:style>
  <w:style w:type="paragraph" w:customStyle="1" w:styleId="SNREPUBLIQUE">
    <w:name w:val="SNREPUBLIQUE"/>
    <w:basedOn w:val="Normal"/>
    <w:rsid w:val="00A12959"/>
    <w:pPr>
      <w:jc w:val="center"/>
    </w:pPr>
    <w:rPr>
      <w:b/>
      <w:bCs/>
      <w:szCs w:val="20"/>
    </w:rPr>
  </w:style>
  <w:style w:type="paragraph" w:customStyle="1" w:styleId="SNtitre">
    <w:name w:val="SNtitre"/>
    <w:basedOn w:val="Normal"/>
    <w:next w:val="SNNORCentr"/>
    <w:autoRedefine/>
    <w:rsid w:val="00A12959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ature">
    <w:name w:val="SNNature"/>
    <w:basedOn w:val="Normal"/>
    <w:next w:val="SNtitre"/>
    <w:autoRedefine/>
    <w:rsid w:val="00A12959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NORCentr">
    <w:name w:val="SNNOR+Centré"/>
    <w:next w:val="SNAutorit"/>
    <w:rsid w:val="00A1295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A12959"/>
    <w:pPr>
      <w:spacing w:before="100" w:beforeAutospacing="1" w:after="100" w:afterAutospacing="1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Normal"/>
    <w:rsid w:val="00A12959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A12959"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Gauche">
    <w:name w:val="SNSignature prénom+nom Gauche"/>
    <w:basedOn w:val="Normal"/>
    <w:next w:val="SNSignatureDroite"/>
    <w:rsid w:val="00A12959"/>
    <w:pPr>
      <w:spacing w:before="120" w:after="120"/>
      <w:ind w:left="720" w:right="4494"/>
    </w:pPr>
    <w:rPr>
      <w:color w:val="000000"/>
    </w:rPr>
  </w:style>
  <w:style w:type="paragraph" w:customStyle="1" w:styleId="SNTimbre">
    <w:name w:val="SNTimbre"/>
    <w:basedOn w:val="Normal"/>
    <w:autoRedefine/>
    <w:rsid w:val="00A12959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rsid w:val="00A12959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C760F9"/>
    <w:pPr>
      <w:spacing w:before="120" w:after="120"/>
      <w:jc w:val="both"/>
    </w:pPr>
  </w:style>
  <w:style w:type="paragraph" w:customStyle="1" w:styleId="SNContreseing">
    <w:name w:val="SNContreseing"/>
    <w:basedOn w:val="Normal"/>
    <w:next w:val="Normal"/>
    <w:autoRedefine/>
    <w:rsid w:val="00A12959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A12959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autoRedefine/>
    <w:rsid w:val="00A12959"/>
    <w:pPr>
      <w:spacing w:before="240" w:after="240"/>
      <w:jc w:val="center"/>
    </w:pPr>
    <w:rPr>
      <w:b/>
    </w:rPr>
  </w:style>
  <w:style w:type="character" w:customStyle="1" w:styleId="LienInternet">
    <w:name w:val="Lien Internet"/>
    <w:rsid w:val="00A12959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A1295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B07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07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07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07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07A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7A5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B07A5"/>
    <w:pPr>
      <w:spacing w:after="0" w:line="240" w:lineRule="auto"/>
    </w:pPr>
    <w:rPr>
      <w:rFonts w:ascii="Calibri" w:eastAsiaTheme="minorEastAsia" w:hAnsi="Calibri" w:cs="Times New Roman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B07A5"/>
    <w:rPr>
      <w:rFonts w:ascii="Calibri" w:eastAsiaTheme="minorEastAsia" w:hAnsi="Calibri" w:cs="Times New Roman"/>
      <w:szCs w:val="21"/>
      <w:lang w:eastAsia="fr-FR"/>
    </w:rPr>
  </w:style>
  <w:style w:type="paragraph" w:customStyle="1" w:styleId="SNSignatureGauche">
    <w:name w:val="SNSignatureGauche"/>
    <w:basedOn w:val="Normal"/>
    <w:rsid w:val="007A3E05"/>
    <w:pPr>
      <w:suppressAutoHyphens/>
      <w:spacing w:before="120" w:after="1680" w:line="252" w:lineRule="auto"/>
      <w:ind w:left="720" w:right="-6" w:firstLine="1080"/>
      <w:jc w:val="right"/>
    </w:pPr>
    <w:rPr>
      <w:rFonts w:ascii="Calibri" w:eastAsia="Times New Roman" w:hAnsi="Calibri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ifrance.gouv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24A4-B416-41DF-A90C-4C4A0F03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PORTOU-DUPIN Josiane</cp:lastModifiedBy>
  <cp:revision>2</cp:revision>
  <dcterms:created xsi:type="dcterms:W3CDTF">2021-06-28T10:55:00Z</dcterms:created>
  <dcterms:modified xsi:type="dcterms:W3CDTF">2021-06-28T10:55:00Z</dcterms:modified>
</cp:coreProperties>
</file>