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Vastavalt põllumajandusseaduse artikli 64 lõikele 4 (Sloveenia Vabariigi ametlik väljaanne nr 45/08, 57/12, 90/12 — ZdZPVHVVR, 26/14 ja 32/15, 27/17, </w:t>
      </w:r>
      <w:hyperlink r:id="rId8" w:tgtFrame="_blank" w:tooltip="Põllumajandusseaduse muutmise seadus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Põllumajandusseaduse artikli 61 punkti f kolmanda lõike osalise kehtetuks tunnistamise otsus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konstitutsioonikohtu otsused</w:t>
      </w:r>
      <w:r>
        <w:rPr>
          <w:shd w:val="clear" w:color="auto" w:fill="FFFFFF"/>
          <w:b/>
        </w:rPr>
        <w:t xml:space="preserve"> </w:t>
      </w:r>
      <w:hyperlink r:id="rId10" w:tgtFrame="_blank" w:tooltip="Põllumajandusseaduse muutmise seadus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ja 44/22) Põllumajandus-, metsandus- ja toiduminister</w:t>
      </w:r>
    </w:p>
    <w:p w14:paraId="5DE339B3" w14:textId="77777777" w:rsidR="00E549B4" w:rsidRDefault="00E549B4" w:rsidP="00E549B4">
      <w:pPr>
        <w:pStyle w:val="Vrstapredpisa"/>
      </w:pPr>
      <w:r>
        <w:t xml:space="preserve">EESKIRJAD</w:t>
      </w:r>
    </w:p>
    <w:p w14:paraId="71297EA3" w14:textId="77777777" w:rsidR="00E549B4" w:rsidRPr="00E549B4" w:rsidRDefault="00E549B4" w:rsidP="00E549B4">
      <w:pPr>
        <w:pStyle w:val="Naslovpredpisa"/>
      </w:pPr>
      <w:bookmarkStart w:id="0" w:name="_Hlk80263497"/>
      <w:r>
        <w:t xml:space="preserve">õlle kvaliteedi kohta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 ÜLDSÄTTED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Artikkel 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(Sisu)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Käesolevad eeskirjad reguleerivad minimaalse kvaliteedi, klassifitseerimise ja märgistamise tingimusi, millele õlu peab turul vastama.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Artikkel 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(Teavitamise kord ja klausel)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Need eeskirjad on välja antud, võttes arvesse Euroopa Parlamendi ja nõukogu 9. septembri 2015. aasta direktiivis (EL) 2015/1535 (millega nähakse ette tehnilistest eeskirjadest ning infoühiskonna teenuste eeskirjadest teatamise kord) sätestatud teatamise korda (ELT L 241, 17.</w:t>
      </w:r>
      <w:r>
        <w:t xml:space="preserve"> </w:t>
      </w:r>
      <w:r>
        <w:t xml:space="preserve">9.</w:t>
      </w:r>
      <w:r>
        <w:t xml:space="preserve"> </w:t>
      </w:r>
      <w:r>
        <w:t xml:space="preserve">2015, lk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Käesolevate eeskirjade sätteid ei kohaldata toodete suhtes, mis vastavalt siseriiklikele õigusaktidele, mis tagavad Sloveenia Vabariigi õigusaktides sätestatud avalike huvide kaitse samaväärse taseme, on seaduslikult:</w:t>
      </w:r>
    </w:p>
    <w:p w14:paraId="311CA9A6" w14:textId="77777777" w:rsidR="009B2E64" w:rsidRDefault="00A75091" w:rsidP="009B2E64">
      <w:r>
        <w:t xml:space="preserve">– toodetud või turustatud teistes Euroopa Liidu liikmesriikides ja Türgis või</w:t>
      </w:r>
    </w:p>
    <w:p w14:paraId="33A5163A" w14:textId="77777777" w:rsidR="009B2E64" w:rsidRDefault="00A75091" w:rsidP="009B2E64">
      <w:r>
        <w:t xml:space="preserve">– toodetud Euroopa Vabakaubanduse Assotsiatsiooni (EFTA) riikides, mis on ka Euroopa Majanduspiirkonna (EMP) lepinguosalised.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Eeskirju rakendatakse kooskõlas Euroopa Parlamendi ja nõukogu 19. märtsi 2019. aasta määrusega (EL) 2019/515, mis käsitleb teises liikmesriigis seaduslikult turustatavate kaupade vastastikust tunnustamist ja millega tunnistatakse kehtetuks määrus (EÜ) nr 764/2008 (ELT L 91, 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 2019, lk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Artikkel 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(Mõisted)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Nendes eeskirjades kasutatud mõisted tähendavad: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õlu on kääritatud alkohoolne jook, milles kogu etanool ja vähemalt osa süsinikdioksiidist moodustuvad käesolevate eeskirjade artiklis 4 nimetatud koostisosade kääritamise ajal ning mida toodetakse tehnoloogilise pruulimisprotsessi kaudu, millele järgneb käärimine;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ekstrakt põhivirdes on lahustuvate ainete sisaldus virdes enne kääritamist, väljendatuna massiprotsendina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alkoholi sisaldus mahu järgi (% mahuprotsentides) on etanoolisisaldus 20 °C juures, väljendatuna mahuprotsendina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ÕLU TURUL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Artikkel 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(Toorained)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Õlle tootmiseks kasutatavad toorained on: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vesi, mis peab vastama joogivett reguleerivates eeskirjades sätestatud tingimustele, et valmistada ette töötlemisvett;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odralinnased jm magustatud või magustamata teravili või tooted, mis on valmistatud teraviljast ja teraviljalaadsest toorainest, põllukultuuridest ja muust tärklisel ja suhkrul põhinevast toorainest;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humal ja humalatooted vastavalt humalakultuuride ja humalatoodete sertifitseerimist reguleerivatele eeskirjadele;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mikroobsed kultuurid, kus õlle kääritamiseks kasutatakse pärmi või muid mikroorganisme või mikroobide kooslusi;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muud toorained.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Artikkel 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(Õlle klassifikatsioon)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Õlut klassifitseeritakse järgmise alusel: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põhivirde ekstraktisisaldus;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alkoholisisaldus;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värvus;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tehnoloogiline töötlemine.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Artikkel 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(Õlle märgistamine)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Õlu peab olema märgistatud vastavalt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Euroopa Parlamendi ja nõukogu 25. oktoober 2011. aasta määrus (EL) nr 1169/2011, milles käsitletakse toidualase teabe esitamist tarbijatele ning millega muudetakse Euroopa Parlamendi ja nõukogu määrusi (EÜ) nr 1924/2006 ja (EÜ) nr 1925/2006 ning tunnistatakse kehtetuks komisjoni direktiiv 87/250/EMÜ, nõukogu direktiiv 90/496/EMÜ, komisjoni direktiiv 1999/10/EÜ, Euroopa Parlamendi ja nõukogu direktiiv 2000/13/EÜ, komisjoni direktiivid 2002/67/EÜ ja 2008/5/EÜ ning komisjoni määrus (EÜ) nr 608/2004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(ELT L 304, 22.</w:t>
      </w:r>
      <w:r>
        <w:t xml:space="preserve"> </w:t>
      </w:r>
      <w:r>
        <w:t xml:space="preserve">11.</w:t>
      </w:r>
      <w:r>
        <w:t xml:space="preserve"> </w:t>
      </w:r>
      <w:r>
        <w:t xml:space="preserve">2011, lk 18), mida muudeti viimati </w:t>
      </w:r>
      <w:r>
        <w:rPr>
          <w:shd w:val="clear" w:color="auto" w:fill="FFFFFF"/>
        </w:rPr>
        <w:t xml:space="preserve">Euroopa Parlamendi ja nõukogu 25. novembri 2015. aasta määrusega (EL) 2015/2283, mis käsitleb uuendtoitu, millega muudetakse Euroopa Parlamendi ja nõukogu määrust (EL) nr 1169/2011 ning tunnistatakse kehtetuks Euroopa Parlamendi ja nõukogu määrus (EÜ) nr 258/97 ja komisjoni määrus (EÜ) nr 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OJ L 327,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p. 1)</w:t>
      </w:r>
      <w:r>
        <w:t xml:space="preserve">, ja vastavalt käesolevatele eeskirjadele.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Sõltuvalt ekstrakti väärtusest põhivirdes tuleb õlu märgistada järgmiselt: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õlu, kui see sisaldab põhivirdes kuni 13,5 % (m/m) massiprotsenti ekstrakti;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eriõlu, kui see sisaldab põhivirdes rohkem kui 13,5 % kuni 16 % (m/m)massiprotsenti ekstrakti;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tugev õlu, kui see sisaldab põhivirdes rohkem kui 16 % (m/m) ekstrakti.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Arvestades väiksemat alkoholisisaldust, märgistatakse õlu järgmiselt: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kerge õlu, kui see sisaldab maksimaalselt 3,5 % (m/m) mahuprotsenti alkoholi;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mittealkohoolne õlu, kui see sisaldab maksimaalselt 0,5 % (m/m) mahuprotsenti alkoholi.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Sõltuvalt värvusest märgistatakse õlu järgmiselt: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hele õlu, kui värvuse intensiivsus ei ületa 30 EBC ühikut;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tume õlu, kui värvuse intensiivsus on üle 30 EBC ühiku.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Õlu märgistatakse läbipaistmatu õllena, kui läbipaistmatus tuleneb spetsiaalsetest tehnoloogilistest protseduuridest.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Õlu, mis on laagerdunud vähemalt kuus kuud, märgistatakse laagerdunud õllena.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Õlu, mida ei ole filtreeritud, märgistatakse filtreerimata õllena.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Pastöriseerimata õlu märgistatakse pastöriseerimata õllena.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Vähemalt 30 % (m/m) nisulinnastest valmistatud õlu märgistatakse nisuõllena.</w:t>
      </w:r>
      <w:r>
        <w:t xml:space="preserve"> </w:t>
      </w:r>
      <w:r>
        <w:t xml:space="preserve">Kui õlu on valmistatud muudest teraviljadest või teraviljatoodetest ja teraviljalaadsetest toorainetest, märgitakse toote nimetuses kasutatud tooraine nimetus, kui see moodustab vähemalt 30 % põhitoorainest (nt tatraõlu).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Väiksema CO</w:t>
      </w:r>
      <w:r>
        <w:rPr>
          <w:vertAlign w:val="subscript"/>
        </w:rPr>
        <w:t xml:space="preserve">2</w:t>
      </w:r>
      <w:r>
        <w:t xml:space="preserve"> sisaldusega õlu märgistatakse õllena, mis sisaldab vähem CO</w:t>
      </w:r>
      <w:r>
        <w:rPr>
          <w:vertAlign w:val="subscript"/>
        </w:rPr>
        <w:t xml:space="preserve">2</w:t>
      </w:r>
      <w:r>
        <w:t xml:space="preserve">, nagu on määratletud käesolevate eeskirjade artiklis 6.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Humalata õlu märgistatakse õllena, millele ei ole lisatud humalat ja humalatooteid.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Märkida võib ka muid õlle omadusi (nt vaadis laagerdumine, pinnakääritusega õlu).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Artikkel 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(Minimaalne kvaliteet)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Turul olev õlu peab vastama järgmistele kvaliteedi miinimumnõuetele: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see on selge ja settevaba, välja arvatud läbipaistmatu ja filtreerimata õlu;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sisaldab vähemalt 3 g/l süsinikdioksiidi, välja arvatud eelmise artikli kümnendas lõikes nimetatud õlu;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pH väärtus on kuni 5,5;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õlle organoleptilised omadused peavad vastama tootespetsifikaadis esitatud määratlusele.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Artikkel 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(Ladustamine)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Õlut tuleb ladustada pärast tootmist ja müügi ajal vastavalt tootja juhistele.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ÜLEMINEKU- JA LÕPPSÄTTED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Artikkel 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(Üleminekusäte)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Turuleviidav õlu peab vastama käesolevate eeskirjade nõuetele ja olema märgistatud vastavalt käesolevate eeskirjade sätetele hiljemalt kaks aastat pärast käesolevate eeskirjade jõustumist.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Olenemata eelmises lõikes sätestatust võib õlle kvaliteedi eeskirjade (Sloveenia Vabariigi ametlik väljaanne nr 3/03 ja nr 45/08 – ZKme-1) kohaselt toodetud ja märgistatud õlu turule viia enne eelmises lõigus osutatud tähtaega, kuni varud on ammendatud.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Artikkel 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(Kehtivuse lõpp)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Õlle kvaliteedi eeskirjad (Sloveenia Vabariigi ametlik väljaanne nr 3/03 ja nr 45/08 – ZKme-1) kaotavad kehtivuse käesolevate eeskirjade jõustumise päeval ja kehtivad kaks aastat alates käesolevate eeskirjade jõustumisest.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Artikkel 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(Jõustumine)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Kõnealused eeskirjad jõustuvad viieteistkümnendal päeval pärast nende avaldamist Sloveenia Vabariigi ametlikus väljaandes.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Nr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Ljubljana, kuupäev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Põllumajandus-, metsandus- ja toiduminister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et-EE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et-EE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