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E93C" w14:textId="77777777" w:rsidR="00EC22B5" w:rsidRDefault="00EC22B5" w:rsidP="00EC22B5">
      <w:pPr>
        <w:ind w:right="1417"/>
        <w:rPr>
          <w:rFonts w:ascii="Times New Roman" w:hAnsi="Times New Roman" w:cs="Times New Roman"/>
          <w:caps/>
          <w:sz w:val="24"/>
          <w:szCs w:val="24"/>
        </w:rPr>
      </w:pPr>
      <w:r>
        <w:rPr>
          <w:rFonts w:ascii="Times New Roman" w:hAnsi="Times New Roman"/>
          <w:caps/>
          <w:sz w:val="24"/>
        </w:rPr>
        <w:t>Ministeriet för solidaritet</w:t>
      </w:r>
    </w:p>
    <w:p w14:paraId="0BE57393" w14:textId="77777777" w:rsidR="00EC22B5" w:rsidRPr="00EC22B5" w:rsidRDefault="00EC22B5" w:rsidP="00EC22B5">
      <w:pPr>
        <w:ind w:right="1417"/>
        <w:rPr>
          <w:rFonts w:ascii="Times New Roman" w:hAnsi="Times New Roman" w:cs="Times New Roman"/>
          <w:b/>
          <w:caps/>
          <w:sz w:val="24"/>
          <w:szCs w:val="24"/>
        </w:rPr>
      </w:pPr>
      <w:r>
        <w:rPr>
          <w:rFonts w:ascii="Times New Roman" w:hAnsi="Times New Roman"/>
          <w:caps/>
          <w:sz w:val="24"/>
        </w:rPr>
        <w:t>och hälsa</w:t>
      </w:r>
    </w:p>
    <w:p w14:paraId="7C8F7A88" w14:textId="77777777" w:rsidR="00EC22B5" w:rsidRDefault="00EC22B5" w:rsidP="00AB7CED">
      <w:pPr>
        <w:ind w:left="1418" w:right="1417"/>
        <w:jc w:val="center"/>
        <w:rPr>
          <w:rFonts w:ascii="Times New Roman" w:hAnsi="Times New Roman" w:cs="Times New Roman"/>
          <w:b/>
          <w:sz w:val="24"/>
          <w:szCs w:val="24"/>
        </w:rPr>
      </w:pPr>
    </w:p>
    <w:p w14:paraId="275CB316" w14:textId="77777777" w:rsidR="00891D87" w:rsidRPr="00AB7CED" w:rsidRDefault="00891D87" w:rsidP="00AB7CED">
      <w:pPr>
        <w:ind w:left="1418" w:right="1417"/>
        <w:jc w:val="center"/>
        <w:rPr>
          <w:rFonts w:ascii="Times New Roman" w:hAnsi="Times New Roman" w:cs="Times New Roman"/>
          <w:b/>
          <w:sz w:val="24"/>
          <w:szCs w:val="24"/>
        </w:rPr>
      </w:pPr>
      <w:r>
        <w:rPr>
          <w:rFonts w:ascii="Times New Roman" w:hAnsi="Times New Roman"/>
          <w:b/>
          <w:sz w:val="24"/>
        </w:rPr>
        <w:t>Dekret xxx om genomförande av artikel R. 5132-86 i folkhälsolagen för Cannabis</w:t>
      </w:r>
    </w:p>
    <w:p w14:paraId="2A4F1A40" w14:textId="77777777" w:rsidR="00891D87" w:rsidRPr="00AB7CED" w:rsidRDefault="00FC7100" w:rsidP="00FC7100">
      <w:pPr>
        <w:jc w:val="center"/>
        <w:rPr>
          <w:rFonts w:ascii="Times New Roman" w:hAnsi="Times New Roman" w:cs="Times New Roman"/>
          <w:b/>
          <w:sz w:val="24"/>
          <w:szCs w:val="24"/>
        </w:rPr>
      </w:pPr>
      <w:r>
        <w:rPr>
          <w:rFonts w:ascii="Times New Roman" w:hAnsi="Times New Roman"/>
          <w:b/>
          <w:sz w:val="24"/>
        </w:rPr>
        <w:t>NOR:</w:t>
      </w:r>
    </w:p>
    <w:p w14:paraId="37AED920"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Ministern för solidaritet och hälsa, ministern för jordbruk och livsmedel, ministern som delegerats till ministern för ekonomi, finanser och återhämtning, med ansvar för offentliga räkenskaper, och ministern som delegerats till ministern för ekonomi, finanser och återhämtning, med ansvar för industri,</w:t>
      </w:r>
    </w:p>
    <w:p w14:paraId="49CC6C3A"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Med beaktande av Europaparlamentets och rådets förordning (EG) nr 178/2002 av den 28 januari 2002 om allmänna principer och krav för livsmedelslagstiftning, om inrättande av Europeiska myndigheten för livsmedelssäkerhet och om förfaranden i frågor som gäller livsmedelssäkerhet, särskilt artiklarna 14 och 15;</w:t>
      </w:r>
    </w:p>
    <w:p w14:paraId="4260D179" w14:textId="272D00D8" w:rsidR="00891D87" w:rsidRPr="00AB7CED" w:rsidRDefault="002B4C8D" w:rsidP="00542229">
      <w:pPr>
        <w:ind w:firstLine="567"/>
        <w:jc w:val="both"/>
        <w:rPr>
          <w:rFonts w:ascii="Times New Roman" w:hAnsi="Times New Roman" w:cs="Times New Roman"/>
          <w:sz w:val="24"/>
          <w:szCs w:val="24"/>
        </w:rPr>
      </w:pPr>
      <w:r>
        <w:rPr>
          <w:rFonts w:ascii="Times New Roman" w:hAnsi="Times New Roman"/>
          <w:sz w:val="24"/>
        </w:rPr>
        <w:t>Med beaktande av</w:t>
      </w:r>
      <w:r>
        <w:rPr>
          <w:rFonts w:ascii="Times New Roman" w:hAnsi="Times New Roman"/>
          <w:sz w:val="24"/>
        </w:rPr>
        <w:t xml:space="preserve"> </w:t>
      </w:r>
      <w:r w:rsidR="00891D87">
        <w:rPr>
          <w:rFonts w:ascii="Times New Roman" w:hAnsi="Times New Roman"/>
          <w:sz w:val="24"/>
        </w:rPr>
        <w:t>Europaparlamentets och rådets förordning (EG) nr. 767/2009 av den 13 juli 2009 om utsläppande på marknaden och användning av foder, om ändring av Europaparlamentets och rådets förordning (EG) nr. 1831/2003 och om upphävande av rådets direktiv 79/373/EEG, kommissionens direktiv 80/511/EEG, rådets direktiv 82/471/EEG, 83/228/EEG, 93/74/EEG, 93/113/EG och 96/25/EG samt kommissionens beslut 2004/217/EG;</w:t>
      </w:r>
    </w:p>
    <w:p w14:paraId="1750F816"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Med beaktande av rådets direktiv 2002/53/EG av den 13 juni 2002 om den gemensamma sortlistan för arter av lantbruksväxter;</w:t>
      </w:r>
    </w:p>
    <w:p w14:paraId="184A1167"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Med beaktande av Europaparlamentets och rådets direktiv (EU) 2015/1535 av den 9 september 2015 om ett informationsförfarande beträffande tekniska föreskrifter och beträffande föreskrifter för informationssamhällets tjänster och i synnerhet anmälan nr 2020/.../F;</w:t>
      </w:r>
    </w:p>
    <w:p w14:paraId="6C8A52BD" w14:textId="77777777" w:rsidR="00FC7100" w:rsidRPr="00AB7CED" w:rsidRDefault="00FC7100" w:rsidP="00542229">
      <w:pPr>
        <w:ind w:firstLine="567"/>
        <w:jc w:val="both"/>
        <w:rPr>
          <w:rFonts w:ascii="Times New Roman" w:hAnsi="Times New Roman" w:cs="Times New Roman"/>
          <w:sz w:val="24"/>
          <w:szCs w:val="24"/>
        </w:rPr>
      </w:pPr>
      <w:r>
        <w:rPr>
          <w:rFonts w:ascii="Times New Roman" w:hAnsi="Times New Roman"/>
          <w:sz w:val="24"/>
        </w:rPr>
        <w:t xml:space="preserve">Med beaktande av den franska folkhälsolagen, särskilt artiklarna L. 5132-8 och R. 5132-86 därav; </w:t>
      </w:r>
    </w:p>
    <w:p w14:paraId="119510F4"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Med beaktande av dekret nr 81-605 av den 18 maj 1981, i dess ändrade lydelse, som antagits för att genomföra lagen av den 1 augusti 1905 om förebyggande av brott i samband med handel med utsäde och växter;</w:t>
      </w:r>
    </w:p>
    <w:p w14:paraId="1EB81086" w14:textId="77777777" w:rsidR="00FC7100" w:rsidRPr="00AB7CED" w:rsidRDefault="00FC7100" w:rsidP="00AB7CED">
      <w:pPr>
        <w:jc w:val="both"/>
        <w:rPr>
          <w:rFonts w:ascii="Times New Roman" w:hAnsi="Times New Roman" w:cs="Times New Roman"/>
          <w:sz w:val="24"/>
          <w:szCs w:val="24"/>
        </w:rPr>
      </w:pPr>
    </w:p>
    <w:p w14:paraId="165E9AC8" w14:textId="77777777" w:rsidR="00FC7100" w:rsidRPr="00AB7CED" w:rsidRDefault="00FC7100" w:rsidP="00AB7CED">
      <w:pPr>
        <w:jc w:val="both"/>
        <w:rPr>
          <w:rFonts w:ascii="Times New Roman" w:hAnsi="Times New Roman" w:cs="Times New Roman"/>
          <w:sz w:val="24"/>
          <w:szCs w:val="24"/>
        </w:rPr>
      </w:pPr>
      <w:r>
        <w:rPr>
          <w:rFonts w:ascii="Times New Roman" w:hAnsi="Times New Roman"/>
          <w:sz w:val="24"/>
        </w:rPr>
        <w:t>Härigenom föreskrivs följande:</w:t>
      </w:r>
    </w:p>
    <w:p w14:paraId="4664A3AD"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 xml:space="preserve">Artikel 1 </w:t>
      </w:r>
    </w:p>
    <w:p w14:paraId="1DE80675"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 Enligt artikel R. 5132-86 i folkhälsolagen är det tillåtet att odla, importera, exportera samt industriellt och kommersiellt bruk av endast sorter av Cannabis sativa L., vars delta-9-tetrahydrokannabinolhalt inte överstiger 0,20 % och som ingår i den gemensamma sortlistan för arter av lantbruksväxter eller i den officiella sortlistan över arter och sorter av växter som odlas i Frankrike. Bestämningen av delta-9-tetrahydrokannabinolhalten i ovannämnda sorter och provtagningen för denna bestämning ska göras enligt den metod som anges i bilagan;</w:t>
      </w:r>
    </w:p>
    <w:p w14:paraId="694C6B7A"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lastRenderedPageBreak/>
        <w:t xml:space="preserve">Blommor och blad produceras från certifikatutsäde. Försäljning av växter och del av växter är förbjuden. </w:t>
      </w:r>
    </w:p>
    <w:p w14:paraId="33C41145"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Endast aktiva jordbrukare i den mening som avses i den nuvarande europeiska och nationella lagstiftningen får odla hampblommor och blad.</w:t>
      </w:r>
    </w:p>
    <w:p w14:paraId="03D757C4"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II.- Blommor och blad av de sorter som anges i I får endast skördas, importeras eller användas för industriell framställning av hampextrakt. I synnerhet är det förbjudet att till konsumenter sälja blommor eller råblad i alla former, ensamma eller i kombination med andra ingredienser, konsumenternas innehav och konsumtion av dem.</w:t>
      </w:r>
    </w:p>
    <w:p w14:paraId="774EA98E"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 xml:space="preserve">Inköp av hampblommor och blad som produceras på franskt territorium omfattas av ett skriftligt avtal mellan producenten och köparen. Avtalet innehåller information om produkternas volym och pris. Avtalet får innehålla information om produkternas förväntade kvalitet. Avtalet ingås före produktionsårets början. </w:t>
      </w:r>
    </w:p>
    <w:p w14:paraId="1FCBA4FF"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III. Delta-9-tetrahydrokannabinolhalten i extrakt av hampa och de produkter som innehåller dessa får inte överstiga 0,2 %, utan att det påverkar tillämpningen av artiklarna 14 och 15 i förordning (EG) nr 178/2002 och artikel 4 i förordning (EG) nr 767/2009.</w:t>
      </w:r>
    </w:p>
    <w:p w14:paraId="6285A094"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Artikel 2</w:t>
      </w:r>
    </w:p>
    <w:p w14:paraId="3B6E34B8" w14:textId="77777777" w:rsidR="00891D87" w:rsidRDefault="00891D87" w:rsidP="00AB7CED">
      <w:pPr>
        <w:jc w:val="both"/>
        <w:rPr>
          <w:rFonts w:ascii="Times New Roman" w:hAnsi="Times New Roman" w:cs="Times New Roman"/>
          <w:sz w:val="24"/>
          <w:szCs w:val="24"/>
        </w:rPr>
      </w:pPr>
      <w:r>
        <w:rPr>
          <w:rFonts w:ascii="Times New Roman" w:hAnsi="Times New Roman"/>
          <w:sz w:val="24"/>
        </w:rPr>
        <w:t>Produkter som härrör från hampa enligt artikel 1 får importeras från länder utanför Europeiska unionen eller exporteras utanför Europeiska unionen endast om de åtföljs av handlingar som styrker att de överensstämmer med detta dekret.</w:t>
      </w:r>
    </w:p>
    <w:p w14:paraId="0DE9405A" w14:textId="77777777" w:rsidR="00542229" w:rsidRPr="00AB7CED" w:rsidRDefault="00542229" w:rsidP="00542229">
      <w:pPr>
        <w:jc w:val="both"/>
        <w:rPr>
          <w:rFonts w:ascii="Times New Roman" w:hAnsi="Times New Roman" w:cs="Times New Roman"/>
          <w:b/>
          <w:sz w:val="24"/>
          <w:szCs w:val="24"/>
        </w:rPr>
      </w:pPr>
      <w:r>
        <w:rPr>
          <w:rFonts w:ascii="Times New Roman" w:hAnsi="Times New Roman"/>
          <w:b/>
          <w:sz w:val="24"/>
        </w:rPr>
        <w:t>Artikel 3</w:t>
      </w:r>
    </w:p>
    <w:p w14:paraId="48567770" w14:textId="77777777" w:rsidR="00542229" w:rsidRPr="00AB7CED" w:rsidRDefault="00542229" w:rsidP="00AB7CED">
      <w:pPr>
        <w:jc w:val="both"/>
        <w:rPr>
          <w:rFonts w:ascii="Times New Roman" w:hAnsi="Times New Roman" w:cs="Times New Roman"/>
          <w:sz w:val="24"/>
          <w:szCs w:val="24"/>
        </w:rPr>
      </w:pPr>
      <w:r>
        <w:rPr>
          <w:rFonts w:ascii="Times New Roman" w:hAnsi="Times New Roman"/>
          <w:sz w:val="24"/>
        </w:rPr>
        <w:t>Förordningen av den 22 augusti 1990 om genomförande av artikel R. 5132-86 i folkhälsolagen för Cannabis ska upphöra att gälla.</w:t>
      </w:r>
    </w:p>
    <w:p w14:paraId="3830ED1D"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Artikel 4</w:t>
      </w:r>
    </w:p>
    <w:p w14:paraId="48053AD1"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Generaldirektören för hälsa, generaldirektören för livsmedel och generaldirektören för företag samt generaldirektören för tull och indirekta avgifter ansvarar var för sig för genomförandet av detta dekret, som ska offentliggöras i Journal officiel de la République française.</w:t>
      </w:r>
    </w:p>
    <w:p w14:paraId="0BAE3022" w14:textId="77777777" w:rsidR="00542229" w:rsidRDefault="00542229" w:rsidP="00542229">
      <w:pPr>
        <w:jc w:val="both"/>
        <w:rPr>
          <w:rFonts w:ascii="Times New Roman" w:hAnsi="Times New Roman" w:cs="Times New Roman"/>
          <w:sz w:val="24"/>
          <w:szCs w:val="24"/>
        </w:rPr>
      </w:pPr>
      <w:r>
        <w:rPr>
          <w:rFonts w:ascii="Times New Roman" w:hAnsi="Times New Roman"/>
          <w:sz w:val="24"/>
        </w:rPr>
        <w:t>Ministern för solidaritet och sjukvård</w:t>
      </w:r>
    </w:p>
    <w:p w14:paraId="3479316A" w14:textId="77777777" w:rsidR="00542229" w:rsidRDefault="00542229" w:rsidP="00542229">
      <w:pPr>
        <w:jc w:val="right"/>
        <w:rPr>
          <w:rFonts w:ascii="Times New Roman" w:hAnsi="Times New Roman" w:cs="Times New Roman"/>
          <w:sz w:val="24"/>
          <w:szCs w:val="24"/>
        </w:rPr>
      </w:pPr>
      <w:r>
        <w:rPr>
          <w:rFonts w:ascii="Times New Roman" w:hAnsi="Times New Roman"/>
          <w:sz w:val="24"/>
        </w:rPr>
        <w:t>Ministern för jordbruk och livsmedel</w:t>
      </w:r>
    </w:p>
    <w:p w14:paraId="286977AA" w14:textId="77777777" w:rsidR="00542229" w:rsidRDefault="00542229" w:rsidP="00542229">
      <w:pPr>
        <w:ind w:right="5103"/>
        <w:jc w:val="both"/>
        <w:rPr>
          <w:rFonts w:ascii="Times New Roman" w:hAnsi="Times New Roman" w:cs="Times New Roman"/>
          <w:sz w:val="24"/>
          <w:szCs w:val="24"/>
        </w:rPr>
      </w:pPr>
      <w:r>
        <w:rPr>
          <w:rFonts w:ascii="Times New Roman" w:hAnsi="Times New Roman"/>
          <w:sz w:val="24"/>
        </w:rPr>
        <w:t>Biträdande minister för offentliga räkenskaper, knuten till ministern för ekonomi-, finans- och återhämtning</w:t>
      </w:r>
    </w:p>
    <w:p w14:paraId="71208B86" w14:textId="77777777" w:rsidR="00542229" w:rsidRPr="00AB7CED" w:rsidRDefault="00542229" w:rsidP="00542229">
      <w:pPr>
        <w:ind w:left="3540" w:firstLine="708"/>
        <w:jc w:val="center"/>
        <w:rPr>
          <w:rFonts w:ascii="Times New Roman" w:hAnsi="Times New Roman" w:cs="Times New Roman"/>
          <w:sz w:val="24"/>
          <w:szCs w:val="24"/>
        </w:rPr>
      </w:pPr>
      <w:r>
        <w:rPr>
          <w:rFonts w:ascii="Times New Roman" w:hAnsi="Times New Roman"/>
          <w:sz w:val="24"/>
        </w:rPr>
        <w:t>Ministeren delegerar till ministern för ekonomi, finans och återhämtning, ansvarig för industrin,</w:t>
      </w:r>
    </w:p>
    <w:p w14:paraId="08957A8F" w14:textId="77777777" w:rsidR="00AB7CED" w:rsidRDefault="00AB7CED">
      <w:pPr>
        <w:rPr>
          <w:rFonts w:ascii="Times New Roman" w:hAnsi="Times New Roman" w:cs="Times New Roman"/>
          <w:b/>
          <w:sz w:val="24"/>
          <w:szCs w:val="24"/>
        </w:rPr>
      </w:pPr>
      <w:r>
        <w:br w:type="page"/>
      </w:r>
    </w:p>
    <w:p w14:paraId="698B828F"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lastRenderedPageBreak/>
        <w:t>BILAGA: METOD FÖR KVANTITATIV BESTÄMNING AV DELTA-9-TETRAHYDROKANNABINOL (9-THC) I HAMPSORTER</w:t>
      </w:r>
    </w:p>
    <w:p w14:paraId="281C9426" w14:textId="77777777" w:rsidR="00891D87" w:rsidRPr="00891D87" w:rsidRDefault="00891D87" w:rsidP="00AB7CED">
      <w:pPr>
        <w:spacing w:after="0" w:line="240" w:lineRule="auto"/>
        <w:jc w:val="both"/>
        <w:rPr>
          <w:rFonts w:ascii="Times New Roman" w:eastAsia="Times New Roman" w:hAnsi="Times New Roman" w:cs="Times New Roman"/>
          <w:sz w:val="24"/>
          <w:szCs w:val="24"/>
        </w:rPr>
      </w:pPr>
      <w:r>
        <w:rPr>
          <w:rFonts w:ascii="Times New Roman" w:hAnsi="Times New Roman"/>
          <w:color w:val="3C3C3C"/>
          <w:sz w:val="24"/>
          <w:shd w:val="clear" w:color="auto" w:fill="FFFFFF"/>
        </w:rPr>
        <w:t>1. Syfte och tillämpningsområde</w:t>
      </w:r>
    </w:p>
    <w:p w14:paraId="6B6C345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Metoden används för att bestämma halten delta-9-tetrahydrokannabinol (9-THC) av Cannabis sativa L.</w:t>
      </w:r>
    </w:p>
    <w:p w14:paraId="3121EDB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I förekommande fall ska den tillämpas i enlighet med ett förfarande A eller förfarande B som beskrivs nedan. Denna metod baseras på kvantitativ bestämning genom gaskromatografi (GCP) av 9-THC efter lösningsmedelsextraktion.</w:t>
      </w:r>
    </w:p>
    <w:p w14:paraId="7DA8565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1.1. Förfarande A</w:t>
      </w:r>
    </w:p>
    <w:p w14:paraId="3E0667C2"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Förfarande A används för kontroll av de sorter som avses i artikel 1 i dekret xxx om tillämpning av artikel R. 5181 i folkhälsolagen för Cannabis.</w:t>
      </w:r>
    </w:p>
    <w:p w14:paraId="16C7510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Om resultaten visar att ett betydande antal prover av en viss sort har en högre halt av 9-THC än vad som är tillåtet enligt artikel 1 i ovannämnda dekret, får förfarande B användas.</w:t>
      </w:r>
    </w:p>
    <w:p w14:paraId="777C1AF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1.2. Förfarande B</w:t>
      </w:r>
    </w:p>
    <w:p w14:paraId="6F2329A7" w14:textId="77777777" w:rsidR="00FC7100" w:rsidRPr="00AB7CED"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Förfarande B ska användas i de fall som avses i punkt 1.1 andra underparagrafen.</w:t>
      </w:r>
    </w:p>
    <w:p w14:paraId="3301E73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 Test</w:t>
      </w:r>
    </w:p>
    <w:p w14:paraId="6B1063C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2.1. Stickprover</w:t>
      </w:r>
    </w:p>
    <w:p w14:paraId="6ED09C9C"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Förfarande A: I en given population av hampa kommer en 30 cm sektion av minst en kvinnlig blomställning att samlas in för varje vald växt. Provtagningen sker under perioden mellan tjugo dagar efter början och tio dagar efter blomningens slut, under dagen, enligt en systematisk väg som möjliggör en representativ samling av tomten, exklusive gränserna.</w:t>
      </w:r>
    </w:p>
    <w:p w14:paraId="54150C4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Förfarande B: I en population av en viss sort Cannabis sativa L. kommer den övre tredjedelen av varje vald växt att tas. Provtagningen sker inom tio dagar efter blomningens slut, under dagen, enligt en systematisk rutt som möjliggör en representativ samling av tomten och exklusive gränserna. När det gäller en dioecious sort kommer endast honplantorna att samlas in.</w:t>
      </w:r>
    </w:p>
    <w:p w14:paraId="4684C028"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2.2. Provstorlek</w:t>
      </w:r>
    </w:p>
    <w:p w14:paraId="6DCC997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Förfarande A: För varje observationsyta tas prover från 50 plantor.</w:t>
      </w:r>
    </w:p>
    <w:p w14:paraId="5D29643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Förfarande B: För varje observationsyta tas prover från 200 plantor.</w:t>
      </w:r>
    </w:p>
    <w:p w14:paraId="17F786E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Varje prov placeras utan manipulering i en trasa eller papperspåse och skickas sedan till det laboratorium som ansvarar för att fastställa 9-THC-innehållet.</w:t>
      </w:r>
    </w:p>
    <w:p w14:paraId="0DFF005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Ett andra prov kan tas för eventuell motanalys och lagras antingen av producenten eller av laboratoriet.</w:t>
      </w:r>
    </w:p>
    <w:p w14:paraId="0ABDF5B0" w14:textId="77777777" w:rsidR="00891D87" w:rsidRPr="00891D87" w:rsidRDefault="00891D87" w:rsidP="00CD5B47">
      <w:pPr>
        <w:keepNext/>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lastRenderedPageBreak/>
        <w:t>2.3. Torkning och lagring av provet</w:t>
      </w:r>
    </w:p>
    <w:p w14:paraId="348704C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Torkningen av provexemplaren ska inledas så snabbt som möjligt och under alla omständigheter inom 48 timmar med någon metod vid en temperatur under 70 °C. Proverna ska torkas upp till konstant vikt med en fuktighet på mellan 8 och 13 %.</w:t>
      </w:r>
    </w:p>
    <w:p w14:paraId="3ACE333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Torra prover förvaras inte i mörker och vid temperaturer under 25 °C.</w:t>
      </w:r>
    </w:p>
    <w:p w14:paraId="138F62F4"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 Innehållsanalys i 9-THC</w:t>
      </w:r>
    </w:p>
    <w:p w14:paraId="7ED3F74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3.1. Beredning av analysprovet</w:t>
      </w:r>
    </w:p>
    <w:p w14:paraId="24C2CB1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Torra prover avlägsnas från stjälkar och frön större än 2 mm.</w:t>
      </w:r>
    </w:p>
    <w:p w14:paraId="5FF713D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De torkade proverna mals till ett halvfint pulver (1 mm masksikt).</w:t>
      </w:r>
    </w:p>
    <w:p w14:paraId="24C1060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Maximal lagring av pulvret i 10 veckor på en torr, mörk plats vid temperaturer under 25 °C.</w:t>
      </w:r>
    </w:p>
    <w:p w14:paraId="1C1236F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3.2. Reagenser, extraktionslösning</w:t>
      </w:r>
    </w:p>
    <w:p w14:paraId="01D30FC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Reagenser:</w:t>
      </w:r>
    </w:p>
    <w:p w14:paraId="190FFBD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9-tetrahydrokannabinol kromatografiskt ren;</w:t>
      </w:r>
    </w:p>
    <w:p w14:paraId="153C23D9"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Kromatografiskt ren squalan som intern standard.</w:t>
      </w:r>
    </w:p>
    <w:p w14:paraId="3F37F8AD"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Extraktionslösning:</w:t>
      </w:r>
    </w:p>
    <w:p w14:paraId="614BCB34"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35 mg skvalan per 100 ml hexan.</w:t>
      </w:r>
    </w:p>
    <w:p w14:paraId="33BF793C"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3.3. Extraktion av 9-THC</w:t>
      </w:r>
    </w:p>
    <w:p w14:paraId="539AC97D"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Väg upp 100 mg av provpulvret och lägg dem i ett centrifugrör; tillsätt 5 ml extraktionslösning som innehåller den interna kontrollen.</w:t>
      </w:r>
    </w:p>
    <w:p w14:paraId="7430A05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Doppa allt i ett ultraljudsbad i 20 minuter. Centrifugera i 5 minuter vid 3 000 varv/min och ta supernatanten 9-THC-lösning. Injicera den senare i kromatografiapparaten och utför kvantitativ analys.</w:t>
      </w:r>
    </w:p>
    <w:p w14:paraId="08833073"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3.4. Gaskromatografi</w:t>
      </w:r>
    </w:p>
    <w:p w14:paraId="2BE66A58"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a) Utrustning:</w:t>
      </w:r>
    </w:p>
    <w:p w14:paraId="418A7F25" w14:textId="3B4CBC3A" w:rsidR="00891D87" w:rsidRPr="00891D87" w:rsidRDefault="00CD5B4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gaskromatograf utrustad med en flamjoniseringsdetektor och delad/splitlös injektor;</w:t>
      </w:r>
    </w:p>
    <w:p w14:paraId="793C8BB9" w14:textId="1B4E9F91" w:rsidR="00891D87" w:rsidRPr="00891D87" w:rsidRDefault="00CD5B4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kolumn som möjliggör god separation av cannabinoider, t.ex. en 25 m lång och 0,22 mm glaskapillärkolonn impregnerad med en 5-procentig apolär fas av fenylmetylsiloxan.</w:t>
      </w:r>
    </w:p>
    <w:p w14:paraId="22C93DE2"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b) Kalibreringsområden:</w:t>
      </w:r>
    </w:p>
    <w:p w14:paraId="1D57BC6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Minst 3 punkter för förfarande A och 5 punkter för förfarande B, med punkterna 0,04 och 0,50 mg/ml 9-THC i extraktionslösning.</w:t>
      </w:r>
    </w:p>
    <w:p w14:paraId="49E28E5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lastRenderedPageBreak/>
        <w:t>c) Utrustningsförhållanden:</w:t>
      </w:r>
    </w:p>
    <w:p w14:paraId="137B3C7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Följande villkor anges som exempel för den kolumn som nämns i punkt a:</w:t>
      </w:r>
    </w:p>
    <w:p w14:paraId="79CB055B" w14:textId="2F993BC1" w:rsidR="00891D87" w:rsidRPr="00891D87" w:rsidRDefault="00CD5B4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ugnstemperatur: 260 °C;</w:t>
      </w:r>
    </w:p>
    <w:p w14:paraId="7C995E61" w14:textId="31E1C1A8" w:rsidR="00891D87" w:rsidRPr="00891D87" w:rsidRDefault="00CD5B4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injektortemperatur: 300 °C;</w:t>
      </w:r>
    </w:p>
    <w:p w14:paraId="22C6A5DA" w14:textId="72522BAA" w:rsidR="00891D87" w:rsidRPr="00891D87" w:rsidRDefault="00CD5B4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detektortemperatur: 300 °C.</w:t>
      </w:r>
    </w:p>
    <w:p w14:paraId="39D5645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 injicerad volym: 1 ml.</w:t>
      </w:r>
    </w:p>
    <w:p w14:paraId="4A77A77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4. Resultat</w:t>
      </w:r>
    </w:p>
    <w:p w14:paraId="6B6040B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Resultatet uttrycks med två decimaler, i gram 9-THC per 100 gram prov, torkat upp till konstant vikt. Resultatet är föremål för en tolerans på 0,03 % i absolut värde.</w:t>
      </w:r>
    </w:p>
    <w:p w14:paraId="66A0A1EC" w14:textId="4F95F772"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Förfarande A: Resultatet motsvarar en bestämning per analysprov. Om det erhållna resultatet överskrider det gränsvärde som anges i asvnitt 1 i dekret xxx med tillämpning av artikel R. 5181 i folkhälsolagen för Cannabis, ska en andra bestämning göras per prov och resultatet ska vara genomsnittet av dessa två bestämningar.</w:t>
      </w:r>
    </w:p>
    <w:p w14:paraId="3B70BFF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Förfarande B: Resultatet motsvarar genomsnittet av två bestämningar per prov.</w:t>
      </w:r>
    </w:p>
    <w:sectPr w:rsidR="00891D87" w:rsidRPr="00891D8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D3C2D" w14:textId="77777777" w:rsidR="00601DEC" w:rsidRDefault="00601DEC" w:rsidP="00AB7CED">
      <w:pPr>
        <w:spacing w:after="0" w:line="240" w:lineRule="auto"/>
      </w:pPr>
      <w:r>
        <w:separator/>
      </w:r>
    </w:p>
  </w:endnote>
  <w:endnote w:type="continuationSeparator" w:id="0">
    <w:p w14:paraId="22A82D8F" w14:textId="77777777" w:rsidR="00601DEC" w:rsidRDefault="00601DEC" w:rsidP="00AB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814530"/>
      <w:docPartObj>
        <w:docPartGallery w:val="Page Numbers (Bottom of Page)"/>
        <w:docPartUnique/>
      </w:docPartObj>
    </w:sdtPr>
    <w:sdtEndPr/>
    <w:sdtContent>
      <w:p w14:paraId="5084F0DF" w14:textId="77777777" w:rsidR="00AB7CED" w:rsidRDefault="00AB7CED">
        <w:pPr>
          <w:pStyle w:val="Footer"/>
          <w:jc w:val="right"/>
        </w:pPr>
        <w:r>
          <w:fldChar w:fldCharType="begin"/>
        </w:r>
        <w:r>
          <w:instrText>PAGE   \* MERGEFORMAT</w:instrText>
        </w:r>
        <w:r>
          <w:fldChar w:fldCharType="separate"/>
        </w:r>
        <w:r w:rsidR="005E4D7F">
          <w:t>5</w:t>
        </w:r>
        <w:r>
          <w:fldChar w:fldCharType="end"/>
        </w:r>
      </w:p>
    </w:sdtContent>
  </w:sdt>
  <w:p w14:paraId="171969FD" w14:textId="77777777" w:rsidR="00AB7CED" w:rsidRDefault="00AB7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660B" w14:textId="77777777" w:rsidR="00601DEC" w:rsidRDefault="00601DEC" w:rsidP="00AB7CED">
      <w:pPr>
        <w:spacing w:after="0" w:line="240" w:lineRule="auto"/>
      </w:pPr>
      <w:r>
        <w:separator/>
      </w:r>
    </w:p>
  </w:footnote>
  <w:footnote w:type="continuationSeparator" w:id="0">
    <w:p w14:paraId="6B8CE99A" w14:textId="77777777" w:rsidR="00601DEC" w:rsidRDefault="00601DEC" w:rsidP="00AB7C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87"/>
    <w:rsid w:val="001E4B4F"/>
    <w:rsid w:val="002B4C8D"/>
    <w:rsid w:val="00542229"/>
    <w:rsid w:val="005E4D7F"/>
    <w:rsid w:val="00601DEC"/>
    <w:rsid w:val="006B2BEF"/>
    <w:rsid w:val="006E2CDE"/>
    <w:rsid w:val="00842EA4"/>
    <w:rsid w:val="00891D87"/>
    <w:rsid w:val="008C383B"/>
    <w:rsid w:val="0099467C"/>
    <w:rsid w:val="00A006DB"/>
    <w:rsid w:val="00AB7CED"/>
    <w:rsid w:val="00CD5B47"/>
    <w:rsid w:val="00D34B61"/>
    <w:rsid w:val="00EC22B5"/>
    <w:rsid w:val="00FC7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6E2B"/>
  <w15:chartTrackingRefBased/>
  <w15:docId w15:val="{37B2EA83-03DE-4FC9-A218-022ED853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D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AB7C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CED"/>
  </w:style>
  <w:style w:type="paragraph" w:styleId="Footer">
    <w:name w:val="footer"/>
    <w:basedOn w:val="Normal"/>
    <w:link w:val="FooterChar"/>
    <w:uiPriority w:val="99"/>
    <w:unhideWhenUsed/>
    <w:rsid w:val="00AB7C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1343</Words>
  <Characters>7658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dc:description/>
  <cp:lastModifiedBy>Liana Brili</cp:lastModifiedBy>
  <cp:revision>11</cp:revision>
  <cp:lastPrinted>2021-07-20T14:42:00Z</cp:lastPrinted>
  <dcterms:created xsi:type="dcterms:W3CDTF">2021-07-20T09:04:00Z</dcterms:created>
  <dcterms:modified xsi:type="dcterms:W3CDTF">2021-07-29T16:02:00Z</dcterms:modified>
</cp:coreProperties>
</file>