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Saksamaa toidu- ja põllumajandusministeeriumi määrus</w:t>
      </w:r>
    </w:p>
    <w:p w14:paraId="2F532029" w14:textId="77777777" w:rsidR="00651E64" w:rsidRDefault="00651E64" w:rsidP="00484650">
      <w:pPr>
        <w:pStyle w:val="Bezeichnungnderungsdokument"/>
      </w:pPr>
      <w:r>
        <w:t>Määrus riiklike õigusnormide kohandamise kohta lõhna- ja maitseaineid ja lõhna- ja maitseaineid sisaldavaid toiduaineid käsitlevate ELi õiguse sätetega</w:t>
      </w:r>
      <w:r w:rsidR="00E21259">
        <w:rPr>
          <w:rStyle w:val="FootnoteReference"/>
        </w:rPr>
        <w:footnoteReference w:id="2"/>
      </w:r>
    </w:p>
    <w:p w14:paraId="23058E40" w14:textId="77777777" w:rsidR="00651E64" w:rsidRDefault="00651E64" w:rsidP="00484650">
      <w:pPr>
        <w:pStyle w:val="Ausfertigungsdatumnderungsdokument"/>
      </w:pPr>
      <w:r>
        <w:t>Välja antud … [kuupäev]</w:t>
      </w:r>
    </w:p>
    <w:p w14:paraId="272F006C" w14:textId="77777777" w:rsidR="009650F3" w:rsidRPr="00E9574F" w:rsidRDefault="009650F3" w:rsidP="009650F3">
      <w:pPr>
        <w:pStyle w:val="EingangsformelStandardnderungsdokument"/>
      </w:pPr>
      <w:r>
        <w:t>Saksamaa toidu- ja põllumajandusministeerium määrab kooskõlas</w:t>
      </w:r>
    </w:p>
    <w:p w14:paraId="512FFA89" w14:textId="0A9A8E83" w:rsidR="00321AE7" w:rsidRPr="009E0D4B" w:rsidRDefault="004267EE" w:rsidP="005005AB">
      <w:pPr>
        <w:pStyle w:val="EingangsformelAufzhlungnderungsdokument"/>
        <w:numPr>
          <w:ilvl w:val="0"/>
          <w:numId w:val="39"/>
        </w:numPr>
      </w:pPr>
      <w:r>
        <w:t>toidu- ja söödaseadustiku 3. juunil 2013 avaldatud redaktsiooni (Saksamaa ametlik väljaanne I, lk 1426) § 13 lõike 1 punkti a alapunktiga 2 ja lõike 4 punkti 1 alapunktidega a ja b, § 35 lõike 1 punkti b alapunktiga aa, § 7 lõike 1 punktiga 1, samuti koostoimes § 4 lõike 2 punktiga 2, millest § 13 lõike 1 punkti 1 alapunkti a ja lõike 4 punkti 1 alapunkti b on viimati muudetud ... 2021. aasta seaduse artikli 1 lõikega 13, (Saksamaa ametlik väljaanne I, lk ....), § 13 lõike 1 punkti 2 ja lõike 4 punkti 1 alapunkti a on viimati muudetud 31. augusti 2015. aasta määruse § 67 lõikega 5 (Saksamaa ametlik väljaanne I, lk 1474), ja § 35 lõike 1 punkti b alapunkti aa on viimati muudetud 31. augusti 2015. aasta määruse § 67 lõikega 6 (Saksamaa ametlik väljaanne I, lk 1474), kooskõlas Saksamaa majandus- ja energeetikaministeeriumiga,</w:t>
      </w:r>
      <w:bookmarkStart w:id="0" w:name="DQPErrorScope6C4DC7B48DAD49F3910D9C706FB"/>
    </w:p>
    <w:p w14:paraId="38AB48AA" w14:textId="1975D840" w:rsidR="009650F3" w:rsidRPr="009E0D4B" w:rsidRDefault="009650F3" w:rsidP="00E84B01">
      <w:pPr>
        <w:pStyle w:val="EingangsformelAufzhlungnderungsdokument"/>
      </w:pPr>
      <w:r>
        <w:t>toidu- ja söödaseadustiku 3. juunil 2013 avaldatud redaktsiooni (Saksamaa ametlik väljaanne I, lk 1426) § 13 lõike 1 punktiga 6, § 62 lõike 1 punktiga 1 ja lõike 2 punktiga a ja § 75 lõikega 5, samuti koostoimes § 4 lõikega 2, millest § 13 lõike 1 punkti 6 on viimati muudetud 31. augusti 2015. aasta määruse artikli 67 lõikega 5 (Saksamaa ametlik väljaanne I, lk 1474) ning § 62 lõike 1 punkti 1 ja lõike 2 punkti a on viimati ümber sõnastatud ...2021. aasta seaduse artikli 1 lõikega 48 (Saksamaa ametlik väljaanne I, lk...) ja § 75 lõiget 5 on viimati muudetud ... 2021. aasta seaduse artikli 1 lõikega 53 (Saksamaa ametlik väljaanne I, lk...) ja</w:t>
      </w:r>
    </w:p>
    <w:p w14:paraId="1E0F7501" w14:textId="3B02D45A" w:rsidR="009650F3" w:rsidRPr="00E9574F" w:rsidRDefault="009650F3" w:rsidP="009650F3">
      <w:pPr>
        <w:pStyle w:val="EingangsformelAufzhlungnderungsdokument"/>
      </w:pPr>
      <w:r>
        <w:t>25. juuli 1990. aasta piima- ja margariiniseaduse § 3 lõike 1 esimese lause punktiga 1 (Saksamaa ametlik väljaanne, I osa, lk 1471), mida on viimati muudetud 18. jaanuari 2019. aasta seaduse artikli 2 lõikega 2 (Saksamaa ametlik väljaanne, I osa, lk 33), üksmeelel Saksamaa majandus- ja energeetikaministeeriumiga.</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Artikkel 1</w:t>
      </w:r>
    </w:p>
    <w:p w14:paraId="2A2F26A0" w14:textId="77777777" w:rsidR="00244293" w:rsidRPr="005632EA" w:rsidRDefault="005C3F8A" w:rsidP="00244293">
      <w:pPr>
        <w:pStyle w:val="BezeichnungStammdokument"/>
      </w:pPr>
      <w:bookmarkStart w:id="2" w:name="DQPErrorScope9E5B26B397B847A4B87D8A5E50F"/>
      <w:r>
        <w:t>Rakendusmäärus lõhna- ja maitseainete ja lõhna- ja maitseaineid sisaldavate toiduainete kohta</w:t>
      </w:r>
      <w:bookmarkEnd w:id="2"/>
    </w:p>
    <w:p w14:paraId="6DE99BBE" w14:textId="77777777" w:rsidR="005C3F8A" w:rsidRPr="005632EA" w:rsidRDefault="00E21259" w:rsidP="005F25F7">
      <w:pPr>
        <w:pStyle w:val="Kurzbezeichnung-AbkrzungStammdokument"/>
      </w:pPr>
      <w:r>
        <w:t>(lõhna- ja maitseainete rakendusmäärus – AromenDV)</w:t>
      </w:r>
    </w:p>
    <w:p w14:paraId="3608BD23" w14:textId="03F7117D" w:rsidR="00651E64" w:rsidRPr="005632EA" w:rsidRDefault="009A59A7" w:rsidP="009A59A7">
      <w:pPr>
        <w:pStyle w:val="ParagraphBezeichner"/>
        <w:numPr>
          <w:ilvl w:val="0"/>
          <w:numId w:val="0"/>
        </w:numPr>
      </w:pPr>
      <w:r>
        <w:t>§ 1.</w:t>
      </w:r>
    </w:p>
    <w:p w14:paraId="084CBDF6" w14:textId="77777777" w:rsidR="00651E64" w:rsidRPr="005632EA" w:rsidRDefault="00817B35" w:rsidP="00651E64">
      <w:pPr>
        <w:pStyle w:val="Paragraphberschrift"/>
      </w:pPr>
      <w:r>
        <w:t>Kohaldamisala</w:t>
      </w:r>
    </w:p>
    <w:p w14:paraId="03203C78" w14:textId="77777777" w:rsidR="00C9581A" w:rsidRPr="005632EA" w:rsidRDefault="00C9581A" w:rsidP="00E11DA0">
      <w:pPr>
        <w:pStyle w:val="JuristischerAbsatznummeriert"/>
      </w:pPr>
      <w:r>
        <w:t xml:space="preserve"> Käesolevat määrust kohaldatakse lisaks</w:t>
      </w:r>
    </w:p>
    <w:p w14:paraId="06BC809E" w14:textId="77777777" w:rsidR="009D3ED5" w:rsidRPr="005632EA" w:rsidRDefault="00817B35" w:rsidP="00DD7B4D">
      <w:pPr>
        <w:pStyle w:val="NummerierungStufe1"/>
      </w:pPr>
      <w:r>
        <w:lastRenderedPageBreak/>
        <w:t>Euroopa Parlamendi ja nõukogu 16. detsembri 2008. aasta määruse (EÜ) nr 1334/2008 (mis käsitleb toiduainetes kasutatavaid lõhna- ja maitseaineid ning teatavaid lõhna- ja maitseomadustega toidu koostisosi ning millega muudetakse nõukogu määrust (EMÜ) nr 1601/91, määrusi (EÜ) nr 2232/96 ja (EÜ) nr 110/2008 ning direktiivi 2000/13/EÜ) sätetele (ELT L 354, 31.12.2008, lk 34; L 105, 27.4.2010, lk 115; L 406, 3.12.2010, lk 67), viimati muudetud määrusega (EL) 2020/1681 (ELT L 379, 13.11.2020, lk 27), praegu kohaldatavas versioonis, seoses lõhna- ja maitseainete turuleviimisega ja märgistamisega määruse (EÜ) nr 1334/2008 artikli 3 lõike 2 punkti a tähenduses,</w:t>
      </w:r>
    </w:p>
    <w:p w14:paraId="089EE9A6" w14:textId="77777777" w:rsidR="009D3ED5" w:rsidRPr="005632EA" w:rsidRDefault="00817B35" w:rsidP="00E11DA0">
      <w:pPr>
        <w:pStyle w:val="NummerierungStufe1"/>
      </w:pPr>
      <w:r>
        <w:t xml:space="preserve">Euroopa Parlamendi ja nõukogu 10. novembri 2003. aasta määruse (EÜ) nr 2065/2003 (toidus või toidu pinnal kasutatavate või kasutamiseks mõeldud suitsutuspreparaatide kohta) sätetele (ELT L 309, 26.11.2003, lk1), mida viimati muudeti määrusega (EL) 2019/1381 (ELT L 231, 06.09.2019, lk 1), praegu kohaldatavas versioonis, seoses järgmise turuleviimisega: </w:t>
      </w:r>
    </w:p>
    <w:p w14:paraId="53762AE9" w14:textId="77777777" w:rsidR="00817B35" w:rsidRPr="005632EA" w:rsidRDefault="009D3ED5" w:rsidP="00E11DA0">
      <w:pPr>
        <w:pStyle w:val="NummerierungStufe2"/>
      </w:pPr>
      <w:r>
        <w:t>suitsutuspreparaadid määruse (EL) nr 1334/2008 artikli 3 lõike 2 punkti f tähenduses ja</w:t>
      </w:r>
    </w:p>
    <w:p w14:paraId="7758FE44" w14:textId="77777777" w:rsidR="009D3ED5" w:rsidRPr="005632EA" w:rsidRDefault="009D3ED5" w:rsidP="00E11DA0">
      <w:pPr>
        <w:pStyle w:val="NummerierungStufe2"/>
      </w:pPr>
      <w:r>
        <w:t>toit, milles või mille peal on suitsutuspreparaadid.</w:t>
      </w:r>
    </w:p>
    <w:p w14:paraId="2C1F76E8" w14:textId="77777777" w:rsidR="00E11DA0" w:rsidRPr="005632EA" w:rsidRDefault="00E11DA0" w:rsidP="00E11DA0">
      <w:pPr>
        <w:pStyle w:val="JuristischerAbsatznummeriert"/>
      </w:pPr>
      <w:r>
        <w:t xml:space="preserve">See määrus reguleerib </w:t>
      </w:r>
    </w:p>
    <w:p w14:paraId="4E217407" w14:textId="77777777" w:rsidR="00E11DA0" w:rsidRPr="005632EA" w:rsidRDefault="00E11DA0" w:rsidP="00E11DA0">
      <w:pPr>
        <w:pStyle w:val="NummerierungStufe1"/>
      </w:pPr>
      <w:r>
        <w:t>lõhna- ja maitseainete kasutamist määruse (EÜ) nr 1334/2008 artikli 3 lõike 2 alapunkti b tähenduses imikutele mõeldud toiduainete tootmisel,</w:t>
      </w:r>
    </w:p>
    <w:p w14:paraId="746D10E6" w14:textId="77777777" w:rsidR="00E11DA0" w:rsidRPr="005632EA" w:rsidRDefault="00E11DA0" w:rsidP="00E11DA0">
      <w:pPr>
        <w:pStyle w:val="NummerierungStufe1"/>
      </w:pPr>
      <w:r>
        <w:t xml:space="preserve">värskelt tekitatud suitsu tootmist ja kasutamist, </w:t>
      </w:r>
    </w:p>
    <w:p w14:paraId="172E3806" w14:textId="77777777" w:rsidR="00E11DA0" w:rsidRPr="005632EA" w:rsidRDefault="00E11DA0" w:rsidP="00E11DA0">
      <w:pPr>
        <w:pStyle w:val="NummerierungStufe1"/>
      </w:pPr>
      <w:r>
        <w:t>teatud pakendatud toiduainete märgistamist Euroopa Parlamendi ja nõukogu 25. oktoobri 2011. aasta määruse (EL) nr 1169/2011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22.11.2011, lk 18; ELT L 331, 18.11.2014, lk 41; ELT L 50, 21.2.2015, lk 48; ELT L 266, 30.9.2016, lk 7) artikli 2 lõike 2 punkti e tähenduses, mida viimati muudeti määrusega (EL) 2015/2283 (ELT L 327, 11.12.2015, lk 1), praegu kohaldatavas versioonis ja teatud pakendamata toiduainete märgistamist, mis on ette nähtud tarnimiseks</w:t>
      </w:r>
    </w:p>
    <w:p w14:paraId="63280A61" w14:textId="77777777" w:rsidR="002124E7" w:rsidRPr="005632EA" w:rsidRDefault="00E11DA0" w:rsidP="004D072A">
      <w:pPr>
        <w:pStyle w:val="NummerierungStufe2"/>
      </w:pPr>
      <w:r>
        <w:t xml:space="preserve">lõppkasutajatele Euroopa Parlamendi ja nõukogu 28. jaanuari 2002. aasta määruse (EÜ) nr 178/2002, millega sätestatakse toidualaste õigusnormide üldised põhimõtted ja nõuded, asutatakse Euroopa Toiduohutusamet ja kehtestatakse toidu ohutusega seotud menetlused (EÜT L 31, 1.2.2002, lk 1), artikli 3 punkti 18 vastavalt kehtiva sõnastuse alusel, mida viimati muudeti määrusega (EL) 2019/1381 (ELT L 231, 6.9.2019, lk 1) või </w:t>
      </w:r>
    </w:p>
    <w:p w14:paraId="12232107" w14:textId="706FA79E" w:rsidR="00E11DA0" w:rsidRDefault="00E11DA0" w:rsidP="004D072A">
      <w:pPr>
        <w:pStyle w:val="NummerierungStufe2"/>
      </w:pPr>
      <w:r>
        <w:t>toitlustusettevõtetele määruse (EL) nr 1169/2011 artikli 2 lõike 2 punkti d tähenduses.</w:t>
      </w:r>
    </w:p>
    <w:p w14:paraId="067E3B28" w14:textId="77777777" w:rsidR="00DA0573" w:rsidRPr="005632EA" w:rsidRDefault="00DA0573" w:rsidP="00DA0573">
      <w:pPr>
        <w:pStyle w:val="NummerierungStufe2"/>
        <w:numPr>
          <w:ilvl w:val="0"/>
          <w:numId w:val="0"/>
        </w:numPr>
        <w:ind w:left="850"/>
      </w:pPr>
    </w:p>
    <w:p w14:paraId="68B6D1B2" w14:textId="03260B6C" w:rsidR="002039AA" w:rsidRPr="005632EA" w:rsidRDefault="009A59A7" w:rsidP="009A59A7">
      <w:pPr>
        <w:pStyle w:val="ParagraphBezeichner"/>
        <w:numPr>
          <w:ilvl w:val="0"/>
          <w:numId w:val="0"/>
        </w:numPr>
      </w:pPr>
      <w:r>
        <w:lastRenderedPageBreak/>
        <w:t>§ 2</w:t>
      </w:r>
    </w:p>
    <w:p w14:paraId="489796CB" w14:textId="77777777" w:rsidR="002039AA" w:rsidRPr="005632EA" w:rsidRDefault="00F01166" w:rsidP="00F01166">
      <w:pPr>
        <w:pStyle w:val="Paragraphberschrift"/>
      </w:pPr>
      <w:r>
        <w:t>Mõistete määratlused</w:t>
      </w:r>
    </w:p>
    <w:p w14:paraId="7A80D09F" w14:textId="77777777" w:rsidR="00E11DA0" w:rsidRPr="005632EA" w:rsidRDefault="00BC5CE3" w:rsidP="000D651F">
      <w:pPr>
        <w:pStyle w:val="JuristischerAbsatznichtnummeriert"/>
        <w:rPr>
          <w:b/>
        </w:rPr>
      </w:pPr>
      <w:r>
        <w:t>Pakendamata toiduained käesoleva määruse tähenduses on</w:t>
      </w:r>
      <w:bookmarkStart w:id="3" w:name="DQPErrorScope67E92608D42740079E6457E1473"/>
      <w:r>
        <w:t xml:space="preserve"> toiduained,</w:t>
      </w:r>
    </w:p>
    <w:p w14:paraId="3AD04CA9" w14:textId="77777777" w:rsidR="00E11DA0" w:rsidRPr="005632EA" w:rsidRDefault="00E11DA0" w:rsidP="000D651F">
      <w:pPr>
        <w:pStyle w:val="NummerierungStufe1"/>
      </w:pPr>
      <w:r>
        <w:t>mida pakutakse müügiks ilma pakendita,</w:t>
      </w:r>
    </w:p>
    <w:p w14:paraId="6419D49F" w14:textId="77777777" w:rsidR="00E11DA0" w:rsidRPr="005632EA" w:rsidRDefault="00E11DA0" w:rsidP="000D651F">
      <w:pPr>
        <w:pStyle w:val="NummerierungStufe1"/>
      </w:pPr>
      <w:r>
        <w:t>mis pakendatakse lõpptarbija või toitlustusettevõtte soovil müügikohas või</w:t>
      </w:r>
    </w:p>
    <w:p w14:paraId="4DFEC0D0" w14:textId="77777777" w:rsidR="00651E64" w:rsidRPr="005632EA" w:rsidRDefault="00E11DA0" w:rsidP="000D651F">
      <w:pPr>
        <w:pStyle w:val="NummerierungStufe1"/>
      </w:pPr>
      <w:r>
        <w:t>mis pakendatakse koheseks müügiks.</w:t>
      </w:r>
      <w:bookmarkEnd w:id="3"/>
    </w:p>
    <w:p w14:paraId="4137B85D" w14:textId="3AE4A84C" w:rsidR="00651E64" w:rsidRPr="005632EA" w:rsidRDefault="009A59A7" w:rsidP="009A59A7">
      <w:pPr>
        <w:pStyle w:val="ParagraphBezeichner"/>
        <w:numPr>
          <w:ilvl w:val="0"/>
          <w:numId w:val="0"/>
        </w:numPr>
      </w:pPr>
      <w:r>
        <w:t>§ 3</w:t>
      </w:r>
    </w:p>
    <w:p w14:paraId="11A8A898" w14:textId="77777777" w:rsidR="00651E64" w:rsidRPr="005632EA" w:rsidRDefault="008B28E1" w:rsidP="00651E64">
      <w:pPr>
        <w:pStyle w:val="Paragraphberschrift"/>
      </w:pPr>
      <w:r>
        <w:t>Toiduained, mis on mõeldud imikutele</w:t>
      </w:r>
    </w:p>
    <w:p w14:paraId="0E589CC6" w14:textId="77777777" w:rsidR="00043572" w:rsidRPr="005632EA" w:rsidRDefault="0050376B" w:rsidP="00651E64">
      <w:pPr>
        <w:pStyle w:val="JuristischerAbsatznichtnummeriert"/>
      </w:pPr>
      <w:r>
        <w:t xml:space="preserve">Lõhna- ja maitseainete kasutamine on keelatud järgmise tootmisel: </w:t>
      </w:r>
    </w:p>
    <w:p w14:paraId="78830B54" w14:textId="77777777" w:rsidR="00043572" w:rsidRPr="005632EA" w:rsidRDefault="00651E64" w:rsidP="009E788E">
      <w:pPr>
        <w:pStyle w:val="NummerierungStufe1"/>
      </w:pPr>
      <w:r>
        <w:t>imikute piimasegu ja</w:t>
      </w:r>
    </w:p>
    <w:p w14:paraId="56568695" w14:textId="77777777" w:rsidR="00043572" w:rsidRPr="005632EA" w:rsidRDefault="00043572" w:rsidP="009E788E">
      <w:pPr>
        <w:pStyle w:val="NummerierungStufe1"/>
      </w:pPr>
      <w:r>
        <w:t xml:space="preserve">alla kuueteistkümne nädala vanustele imikutele mõeldud toiduained. </w:t>
      </w:r>
    </w:p>
    <w:p w14:paraId="5075DFB7" w14:textId="10683200" w:rsidR="00651E64" w:rsidRPr="005632EA" w:rsidRDefault="009A59A7" w:rsidP="009A59A7">
      <w:pPr>
        <w:pStyle w:val="ParagraphBezeichner"/>
        <w:numPr>
          <w:ilvl w:val="0"/>
          <w:numId w:val="0"/>
        </w:numPr>
      </w:pPr>
      <w:r>
        <w:t>§ 4</w:t>
      </w:r>
    </w:p>
    <w:p w14:paraId="5514444C" w14:textId="77777777" w:rsidR="00651E64" w:rsidRPr="005632EA" w:rsidRDefault="00B7429A" w:rsidP="00651E64">
      <w:pPr>
        <w:pStyle w:val="Paragraphberschrift"/>
      </w:pPr>
      <w:r>
        <w:t>Värskelt tekitatud suitsu kasutamine</w:t>
      </w:r>
    </w:p>
    <w:p w14:paraId="058D0921" w14:textId="77777777" w:rsidR="00E11DA0" w:rsidRPr="005632EA" w:rsidRDefault="00C86B1E" w:rsidP="008A0CC7">
      <w:pPr>
        <w:pStyle w:val="JuristischerAbsatznummeriert"/>
      </w:pPr>
      <w:r>
        <w:t xml:space="preserve">Toiduainete tootmine värskelt tekitatud suitsu abil on keelatud, kui ei järgita lõigete 2, 4 või 5 nõudeid. </w:t>
      </w:r>
    </w:p>
    <w:p w14:paraId="0EA3F196" w14:textId="77777777" w:rsidR="00B9172A" w:rsidRPr="005632EA" w:rsidRDefault="00B9172A" w:rsidP="00B9172A">
      <w:pPr>
        <w:pStyle w:val="JuristischerAbsatznummeriert"/>
      </w:pPr>
      <w:r>
        <w:t xml:space="preserve">Värskelt tekitatud suitsu tootmiseks võib kasutada ainult looduslikku puitu ja oksi, kanarbikku ja okaspuude käbisid, kõikide korral võib lisaks kasutada ka vürtse. </w:t>
      </w:r>
    </w:p>
    <w:p w14:paraId="4277BC9E" w14:textId="77777777" w:rsidR="00B9172A" w:rsidRPr="005632EA" w:rsidRDefault="00DD78B3">
      <w:pPr>
        <w:pStyle w:val="JuristischerAbsatznummeriert"/>
      </w:pPr>
      <w:r>
        <w:t xml:space="preserve"> Olenemata lõikest 2 võib kasutada ka turvast värskelt tekitatud suitsu tootmiseks linnaste töötlemiseks järgmise tootmiseks </w:t>
      </w:r>
    </w:p>
    <w:p w14:paraId="068BCAED" w14:textId="77777777" w:rsidR="00B9172A" w:rsidRPr="005632EA" w:rsidRDefault="00B9172A" w:rsidP="00B9172A">
      <w:pPr>
        <w:pStyle w:val="NummerierungStufe1"/>
      </w:pPr>
      <w:r>
        <w:t>whisky ehk whiskey Euroopa Parlamendi ja nõukogu 17. aprilli 2019. aasta määruse (EL)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I lisa punkti 2 tähenduses (ELT L 130, 17.05.2019, lk 1; L 316I, 6.12.2019, lk 3; L 178, 20.5.2021, lk 4) ja</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õlu. </w:t>
      </w:r>
    </w:p>
    <w:p w14:paraId="2F8C86E8" w14:textId="77777777" w:rsidR="00B9172A" w:rsidRPr="005632EA" w:rsidRDefault="00B9172A" w:rsidP="00B9172A">
      <w:pPr>
        <w:pStyle w:val="JuristischerAbsatznummeriert"/>
      </w:pPr>
      <w:r>
        <w:t xml:space="preserve">Värskelt tekitatud suitsu ei tohi kasutada vee, vesilahuste, toiduõlide ja muude vedelike ning nitritsoola töötlemiseks.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Benso(a)püreeni keskmine sisaldus suitsutatud juustus või juustust valmistatud suitsutatud toodetes ei tohi ületada ühte mikrogrammi kilogrammi kohta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lastRenderedPageBreak/>
        <w:t>§ 5</w:t>
      </w:r>
    </w:p>
    <w:p w14:paraId="480E4DDD" w14:textId="77777777" w:rsidR="00651E64" w:rsidRPr="005632EA" w:rsidRDefault="00651E64" w:rsidP="00651E64">
      <w:pPr>
        <w:pStyle w:val="Paragraphberschrift"/>
      </w:pPr>
      <w:r>
        <w:t>Märgistamine</w:t>
      </w:r>
    </w:p>
    <w:p w14:paraId="67CDE80E" w14:textId="77777777" w:rsidR="00651E64" w:rsidRPr="005632EA" w:rsidRDefault="00F707E6" w:rsidP="00651E64">
      <w:pPr>
        <w:pStyle w:val="JuristischerAbsatznummeriert"/>
      </w:pPr>
      <w:r>
        <w:t xml:space="preserve">Pakendamata jooke, mille alkoholisisaldus on kuni 1,2 mahuprotsenti, ja pakendamata lõhna- ja maitseaineid, mis sisaldavad kiniini või selle sooli, võib lõpptarbijatele ja toitlustusettevõtetele tarnida ainult siis, kui need on lõigetes 3 kuni 5 kirjeldatud viisil tähistatud märkega „sisaldab kiniini”. </w:t>
      </w:r>
      <w:bookmarkStart w:id="11" w:name="DQPErrorScopeE4EB20D4B1684A33878E68F0A6F"/>
      <w:r>
        <w:t>Esimese lause kohase teabe võib välja jätta eespool nimetatud toodete puhul, mille koostisosade loetelu vastab teabenõuetele määruse (EL) nr 1169/2011 artikli 9 lõike 1 punkti b kohaselt koostoimes artikliga 18.</w:t>
      </w:r>
      <w:bookmarkEnd w:id="11"/>
      <w:r>
        <w:t xml:space="preserve"> </w:t>
      </w:r>
    </w:p>
    <w:p w14:paraId="614C59F2" w14:textId="77777777" w:rsidR="00651E64" w:rsidRPr="005632EA" w:rsidRDefault="00C621E8" w:rsidP="00651E64">
      <w:pPr>
        <w:pStyle w:val="JuristischerAbsatznummeriert"/>
      </w:pPr>
      <w:r>
        <w:t>Pakendatud ja pakendamata lagritsatooteid võib lõpptarbijale ja toitlustusettevõtetele tarnida ainult järgmise teabega, mis tuleb esitada lõigetes 3 kuni 5 määratud viisil:</w:t>
      </w:r>
    </w:p>
    <w:p w14:paraId="4923723A" w14:textId="77777777" w:rsidR="00651E64" w:rsidRPr="005632EA" w:rsidRDefault="00651E64" w:rsidP="00651E64">
      <w:pPr>
        <w:pStyle w:val="NummerierungStufe1"/>
      </w:pPr>
      <w:r>
        <w:t xml:space="preserve">kui ammooniumkloriidi sisaldus on üle 20,0 grammi kuni 44,9 grammi kilogrammi kohta, tuleb märkida „Lagrits täiskasvanutele – ei ole mõeldud lastele“, </w:t>
      </w:r>
    </w:p>
    <w:p w14:paraId="6FE208B0" w14:textId="77777777" w:rsidR="00B23B47" w:rsidRPr="005632EA" w:rsidRDefault="00651E64" w:rsidP="00B23B47">
      <w:pPr>
        <w:pStyle w:val="NummerierungStufe1"/>
      </w:pPr>
      <w:r>
        <w:t xml:space="preserve">kui ammooniumkloriidi sisaldus on üle 44,9 grammi kuni 79,9 grammi kilogrammi kohta, tuleb märkida „Eriti tugev lagrits täiskasvanutele – ei ole mõeldud lastele“ ja </w:t>
      </w:r>
    </w:p>
    <w:p w14:paraId="4D743E2D" w14:textId="77777777" w:rsidR="00651E64" w:rsidRPr="005632EA" w:rsidRDefault="00651E64" w:rsidP="00B23B47">
      <w:pPr>
        <w:pStyle w:val="NummerierungStufe1"/>
      </w:pPr>
      <w:r>
        <w:t>kui ammooniumkloriidi sisaldus on üle 79,9 grammi kilogrammi kohta, tuleb lisaks number 2 kohasele teabele märkida „Liigne tarbimine võib olla tervisele kahjulik, eelkõige neeruhaigustega inimeste tervisele“.</w:t>
      </w:r>
    </w:p>
    <w:p w14:paraId="7F821019" w14:textId="09B71547" w:rsidR="00DE2A80" w:rsidRPr="005632EA" w:rsidRDefault="00C756B3" w:rsidP="00C66A86">
      <w:pPr>
        <w:pStyle w:val="JuristischerAbsatznummeriert"/>
      </w:pPr>
      <w:bookmarkStart w:id="12" w:name="DQPErrorScope568EEC9C90CC421DBAB93096CD0"/>
      <w:r>
        <w:t>Lõike 1 esimese lause ja lõike 2 kohane teave tuleb esitada § 2 alapunkti 3 tähenduses olevate toiduainete kohta, kui neid ei pakuta iseteeninduses ning samuti toiduainete kohta § 2 alapunktide 1 ja 2 tähenduses järgmiselt:</w:t>
      </w:r>
    </w:p>
    <w:p w14:paraId="3BB0816C" w14:textId="59F880FB" w:rsidR="00C756B3" w:rsidRPr="005632EA" w:rsidRDefault="00C756B3" w:rsidP="00E548ED">
      <w:pPr>
        <w:pStyle w:val="NummerierungStufe1"/>
      </w:pPr>
      <w:r>
        <w:t>vastavalt määruse (EL) nr 1169/2011 artikli 12 lõikele 2 või 5. juuli 2017. aasta toidualase teabe rakendusmääruse § 4 lõigetele 3 ja 4 (Saksamaa ametlik väljaanne, I osa, lk 2272), mida on viimati muudetud 18. novembri 2020. aasta määruse artikliga 3 (Saksamaa ametlik väljaanne I, lk 2504), ja</w:t>
      </w:r>
    </w:p>
    <w:p w14:paraId="7D61ED43" w14:textId="77777777" w:rsidR="00380DED" w:rsidRPr="005632EA" w:rsidRDefault="00C756B3" w:rsidP="00E548ED">
      <w:pPr>
        <w:pStyle w:val="NummerierungStufe1"/>
      </w:pPr>
      <w:r>
        <w:t>kui toidualase teabe rakendusmääruse § 4 lõike 2 kohane teave on kohustuslik, tuleb esitada samal viisil ja identsel andmekandjal nagu toidualase teabe rakendusmääruse § 4 lõike 2 kohane teave.</w:t>
      </w:r>
    </w:p>
    <w:p w14:paraId="30D82C29" w14:textId="7BE80271" w:rsidR="0038729E" w:rsidRPr="005632EA" w:rsidRDefault="005A6DDD" w:rsidP="00D43DAA">
      <w:pPr>
        <w:pStyle w:val="JuristischerAbsatznummeriert"/>
      </w:pPr>
      <w:r>
        <w:t>Lõike 1 esimese lause ja lõike 2 kohane teave esitatakse toiduainete puhul § 2 alapunkti 3 tähenduses, kui neid pakutakse iseteeninduses ning samuti pakendatud lagritsatoodete puhul vastavalt määruse (EL) nr 1169/2011 artikli 12 lõikele 2.</w:t>
      </w:r>
    </w:p>
    <w:p w14:paraId="7022EE71" w14:textId="77777777" w:rsidR="00C50450" w:rsidRPr="005632EA" w:rsidRDefault="001E604E">
      <w:pPr>
        <w:pStyle w:val="JuristischerAbsatznummeriert"/>
      </w:pPr>
      <w:r>
        <w:t>Toiduainete puhul, mida pakutakse müügiks kaugsidevahendite tehnoloogia abil, tuleb esitada lõike 1 esimese lause ja lõike 2 kohane teave vastavalt määruse (EL) nr 1169/2011 artikli 14 lõikele 1, ilma et see piiraks lõigete 3 ja 4 kohaldamist.</w:t>
      </w:r>
    </w:p>
    <w:bookmarkEnd w:id="12"/>
    <w:p w14:paraId="0722652F" w14:textId="77777777" w:rsidR="001E04AA" w:rsidRPr="005632EA" w:rsidRDefault="001E04AA" w:rsidP="004C2AB1">
      <w:pPr>
        <w:pStyle w:val="JuristischerAbsatznummeriert"/>
      </w:pPr>
      <w:r>
        <w:t>Lõhna- ja maitseaineid, mis on ette nähtud müügiks lõpptarbijale ja mille tähistamisel kasutatakse mõistet „looduslik“, võib turule viia ainult siis, kui selle mõiste kasutamine vastab artikli 17 lõike 2 nõuetele koostoimes määruse (EÜ) nr 1334/2008 artikliga 16.</w:t>
      </w:r>
    </w:p>
    <w:p w14:paraId="4D906090" w14:textId="1DD4D1E0" w:rsidR="00651E64" w:rsidRPr="005632EA" w:rsidRDefault="009A59A7" w:rsidP="009A59A7">
      <w:pPr>
        <w:pStyle w:val="ParagraphBezeichner"/>
        <w:numPr>
          <w:ilvl w:val="0"/>
          <w:numId w:val="0"/>
        </w:numPr>
      </w:pPr>
      <w:r>
        <w:lastRenderedPageBreak/>
        <w:t>§ 6</w:t>
      </w:r>
    </w:p>
    <w:p w14:paraId="36D55FC3" w14:textId="77777777" w:rsidR="00651E64" w:rsidRPr="005632EA" w:rsidRDefault="00651E64" w:rsidP="00651E64">
      <w:pPr>
        <w:pStyle w:val="Paragraphberschrift"/>
      </w:pPr>
      <w:r>
        <w:t>Väärteod</w:t>
      </w:r>
    </w:p>
    <w:p w14:paraId="32C78173" w14:textId="77777777" w:rsidR="007B7086" w:rsidRPr="005632EA" w:rsidRDefault="00651E64" w:rsidP="00651E64">
      <w:pPr>
        <w:pStyle w:val="JuristischerAbsatznummeriert"/>
      </w:pPr>
      <w:r>
        <w:t>Vastavalt toiduainete ja loomasööda seadustiku § 58 lõike 1 punktile 18, lõigetele 4 kuni 6 karistatakse isikut, kes tahtlikult või hooletusest</w:t>
      </w:r>
    </w:p>
    <w:p w14:paraId="2ABDE8CD" w14:textId="77777777" w:rsidR="007B7086" w:rsidRPr="005632EA" w:rsidRDefault="00DF49C8" w:rsidP="007B7086">
      <w:pPr>
        <w:pStyle w:val="NummerierungStufe1"/>
      </w:pPr>
      <w:r>
        <w:t xml:space="preserve">vastupidiselt § 3 kasutab lõhna- või maitseainet või </w:t>
      </w:r>
    </w:p>
    <w:p w14:paraId="5298DA03" w14:textId="77777777" w:rsidR="00DF49C8" w:rsidRPr="005632EA" w:rsidRDefault="00732057" w:rsidP="00C15A69">
      <w:pPr>
        <w:pStyle w:val="NummerierungStufe1"/>
      </w:pPr>
      <w:r>
        <w:t xml:space="preserve">vastupidiselt § 4 lõikele 1 toodab toiduainet. </w:t>
      </w:r>
    </w:p>
    <w:p w14:paraId="4CF08140" w14:textId="77777777" w:rsidR="00251B11" w:rsidRPr="005632EA" w:rsidRDefault="00651E64" w:rsidP="00251B11">
      <w:pPr>
        <w:pStyle w:val="JuristischerAbsatznummeriert"/>
      </w:pPr>
      <w:r>
        <w:t>Vastavalt toiduainete ja loomasööda seadustiku § 59 lõike 1 punkti 21 alapunktile a karistatakse isikut, kes vastupidiselt § 5 lõike 1 esimesele või lõikele 2 müüb seal nimetatud toodet või lõhna- või maitseainet.</w:t>
      </w:r>
    </w:p>
    <w:p w14:paraId="419B5E20" w14:textId="77777777" w:rsidR="00021797" w:rsidRPr="005632EA" w:rsidRDefault="00651E64" w:rsidP="00020477">
      <w:pPr>
        <w:pStyle w:val="JuristischerAbsatznummeriert"/>
      </w:pPr>
      <w:bookmarkStart w:id="13" w:name="DQPErrorScopeC76905A79867435F8B7C38D4B45"/>
      <w:r>
        <w:t>Vastavalt toiduainete ja loomasööda seadustiku § 58 lõike 3 punktile 2., lõigetele lõigete 4 kuni 6 kohaselt karistatakse isikut, kes tahtlikult või hooletusest vastupidiselt</w:t>
      </w:r>
      <w:bookmarkEnd w:id="13"/>
      <w:r>
        <w:t xml:space="preserve"> Euroopa Parlamendi ja nõukogu 10. novembri 2003. aasta määruse (EÜ) nr 2065/2003 (toidus või toidu pinnal kasutatavate või kasutamiseks mõeldud suitsutuspreparaatide kohta) artikli 4 lõikele 2 (ELT L 309, 26.11.2003, lk 1), viimati muudetud määrusega (EL) 2019/1381 (ELT L 231, 06.09.2019, lk 1), viib turule suitsutuspreparaati või toitu.</w:t>
      </w:r>
    </w:p>
    <w:p w14:paraId="0076BE5B" w14:textId="5CE6E0B5" w:rsidR="00D43DAA" w:rsidRPr="005632EA" w:rsidRDefault="009A59A7" w:rsidP="009A59A7">
      <w:pPr>
        <w:pStyle w:val="ParagraphBezeichner"/>
        <w:numPr>
          <w:ilvl w:val="0"/>
          <w:numId w:val="0"/>
        </w:numPr>
      </w:pPr>
      <w:r>
        <w:t>§ 7</w:t>
      </w:r>
    </w:p>
    <w:p w14:paraId="66715C88" w14:textId="77777777" w:rsidR="00021797" w:rsidRPr="005632EA" w:rsidRDefault="00021797" w:rsidP="00E548ED">
      <w:pPr>
        <w:pStyle w:val="Paragraphberschrift"/>
      </w:pPr>
      <w:r>
        <w:t>Haldusõiguserikkumised</w:t>
      </w:r>
    </w:p>
    <w:p w14:paraId="25F7C572" w14:textId="77777777" w:rsidR="00651E64" w:rsidRPr="005632EA" w:rsidRDefault="009A5EF4" w:rsidP="00651E64">
      <w:pPr>
        <w:pStyle w:val="JuristischerAbsatznummeriert"/>
      </w:pPr>
      <w:bookmarkStart w:id="14" w:name="DQPErrorScope198834BC410D4A869AB7DF5798B"/>
      <w:r>
        <w:t>See, kes paneb hooletusest toime</w:t>
      </w:r>
      <w:bookmarkEnd w:id="14"/>
      <w:r>
        <w:t xml:space="preserve"> § 6 lõikes 1 nimetatud teo, paneb toiduainete ja loomasööda seadustiku § 60 lõike 1 punkti 2 kohaselt toime õigusrikkumise.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Toiduainete ja loomasööda seadustiku artikli 60 lõike 2 punkti 26 alapunkti a kohase õigusrikkumisega on tegemist juhul, kui tahtlikult või hooletusest lastakse turule seal nimetatud lõhna- ja maitseained § 5 lõike 6 nõudeid eirates.</w:t>
      </w:r>
    </w:p>
    <w:p w14:paraId="74D142D0" w14:textId="48EE95E0" w:rsidR="008A0CC7" w:rsidRPr="005632EA" w:rsidRDefault="00486873" w:rsidP="008A0CC7">
      <w:pPr>
        <w:pStyle w:val="JuristischerAbsatznummeriert"/>
      </w:pPr>
      <w:r>
        <w:t>Toiduainete ja loomasööda seadustiku artikli 60 lõike 4 punkti 2 alapunkti a kohase õigusrikkumisega on tegemist juhul, kui rikutakse Euroopa Parlamendi ja nõukogu 16. detsembri 2008. aasta määrust (EÜ) nr 1334/2008, mis käsitleb toiduainetes kasutatavaid lõhna- ja maitseaineid ning teatavaid lõhna- ja maitseomadustega toidu koostisosi ning millega muudetakse nõukogu määrust (EMÜ) nr 1601/91, määrusi (EÜ) nr 2232/96 ja (EÜ) nr 110/2008 ning direktiivi 2000/13/EÜ (ELT L 354, 31.12.2008, lk 34; L 105, 27.4.2010, lk 115), viimati muudetud määrusega (EL) 2020/1681 (ELT L 379, 13.11.2020, lk 27), lastes tahtlikult või hooletusest turule lõhna- ja maitseained artikli 14 lõike 1 esimest lauset koostoimes artiklitega 15 või 16 või artikli 17 lõike 1 nõudeid eirates.</w:t>
      </w:r>
      <w:bookmarkEnd w:id="15"/>
      <w:bookmarkEnd w:id="16"/>
    </w:p>
    <w:p w14:paraId="1AFD2ADD" w14:textId="69B8FC8B" w:rsidR="00651E64" w:rsidRPr="005632EA" w:rsidRDefault="009A59A7" w:rsidP="009A59A7">
      <w:pPr>
        <w:pStyle w:val="ParagraphBezeichner"/>
        <w:numPr>
          <w:ilvl w:val="0"/>
          <w:numId w:val="0"/>
        </w:numPr>
      </w:pPr>
      <w:r>
        <w:t>§ 8</w:t>
      </w:r>
    </w:p>
    <w:p w14:paraId="7D621927" w14:textId="77777777" w:rsidR="00651E64" w:rsidRPr="005632EA" w:rsidRDefault="00651E64" w:rsidP="00651E64">
      <w:pPr>
        <w:pStyle w:val="Paragraphberschrift"/>
      </w:pPr>
      <w:r>
        <w:t>Üleminekusätted</w:t>
      </w:r>
    </w:p>
    <w:p w14:paraId="376BE833" w14:textId="026E9F23" w:rsidR="00651E64" w:rsidRPr="005632EA" w:rsidRDefault="00651E64" w:rsidP="00651E64">
      <w:pPr>
        <w:pStyle w:val="JuristischerAbsatznichtnummeriert"/>
      </w:pPr>
      <w:r>
        <w:t xml:space="preserve">Lagritsatooteid, mis ei vasta § 5 lõike 2 nõuetele, võib kuni varude lõppemiseni jätkuvalt turule viia ka pärast... [sisestada: </w:t>
      </w:r>
      <w:r>
        <w:rPr>
          <w:i/>
        </w:rPr>
        <w:t>käesoleva määruse artikli 3 esimeses lauses osutatud jõustumise kuupäev]</w:t>
      </w:r>
      <w:r>
        <w:t>.</w:t>
      </w:r>
    </w:p>
    <w:p w14:paraId="41B7D042" w14:textId="063AF1BB" w:rsidR="00321AE7" w:rsidRPr="005632EA" w:rsidRDefault="009A59A7" w:rsidP="009A59A7">
      <w:pPr>
        <w:pStyle w:val="ArtikelBezeichner"/>
        <w:numPr>
          <w:ilvl w:val="0"/>
          <w:numId w:val="0"/>
        </w:numPr>
        <w:ind w:left="720"/>
      </w:pPr>
      <w:r>
        <w:lastRenderedPageBreak/>
        <w:t>Artikkel 2</w:t>
      </w:r>
    </w:p>
    <w:p w14:paraId="43BD44C0" w14:textId="77777777" w:rsidR="00321AE7" w:rsidRPr="005632EA" w:rsidRDefault="00321AE7" w:rsidP="00321AE7">
      <w:pPr>
        <w:pStyle w:val="Artikelberschrift"/>
      </w:pPr>
      <w:r>
        <w:t>Juustumääruse muudatus</w:t>
      </w:r>
    </w:p>
    <w:p w14:paraId="4F034C3F" w14:textId="77777777" w:rsidR="00321AE7" w:rsidRPr="005632EA" w:rsidRDefault="00321AE7" w:rsidP="00321AE7">
      <w:pPr>
        <w:pStyle w:val="JuristischerAbsatznichtnummeriert"/>
      </w:pPr>
      <w:r>
        <w:t>Juustumäärust 14. aprillil 1986. aastal avaldatud sõnastuses (Saksamaa ametlik väljaanne, I osa, lk 412), mida on viimati muudetud 5. juuli 2017. aasta määruse artikliga 18 (Saksamaa ametlik väljaanne, I osa, lk 2272), muudetakse järgmiselt.</w:t>
      </w:r>
    </w:p>
    <w:p w14:paraId="4C90E633" w14:textId="77777777" w:rsidR="00321AE7" w:rsidRPr="005632EA" w:rsidRDefault="00321AE7" w:rsidP="00321AE7">
      <w:pPr>
        <w:pStyle w:val="NummerierungStufe1"/>
      </w:pPr>
      <w:r>
        <w:t>§ 3 muudetakse järgmiselt:</w:t>
      </w:r>
    </w:p>
    <w:p w14:paraId="6DDC2025" w14:textId="77777777" w:rsidR="0067727A" w:rsidRPr="005632EA" w:rsidRDefault="00321AE7" w:rsidP="00321AE7">
      <w:pPr>
        <w:pStyle w:val="NummerierungStufe2"/>
      </w:pPr>
      <w:r>
        <w:t>lõiget 1 muudetakse järgmiselt:</w:t>
      </w:r>
    </w:p>
    <w:p w14:paraId="30CA21AE" w14:textId="69623017" w:rsidR="00321AE7" w:rsidRPr="005632EA" w:rsidRDefault="0067727A" w:rsidP="00D65456">
      <w:pPr>
        <w:pStyle w:val="NummerierungStufe3"/>
      </w:pPr>
      <w:r>
        <w:t xml:space="preserve">punktile 1 eelnevas lauseosas jäetakse välja sõnad </w:t>
      </w:r>
      <w:bookmarkStart w:id="17" w:name="DQPErrorScope9F6C3AFBC940482287EA8CACE7D"/>
      <w:r>
        <w:rPr>
          <w:color w:val="800000"/>
        </w:rPr>
        <w:t>„ja kui § 23 ei tulene teisiti“</w:t>
      </w:r>
      <w:bookmarkEnd w:id="17"/>
      <w:r>
        <w:t>,</w:t>
      </w:r>
    </w:p>
    <w:p w14:paraId="557ADBF6" w14:textId="4AFAFB57" w:rsidR="00DE766B" w:rsidRPr="005632EA" w:rsidRDefault="00DE766B" w:rsidP="00DE766B">
      <w:pPr>
        <w:pStyle w:val="NummerierungStufe3"/>
      </w:pPr>
      <w:r>
        <w:t>punkti 1 alapunktis e asendatakse lõpus olev semikoolon komaga,</w:t>
      </w:r>
    </w:p>
    <w:p w14:paraId="39DA0767" w14:textId="71F849AB" w:rsidR="00A22FC2" w:rsidRPr="005632EA" w:rsidRDefault="0039746B" w:rsidP="00D65456">
      <w:pPr>
        <w:pStyle w:val="NummerierungStufe3"/>
      </w:pPr>
      <w:r>
        <w:t>Punkti 2 muudetakse järgmiselt:</w:t>
      </w:r>
    </w:p>
    <w:p w14:paraId="56ED3096" w14:textId="41BECEC2" w:rsidR="00A22FC2" w:rsidRPr="005632EA" w:rsidRDefault="00A22FC2" w:rsidP="009E0D4B">
      <w:pPr>
        <w:pStyle w:val="NummerierungStufe4"/>
      </w:pPr>
      <w:r>
        <w:t>alapunktis e asendatakse lõpus olev semikoolon komaga,</w:t>
      </w:r>
    </w:p>
    <w:p w14:paraId="65555EB5" w14:textId="5D2F1E21" w:rsidR="0039746B" w:rsidRPr="005632EA" w:rsidRDefault="00A22FC2" w:rsidP="009E0D4B">
      <w:pPr>
        <w:pStyle w:val="NummerierungStufe4"/>
      </w:pPr>
      <w:r>
        <w:t>lisatakse järgmine alapunkt f:</w:t>
      </w:r>
    </w:p>
    <w:p w14:paraId="171F26A4" w14:textId="6A31659F"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w:t>
      </w:r>
      <w:r>
        <w:tab/>
        <w:t>värskelt tekitatud suits lõhna- ja maitseainete rakendusmääruse § 4 lõike 2 tähenduses;“.</w:t>
      </w:r>
    </w:p>
    <w:p w14:paraId="211A0FBC" w14:textId="77777777" w:rsidR="00321AE7" w:rsidRPr="005632EA" w:rsidRDefault="00321AE7" w:rsidP="00321AE7">
      <w:pPr>
        <w:pStyle w:val="NummerierungStufe2"/>
      </w:pPr>
      <w:r>
        <w:t xml:space="preserve">Lõikes 2 ja lõike 2a esimeses lauses jäetakse välja sõnad </w:t>
      </w:r>
      <w:bookmarkStart w:id="18" w:name="DQPErrorScope5FBBE17180284D6297EB00D6129"/>
      <w:r>
        <w:rPr>
          <w:rStyle w:val="RevisionText"/>
        </w:rPr>
        <w:t>„</w:t>
      </w:r>
      <w:r>
        <w:rPr>
          <w:color w:val="800000"/>
        </w:rPr>
        <w:t>ja kui § 23 ei tulene teisiti</w:t>
      </w:r>
      <w:r>
        <w:rPr>
          <w:rStyle w:val="RevisionText"/>
        </w:rPr>
        <w:t>“</w:t>
      </w:r>
      <w:bookmarkEnd w:id="18"/>
      <w:r>
        <w:rPr>
          <w:rStyle w:val="RevisionText"/>
        </w:rPr>
        <w:t xml:space="preserve"> </w:t>
      </w:r>
      <w:r>
        <w:t>.</w:t>
      </w:r>
    </w:p>
    <w:p w14:paraId="7FDA74F0" w14:textId="77777777" w:rsidR="00321AE7" w:rsidRPr="005632EA" w:rsidRDefault="00321AE7" w:rsidP="004E38D6">
      <w:pPr>
        <w:pStyle w:val="NummerierungStufe1"/>
      </w:pPr>
      <w:r>
        <w:t xml:space="preserve">§ 4 lõikes 1 jäetakse välja sõnad </w:t>
      </w:r>
      <w:bookmarkStart w:id="19" w:name="DQPErrorScope139E5972AC4743AFB0D787C277F"/>
      <w:r>
        <w:rPr>
          <w:rStyle w:val="RevisionText"/>
        </w:rPr>
        <w:t>„</w:t>
      </w:r>
      <w:r>
        <w:rPr>
          <w:color w:val="800000"/>
        </w:rPr>
        <w:t>ja kui § 23 ei tulene teisiti</w:t>
      </w:r>
      <w:r>
        <w:rPr>
          <w:rStyle w:val="RevisionText"/>
        </w:rPr>
        <w:t>“</w:t>
      </w:r>
      <w:bookmarkEnd w:id="19"/>
      <w:r>
        <w:t>.</w:t>
      </w:r>
    </w:p>
    <w:p w14:paraId="7AC50CA0" w14:textId="77777777" w:rsidR="00321AE7" w:rsidRPr="005632EA" w:rsidRDefault="00321AE7" w:rsidP="004E38D6">
      <w:pPr>
        <w:pStyle w:val="NummerierungStufe1"/>
      </w:pPr>
      <w:r>
        <w:t>Kuues jaotis tühistatakse.</w:t>
      </w:r>
    </w:p>
    <w:p w14:paraId="748256A0" w14:textId="77777777" w:rsidR="00031266" w:rsidRPr="005632EA" w:rsidRDefault="00E253F9" w:rsidP="000E0920">
      <w:pPr>
        <w:pStyle w:val="NummerierungStufe1"/>
      </w:pPr>
      <w:r>
        <w:t>§ 30 muudetakse järgmiselt:</w:t>
      </w:r>
    </w:p>
    <w:p w14:paraId="474225BF" w14:textId="77777777" w:rsidR="00031266" w:rsidRPr="005632EA" w:rsidRDefault="00321AE7" w:rsidP="00866FD2">
      <w:pPr>
        <w:pStyle w:val="NummerierungStufe2"/>
      </w:pPr>
      <w:r>
        <w:t>lõige 3 tunnistatakse kehtetuks,</w:t>
      </w:r>
    </w:p>
    <w:p w14:paraId="4FAEE056" w14:textId="77777777" w:rsidR="0039746B" w:rsidRPr="005632EA" w:rsidRDefault="00E253F9" w:rsidP="00031266">
      <w:pPr>
        <w:pStyle w:val="NummerierungStufe2"/>
      </w:pPr>
      <w:r>
        <w:t xml:space="preserve">lõikes 5 asendatakse sõna </w:t>
      </w:r>
      <w:r>
        <w:rPr>
          <w:color w:val="800000"/>
        </w:rPr>
        <w:t>„kuni“</w:t>
      </w:r>
      <w:r>
        <w:t xml:space="preserve"> sõnaga </w:t>
      </w:r>
      <w:r>
        <w:rPr>
          <w:color w:val="800000"/>
        </w:rPr>
        <w:t>„või“</w:t>
      </w:r>
      <w:r>
        <w:t>.</w:t>
      </w:r>
    </w:p>
    <w:p w14:paraId="02E115D1" w14:textId="48D58A42" w:rsidR="00651E64" w:rsidRDefault="009A59A7" w:rsidP="009A59A7">
      <w:pPr>
        <w:pStyle w:val="ArtikelBezeichner"/>
        <w:numPr>
          <w:ilvl w:val="0"/>
          <w:numId w:val="0"/>
        </w:numPr>
      </w:pPr>
      <w:r>
        <w:t>Artikkel 3</w:t>
      </w:r>
    </w:p>
    <w:p w14:paraId="100EACD9" w14:textId="77777777" w:rsidR="00651E64" w:rsidRPr="005632EA" w:rsidRDefault="00651E64" w:rsidP="00484650">
      <w:pPr>
        <w:pStyle w:val="Artikelberschrift"/>
      </w:pPr>
      <w:r>
        <w:rPr>
          <w:rStyle w:val="Marker"/>
          <w:color w:val="auto"/>
        </w:rPr>
        <w:t>Jõustumine, kehtivuse lõppemine</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Käesolev määrus jõustub selle avaldamisele järgneval päeval. Samal ajal muutub kehtetuks lõhna- ja maitseainete määrus 2. mail 2006. aastal avaldatud sõnastuses (Saksamaa ametlik väljaanne, I osa, lk 1127), mida on viimati muudetud 5. juuli 2017. aasta määruse artikliga 3 (Saksamaa ametlik väljaanne, I osa, lk 2272).</w:t>
      </w:r>
      <w:bookmarkEnd w:id="20"/>
      <w:bookmarkEnd w:id="21"/>
      <w:bookmarkEnd w:id="22"/>
    </w:p>
    <w:p w14:paraId="77AFE858" w14:textId="77777777" w:rsidR="00651E64" w:rsidRPr="005632EA" w:rsidRDefault="00651E64" w:rsidP="00651E64">
      <w:pPr>
        <w:pStyle w:val="Schlussformel"/>
      </w:pPr>
      <w:r>
        <w:rPr>
          <w:rStyle w:val="Marker"/>
          <w:color w:val="auto"/>
        </w:rPr>
        <w:t>Liidunõukogus heaks kiidetud.</w:t>
      </w:r>
    </w:p>
    <w:p w14:paraId="7B221673" w14:textId="03F88B05" w:rsidR="00DA0573" w:rsidRDefault="00D16906" w:rsidP="00DA0573">
      <w:pPr>
        <w:pStyle w:val="OrtDatum"/>
        <w:jc w:val="left"/>
      </w:pPr>
      <w:r>
        <w:t>Bonn, [kuupäev]</w:t>
      </w:r>
    </w:p>
    <w:p w14:paraId="70F9EDB8" w14:textId="77777777" w:rsidR="00DA0573" w:rsidRPr="00DA0573" w:rsidRDefault="00DA0573" w:rsidP="00DA0573">
      <w:pPr>
        <w:pStyle w:val="Organisation"/>
      </w:pPr>
    </w:p>
    <w:p w14:paraId="4216F008" w14:textId="594304F5" w:rsidR="00D16906" w:rsidRDefault="00D16906" w:rsidP="00D16906">
      <w:pPr>
        <w:pStyle w:val="Organisation"/>
      </w:pPr>
      <w:r>
        <w:lastRenderedPageBreak/>
        <w:t>Saksamaa toidu- ja põllumajandusminister</w:t>
      </w:r>
    </w:p>
    <w:p w14:paraId="01502FBD" w14:textId="07423031" w:rsidR="00D16906" w:rsidRPr="005632EA" w:rsidRDefault="00D16906" w:rsidP="00576F59">
      <w:pPr>
        <w:pStyle w:val="Person"/>
      </w:pPr>
      <w:r>
        <w:t>Julia Klöckner</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45EF" w14:textId="77777777" w:rsidR="00EA00F6" w:rsidRDefault="00EA00F6" w:rsidP="005D1540">
      <w:pPr>
        <w:spacing w:before="0" w:after="0"/>
      </w:pPr>
      <w:r>
        <w:separator/>
      </w:r>
    </w:p>
  </w:endnote>
  <w:endnote w:type="continuationSeparator" w:id="0">
    <w:p w14:paraId="4721320A" w14:textId="77777777" w:rsidR="00EA00F6" w:rsidRDefault="00EA00F6" w:rsidP="005D1540">
      <w:pPr>
        <w:spacing w:before="0" w:after="0"/>
      </w:pPr>
      <w:r>
        <w:continuationSeparator/>
      </w:r>
    </w:p>
  </w:endnote>
  <w:endnote w:type="continuationNotice" w:id="1">
    <w:p w14:paraId="3A8DFEBB" w14:textId="77777777" w:rsidR="00EA00F6" w:rsidRDefault="00EA00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3EDF" w14:textId="77777777" w:rsidR="00EA00F6" w:rsidRDefault="00EA00F6" w:rsidP="005D1540">
      <w:pPr>
        <w:spacing w:before="0" w:after="0"/>
      </w:pPr>
      <w:r>
        <w:separator/>
      </w:r>
    </w:p>
  </w:footnote>
  <w:footnote w:type="continuationSeparator" w:id="0">
    <w:p w14:paraId="31414893" w14:textId="77777777" w:rsidR="00EA00F6" w:rsidRDefault="00EA00F6" w:rsidP="005D1540">
      <w:pPr>
        <w:spacing w:before="0" w:after="0"/>
      </w:pPr>
      <w:r>
        <w:continuationSeparator/>
      </w:r>
    </w:p>
  </w:footnote>
  <w:footnote w:type="continuationNotice" w:id="1">
    <w:p w14:paraId="3ACC4E8B" w14:textId="77777777" w:rsidR="00EA00F6" w:rsidRDefault="00EA00F6">
      <w:pPr>
        <w:spacing w:before="0" w:after="0"/>
      </w:pPr>
    </w:p>
  </w:footnote>
  <w:footnote w:id="2">
    <w:p w14:paraId="3CD683E6" w14:textId="77777777" w:rsidR="00FF2308" w:rsidRDefault="00FF2308">
      <w:pPr>
        <w:pStyle w:val="FootnoteText"/>
      </w:pPr>
      <w:r>
        <w:rPr>
          <w:rStyle w:val="FootnoteReference"/>
        </w:rPr>
        <w:footnoteRef/>
      </w:r>
      <w:r>
        <w:t xml:space="preserve"> Järgitud on Euroopa Parlamendi ja nõukogu 9. septembri 2015. aasta direktiivist (EL) 2015/1535, millega nähakse ette tehnilistest eeskirjadest ning infoühiskonna teenuste eeskirjadest teatamise kord (ELT L 241, 17.9.2015, lk 1), tulenevaid kohustusi.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65879414" w:rsidR="00FF2308" w:rsidRPr="00E73B8E" w:rsidRDefault="00E73B8E" w:rsidP="00E73B8E">
    <w:pPr>
      <w:pStyle w:val="Header"/>
    </w:pPr>
    <w:r>
      <w:tab/>
      <w:t xml:space="preserve">- </w:t>
    </w:r>
    <w:r>
      <w:fldChar w:fldCharType="begin"/>
    </w:r>
    <w:r>
      <w:instrText xml:space="preserve"> PAGE  \* MERGEFORMAT </w:instrText>
    </w:r>
    <w:r>
      <w:fldChar w:fldCharType="separate"/>
    </w:r>
    <w:r w:rsidR="00576F59">
      <w:t>7</w:t>
    </w:r>
    <w:r>
      <w:fldChar w:fldCharType="end"/>
    </w:r>
    <w:r>
      <w:t xml:space="preserve"> -</w:t>
    </w:r>
    <w:r>
      <w:tab/>
    </w:r>
    <w:r>
      <w:rPr>
        <w:sz w:val="18"/>
      </w:rPr>
      <w:t>Viimati uuendatud: 11. oktoober 2021 kell 12.12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r w:rsidRPr="00E73B8E">
      <w:rPr>
        <w:sz w:val="18"/>
      </w:rPr>
      <w:t>Bearbeitungsstand: 11.10.2021  12:12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46C0"/>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20BE"/>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0573"/>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00F6"/>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62E4"/>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1946</Words>
  <Characters>11462</Characters>
  <Application>Microsoft Office Word</Application>
  <DocSecurity>0</DocSecurity>
  <Lines>216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4</cp:revision>
  <cp:lastPrinted>2021-01-13T10:56:00Z</cp:lastPrinted>
  <dcterms:created xsi:type="dcterms:W3CDTF">2022-03-22T10:07:00Z</dcterms:created>
  <dcterms:modified xsi:type="dcterms:W3CDTF">2022-03-22T10:44:00Z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