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40BD37" w14:textId="77777777" w:rsidR="004C79C7" w:rsidRDefault="004C79C7" w:rsidP="004C79C7">
      <w:pPr>
        <w:pageBreakBefore/>
        <w:spacing w:line="264" w:lineRule="auto"/>
        <w:jc w:val="both"/>
      </w:pPr>
      <w:bookmarkStart w:id="0" w:name="_Hlk72831917"/>
      <w:r>
        <w:rPr>
          <w:b/>
        </w:rPr>
        <w:t xml:space="preserve">II. ZNĚNÍ ČLÁNKŮ</w:t>
      </w:r>
    </w:p>
    <w:p w14:paraId="5BA7CD1B" w14:textId="77777777" w:rsidR="004C79C7" w:rsidRDefault="004C79C7" w:rsidP="004C79C7">
      <w:pPr>
        <w:tabs>
          <w:tab w:val="left" w:pos="600"/>
        </w:tabs>
        <w:spacing w:line="264" w:lineRule="auto"/>
        <w:rPr>
          <w:bCs/>
          <w:szCs w:val="20"/>
          <w:rFonts w:eastAsia="Calibri"/>
        </w:rPr>
      </w:pPr>
      <w:r>
        <w:tab/>
      </w:r>
    </w:p>
    <w:p w14:paraId="4F7474D3" w14:textId="77777777" w:rsidR="004C79C7" w:rsidRDefault="004C79C7" w:rsidP="004C79C7">
      <w:pPr>
        <w:tabs>
          <w:tab w:val="left" w:pos="600"/>
        </w:tabs>
        <w:spacing w:line="264" w:lineRule="auto"/>
      </w:pPr>
    </w:p>
    <w:p w14:paraId="41B2B1B2" w14:textId="77777777" w:rsidR="004C79C7" w:rsidRDefault="004C79C7" w:rsidP="004C79C7">
      <w:pPr>
        <w:tabs>
          <w:tab w:val="left" w:pos="600"/>
        </w:tabs>
        <w:spacing w:line="264" w:lineRule="auto"/>
        <w:jc w:val="both"/>
      </w:pPr>
      <w:r>
        <w:tab/>
      </w:r>
    </w:p>
    <w:p w14:paraId="7F57DAD8" w14:textId="77777777" w:rsidR="004C79C7" w:rsidRDefault="004C79C7" w:rsidP="004C79C7">
      <w:pPr>
        <w:spacing w:line="260" w:lineRule="exact"/>
        <w:contextualSpacing/>
        <w:jc w:val="both"/>
        <w:rPr>
          <w:color w:val="000000"/>
          <w:szCs w:val="20"/>
          <w:lang w:val="sl-SI" w:eastAsia="sl-SI"/>
        </w:rPr>
      </w:pPr>
    </w:p>
    <w:p w14:paraId="687380DC" w14:textId="77777777" w:rsidR="004C79C7" w:rsidRDefault="004C79C7" w:rsidP="004C79C7">
      <w:pPr>
        <w:numPr>
          <w:ilvl w:val="0"/>
          <w:numId w:val="1"/>
        </w:numPr>
        <w:spacing w:after="160" w:line="260" w:lineRule="exact"/>
        <w:contextualSpacing/>
        <w:jc w:val="center"/>
      </w:pPr>
      <w:r>
        <w:rPr>
          <w:color w:val="000000"/>
        </w:rPr>
        <w:t xml:space="preserve">Článek</w:t>
      </w:r>
    </w:p>
    <w:p w14:paraId="32236372" w14:textId="77777777" w:rsidR="004C79C7" w:rsidRDefault="004C79C7" w:rsidP="004C79C7">
      <w:pPr>
        <w:spacing w:line="260" w:lineRule="exact"/>
        <w:rPr>
          <w:color w:val="000000"/>
          <w:szCs w:val="20"/>
          <w:lang w:val="sl-SI" w:eastAsia="sl-SI"/>
        </w:rPr>
      </w:pPr>
    </w:p>
    <w:p w14:paraId="48CE4082" w14:textId="77777777" w:rsidR="001709BC" w:rsidRDefault="001709BC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0BB8872B" w14:textId="655F7D2F" w:rsidR="00473EA7" w:rsidRDefault="004C79C7" w:rsidP="004C79C7">
      <w:pPr>
        <w:spacing w:line="260" w:lineRule="exact"/>
        <w:jc w:val="both"/>
        <w:rPr>
          <w:color w:val="000000"/>
          <w:szCs w:val="20"/>
        </w:rPr>
      </w:pPr>
      <w:r>
        <w:rPr>
          <w:color w:val="000000"/>
        </w:rPr>
        <w:t xml:space="preserve">V zákoně o hazardních hrách (Úřední věstník Republiky Slovinsko, č. 14/11 – oficiální konsolidované znění, 108/12, 11/14 – změna a 40/14 – ZIN-B) se doplňuje nový článek 1a, který zní:</w:t>
      </w:r>
    </w:p>
    <w:p w14:paraId="08D38BB6" w14:textId="7134920A" w:rsidR="00473EA7" w:rsidRDefault="00473EA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3A391B2A" w14:textId="7404E2E9" w:rsidR="00473EA7" w:rsidRDefault="00473EA7" w:rsidP="00473EA7">
      <w:pPr>
        <w:spacing w:line="260" w:lineRule="exact"/>
        <w:jc w:val="center"/>
        <w:rPr>
          <w:color w:val="000000"/>
          <w:szCs w:val="20"/>
        </w:rPr>
      </w:pPr>
      <w:r>
        <w:rPr>
          <w:color w:val="000000"/>
        </w:rPr>
        <w:t xml:space="preserve">„1.a</w:t>
      </w:r>
    </w:p>
    <w:p w14:paraId="7A82030C" w14:textId="68BBCDAE" w:rsidR="00473EA7" w:rsidRDefault="00473EA7" w:rsidP="00473EA7">
      <w:pPr>
        <w:spacing w:line="260" w:lineRule="exact"/>
        <w:jc w:val="center"/>
        <w:rPr>
          <w:color w:val="000000"/>
          <w:szCs w:val="20"/>
          <w:lang w:val="sl-SI" w:eastAsia="sl-SI"/>
        </w:rPr>
      </w:pPr>
    </w:p>
    <w:p w14:paraId="34C420CF" w14:textId="6CA95388" w:rsidR="00473EA7" w:rsidRPr="00473EA7" w:rsidRDefault="00473EA7" w:rsidP="00473EA7">
      <w:pPr>
        <w:spacing w:line="260" w:lineRule="exact"/>
        <w:jc w:val="both"/>
        <w:rPr>
          <w:color w:val="000000"/>
          <w:szCs w:val="20"/>
        </w:rPr>
      </w:pPr>
      <w:r>
        <w:rPr>
          <w:color w:val="000000"/>
        </w:rPr>
        <w:t xml:space="preserve">Tento zákon se vydává na základě postupu informování v souladu se směrnicí Evropského parlamentu a Rady (EU) 2015/1535 ze dne 9. září 2015 o postupu při poskytování informací v oblasti technických předpisů a předpisů pro služby informační společnosti (Úř. věst. L 241,17.</w:t>
      </w:r>
      <w:r>
        <w:rPr>
          <w:color w:val="000000"/>
        </w:rPr>
        <w:t xml:space="preserve"> </w:t>
      </w:r>
      <w:r>
        <w:rPr>
          <w:color w:val="000000"/>
        </w:rPr>
        <w:t xml:space="preserve">9.</w:t>
      </w:r>
      <w:r>
        <w:rPr>
          <w:color w:val="000000"/>
        </w:rPr>
        <w:t xml:space="preserve"> </w:t>
      </w:r>
      <w:r>
        <w:rPr>
          <w:color w:val="000000"/>
        </w:rPr>
        <w:t xml:space="preserve">2015, s. 1).</w:t>
      </w:r>
    </w:p>
    <w:p w14:paraId="632B7765" w14:textId="77777777" w:rsidR="00473EA7" w:rsidRPr="00473EA7" w:rsidRDefault="00473EA7" w:rsidP="00473EA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15904180" w14:textId="6EF2C7FC" w:rsidR="00473EA7" w:rsidRPr="00473EA7" w:rsidRDefault="00473EA7" w:rsidP="00473EA7">
      <w:pPr>
        <w:spacing w:line="260" w:lineRule="exact"/>
        <w:jc w:val="both"/>
        <w:rPr>
          <w:color w:val="000000"/>
          <w:szCs w:val="20"/>
        </w:rPr>
      </w:pPr>
      <w:r>
        <w:rPr>
          <w:color w:val="000000"/>
        </w:rPr>
        <w:t xml:space="preserve">Ustanovení tohoto zákona se nevztahují na výrobky, které jsou v souladu s vnitrostátními právními předpisy zajišťujícími rovnocennou úroveň ochrany veřejného zájmu, jak je definována v právních předpisech Republiky Slovinsko, v souladu s právními předpisy vyráběny nebo uváděny na trh v jiných členských státech Evropské unie a v Turecku nebo jsou vyráběny v zemích Evropského sdružení volného obchodu (ESVO), které jsou rovněž signatáři Dohody o Evropském hospodářském prostoru.</w:t>
      </w:r>
    </w:p>
    <w:p w14:paraId="5A2D7CE0" w14:textId="77777777" w:rsidR="00473EA7" w:rsidRPr="00473EA7" w:rsidRDefault="00473EA7" w:rsidP="00473EA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1C9E2ACD" w14:textId="4C094B75" w:rsidR="00473EA7" w:rsidRDefault="00473EA7" w:rsidP="00473EA7">
      <w:pPr>
        <w:spacing w:line="260" w:lineRule="exact"/>
        <w:jc w:val="both"/>
        <w:rPr>
          <w:color w:val="000000"/>
          <w:szCs w:val="20"/>
        </w:rPr>
      </w:pPr>
      <w:r>
        <w:rPr>
          <w:color w:val="000000"/>
        </w:rPr>
        <w:t xml:space="preserve">Tento zákon se provádí v souladu s nařízením Evropského parlamentu a Rady (ES) č. 764/2008 ze dne 9. července 2008, kterým se stanoví postupy týkající se uplatňování některých vnitrostátních technických pravidel u výrobků uvedených v souladu s právními předpisy na trh v jiném členském státě a kterým se zrušuje rozhodnutí č. 3052/95/ES (Úř. věst. L 218, 13.</w:t>
      </w:r>
      <w:r>
        <w:rPr>
          <w:color w:val="000000"/>
        </w:rPr>
        <w:t xml:space="preserve"> </w:t>
      </w:r>
      <w:r>
        <w:rPr>
          <w:color w:val="000000"/>
        </w:rPr>
        <w:t xml:space="preserve">8.</w:t>
      </w:r>
      <w:r>
        <w:rPr>
          <w:color w:val="000000"/>
        </w:rPr>
        <w:t xml:space="preserve"> </w:t>
      </w:r>
      <w:r>
        <w:rPr>
          <w:color w:val="000000"/>
        </w:rPr>
        <w:t xml:space="preserve">2008, s. 21).“.</w:t>
      </w:r>
    </w:p>
    <w:p w14:paraId="1BA0A0F9" w14:textId="77777777" w:rsidR="0065179E" w:rsidRDefault="0065179E" w:rsidP="00473EA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7FB68D30" w14:textId="1B5253E9" w:rsidR="00473EA7" w:rsidRDefault="00473EA7" w:rsidP="00473EA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4069D155" w14:textId="77777777" w:rsidR="00473EA7" w:rsidRPr="00473EA7" w:rsidRDefault="00473EA7" w:rsidP="00473EA7">
      <w:pPr>
        <w:pStyle w:val="Odstavekseznama"/>
        <w:numPr>
          <w:ilvl w:val="0"/>
          <w:numId w:val="1"/>
        </w:numPr>
        <w:spacing w:line="260" w:lineRule="exact"/>
        <w:jc w:val="center"/>
        <w:rPr>
          <w:color w:val="000000"/>
          <w:szCs w:val="20"/>
          <w:lang w:val="sl-SI" w:eastAsia="sl-SI"/>
        </w:rPr>
      </w:pPr>
    </w:p>
    <w:p w14:paraId="2D940554" w14:textId="661FCA10" w:rsidR="00473EA7" w:rsidRDefault="00473EA7" w:rsidP="00473EA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12AAD8FE" w14:textId="29F01C2B" w:rsidR="004C79C7" w:rsidRDefault="00473EA7" w:rsidP="004C79C7">
      <w:pPr>
        <w:spacing w:line="260" w:lineRule="exact"/>
        <w:jc w:val="both"/>
        <w:rPr>
          <w:color w:val="000000"/>
          <w:szCs w:val="20"/>
        </w:rPr>
      </w:pPr>
      <w:r>
        <w:rPr>
          <w:color w:val="000000"/>
        </w:rPr>
        <w:t xml:space="preserve">V čl. 3 odst. 3 bodě 7 se slovo „jeho“ nahrazuje slovem „jejich“.</w:t>
      </w:r>
      <w:r>
        <w:rPr>
          <w:color w:val="000000"/>
        </w:rPr>
        <w:t xml:space="preserve"> </w:t>
      </w:r>
    </w:p>
    <w:p w14:paraId="3F53542D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43360EFB" w14:textId="77777777" w:rsidR="004C79C7" w:rsidRPr="004250D2" w:rsidRDefault="004C79C7" w:rsidP="004C79C7">
      <w:pPr>
        <w:spacing w:line="260" w:lineRule="exact"/>
        <w:jc w:val="both"/>
        <w:rPr>
          <w:color w:val="000000"/>
          <w:szCs w:val="20"/>
        </w:rPr>
      </w:pPr>
      <w:r>
        <w:rPr>
          <w:color w:val="000000"/>
        </w:rPr>
        <w:t xml:space="preserve">Odstavec 5 se mění takto:</w:t>
      </w:r>
    </w:p>
    <w:p w14:paraId="0BE98888" w14:textId="77777777" w:rsidR="004C79C7" w:rsidRPr="004250D2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1927789D" w14:textId="77777777" w:rsidR="004C79C7" w:rsidRPr="004250D2" w:rsidRDefault="004C79C7" w:rsidP="004C79C7">
      <w:pPr>
        <w:spacing w:line="260" w:lineRule="exact"/>
        <w:jc w:val="both"/>
        <w:rPr>
          <w:color w:val="000000"/>
          <w:szCs w:val="20"/>
        </w:rPr>
      </w:pPr>
      <w:r>
        <w:rPr>
          <w:color w:val="000000"/>
        </w:rPr>
        <w:t xml:space="preserve">„Na území Republiky Slovinsko může nejvýše pět pořadatelů pořádat klasické hazardní hry a sázení a vláda může udělit maximálně 15 koncesí na pořádání zvláštních hazardních her v kasinech a maximálně 45 koncesí na pořádání zvláštních hazardních her v hernách.“.</w:t>
      </w:r>
    </w:p>
    <w:p w14:paraId="1A4AE326" w14:textId="77777777" w:rsidR="004C79C7" w:rsidRPr="004250D2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45F8E08D" w14:textId="77777777" w:rsidR="004C79C7" w:rsidRPr="004250D2" w:rsidRDefault="004C79C7" w:rsidP="004C79C7">
      <w:pPr>
        <w:spacing w:line="260" w:lineRule="exact"/>
        <w:jc w:val="both"/>
        <w:rPr>
          <w:color w:val="000000"/>
          <w:szCs w:val="20"/>
        </w:rPr>
      </w:pPr>
      <w:r>
        <w:t xml:space="preserve">V odstavci 6 se za slovo „her“ vkládá slovo „a sázení“.</w:t>
      </w:r>
    </w:p>
    <w:p w14:paraId="77CB6074" w14:textId="77777777" w:rsidR="004C79C7" w:rsidRPr="004250D2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50403D2C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4B77A4B7" w14:textId="77777777" w:rsidR="004C79C7" w:rsidRDefault="004C79C7" w:rsidP="004C79C7">
      <w:pPr>
        <w:numPr>
          <w:ilvl w:val="0"/>
          <w:numId w:val="1"/>
        </w:numPr>
        <w:spacing w:after="160" w:line="260" w:lineRule="exact"/>
        <w:contextualSpacing/>
        <w:jc w:val="center"/>
      </w:pPr>
      <w:r>
        <w:rPr>
          <w:color w:val="000000"/>
        </w:rPr>
        <w:t xml:space="preserve">Článek</w:t>
      </w:r>
    </w:p>
    <w:p w14:paraId="47F6D141" w14:textId="77777777" w:rsidR="004C79C7" w:rsidRDefault="004C79C7" w:rsidP="004C79C7">
      <w:pPr>
        <w:spacing w:line="260" w:lineRule="exact"/>
        <w:jc w:val="center"/>
        <w:rPr>
          <w:color w:val="000000"/>
          <w:szCs w:val="20"/>
          <w:lang w:val="sl-SI" w:eastAsia="sl-SI"/>
        </w:rPr>
      </w:pPr>
    </w:p>
    <w:p w14:paraId="62C67D1C" w14:textId="77777777" w:rsidR="004C79C7" w:rsidRPr="004250D2" w:rsidRDefault="004C79C7" w:rsidP="004C79C7">
      <w:pPr>
        <w:spacing w:line="260" w:lineRule="exact"/>
        <w:jc w:val="both"/>
        <w:rPr>
          <w:color w:val="000000"/>
          <w:szCs w:val="20"/>
        </w:rPr>
      </w:pPr>
      <w:r>
        <w:rPr>
          <w:color w:val="000000"/>
        </w:rPr>
        <w:t xml:space="preserve">V čl. 3.a odst. 1 se za slova „pořádání klasických hazardních her“ vkládá slovo </w:t>
      </w:r>
      <w:r>
        <w:t xml:space="preserve">„sázení“.</w:t>
      </w:r>
    </w:p>
    <w:p w14:paraId="73BA747C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5313A6AB" w14:textId="77777777" w:rsidR="004C79C7" w:rsidRPr="004250D2" w:rsidRDefault="004C79C7" w:rsidP="004C79C7">
      <w:pPr>
        <w:spacing w:line="260" w:lineRule="exact"/>
        <w:jc w:val="both"/>
        <w:rPr>
          <w:color w:val="000000"/>
          <w:szCs w:val="20"/>
        </w:rPr>
      </w:pPr>
      <w:r>
        <w:rPr>
          <w:color w:val="000000"/>
        </w:rPr>
        <w:t xml:space="preserve">Odstavec 2 se mění a dostává toto znění:</w:t>
      </w:r>
      <w:r>
        <w:rPr>
          <w:color w:val="000000"/>
        </w:rPr>
        <w:t xml:space="preserve"> </w:t>
      </w:r>
    </w:p>
    <w:p w14:paraId="33EDBE12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42A18B1C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4A629174" w14:textId="77777777" w:rsidR="004C79C7" w:rsidRPr="004250D2" w:rsidRDefault="004C79C7" w:rsidP="004C79C7">
      <w:pPr>
        <w:spacing w:line="260" w:lineRule="exact"/>
        <w:jc w:val="both"/>
        <w:rPr>
          <w:color w:val="000000"/>
          <w:szCs w:val="20"/>
        </w:rPr>
      </w:pPr>
      <w:r>
        <w:rPr>
          <w:color w:val="000000"/>
        </w:rPr>
        <w:t xml:space="preserve">„Společnosti uvedené v prvním a druhém odstavci tohoto článku musí propojit informační systém, v němž pořádají on-line sázení nebo on-line hazardní hry, s informačním systémem Finanční správy Republiky Slovinsko (dále jen „orgán dohledu“) a poskytuje mu přístup k programům, údajům a systémovým záznamům a získá povolení orgánu dohledu zahájit pořádání on-line sázení nebo on-line her“.</w:t>
      </w:r>
    </w:p>
    <w:p w14:paraId="4272F8A4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4FB97BD3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19D03C19" w14:textId="77777777" w:rsidR="004C79C7" w:rsidRPr="004250D2" w:rsidRDefault="004C79C7" w:rsidP="004C79C7">
      <w:pPr>
        <w:pStyle w:val="Odstavekseznama"/>
        <w:numPr>
          <w:ilvl w:val="0"/>
          <w:numId w:val="1"/>
        </w:numPr>
        <w:spacing w:line="260" w:lineRule="exact"/>
        <w:jc w:val="center"/>
      </w:pPr>
      <w:r>
        <w:t xml:space="preserve">Článek</w:t>
      </w:r>
    </w:p>
    <w:p w14:paraId="649E5AE1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2A1154BD" w14:textId="77777777" w:rsidR="004C79C7" w:rsidRDefault="004C79C7" w:rsidP="004C79C7">
      <w:pPr>
        <w:spacing w:line="260" w:lineRule="exact"/>
        <w:jc w:val="both"/>
        <w:rPr>
          <w:color w:val="000000"/>
          <w:szCs w:val="20"/>
        </w:rPr>
      </w:pPr>
      <w:r>
        <w:rPr>
          <w:color w:val="000000"/>
        </w:rPr>
        <w:t xml:space="preserve">V článku 10 se slova „sportovní sázení“ nahrazují slovem „sázení“.</w:t>
      </w:r>
    </w:p>
    <w:p w14:paraId="75EC98D2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10AF990B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3B8EEC13" w14:textId="77777777" w:rsidR="004C79C7" w:rsidRPr="003E39CE" w:rsidRDefault="004C79C7" w:rsidP="004C79C7">
      <w:pPr>
        <w:pStyle w:val="Odstavekseznama"/>
        <w:numPr>
          <w:ilvl w:val="0"/>
          <w:numId w:val="1"/>
        </w:numPr>
        <w:spacing w:line="260" w:lineRule="exact"/>
        <w:jc w:val="center"/>
      </w:pPr>
      <w:r>
        <w:t xml:space="preserve">Článek</w:t>
      </w:r>
    </w:p>
    <w:p w14:paraId="75036DC4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1F96E261" w14:textId="77777777" w:rsidR="004C79C7" w:rsidRPr="007963D0" w:rsidRDefault="004C79C7" w:rsidP="004C79C7">
      <w:pPr>
        <w:spacing w:line="260" w:lineRule="exact"/>
        <w:jc w:val="both"/>
        <w:rPr>
          <w:szCs w:val="20"/>
        </w:rPr>
      </w:pPr>
      <w:r>
        <w:t xml:space="preserve">V článku 11 se za slovo „her“ vkládají slova „a sázení“.</w:t>
      </w:r>
    </w:p>
    <w:p w14:paraId="7A77658C" w14:textId="77777777" w:rsidR="004C79C7" w:rsidRPr="00D377C7" w:rsidRDefault="004C79C7" w:rsidP="004C79C7">
      <w:pPr>
        <w:spacing w:line="260" w:lineRule="exact"/>
        <w:jc w:val="both"/>
        <w:rPr>
          <w:color w:val="FF0000"/>
          <w:szCs w:val="20"/>
          <w:lang w:val="sl-SI" w:eastAsia="sl-SI"/>
        </w:rPr>
      </w:pPr>
    </w:p>
    <w:p w14:paraId="517FA28C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288BA3E9" w14:textId="77777777" w:rsidR="004C79C7" w:rsidRPr="003E39CE" w:rsidRDefault="004C79C7" w:rsidP="004C79C7">
      <w:pPr>
        <w:pStyle w:val="Odstavekseznama"/>
        <w:numPr>
          <w:ilvl w:val="0"/>
          <w:numId w:val="1"/>
        </w:numPr>
        <w:spacing w:line="260" w:lineRule="exact"/>
        <w:jc w:val="center"/>
        <w:rPr>
          <w:color w:val="000000"/>
          <w:szCs w:val="20"/>
        </w:rPr>
      </w:pPr>
      <w:r>
        <w:rPr>
          <w:color w:val="000000"/>
        </w:rPr>
        <w:t xml:space="preserve">Článek</w:t>
      </w:r>
    </w:p>
    <w:p w14:paraId="101BED53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1A6C4E2A" w14:textId="77777777" w:rsidR="004C79C7" w:rsidRDefault="004C79C7" w:rsidP="004C79C7">
      <w:pPr>
        <w:spacing w:line="260" w:lineRule="exact"/>
        <w:jc w:val="both"/>
        <w:rPr>
          <w:color w:val="000000"/>
          <w:szCs w:val="20"/>
        </w:rPr>
      </w:pPr>
      <w:r>
        <w:rPr>
          <w:color w:val="000000"/>
        </w:rPr>
        <w:t xml:space="preserve">Článek 15 se zrušuje.</w:t>
      </w:r>
    </w:p>
    <w:p w14:paraId="47FF5FE6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2B0ECEB3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721C8230" w14:textId="77777777" w:rsidR="004C79C7" w:rsidRPr="003E39CE" w:rsidRDefault="004C79C7" w:rsidP="004C79C7">
      <w:pPr>
        <w:pStyle w:val="Odstavekseznama"/>
        <w:numPr>
          <w:ilvl w:val="0"/>
          <w:numId w:val="1"/>
        </w:numPr>
        <w:spacing w:line="260" w:lineRule="exact"/>
        <w:jc w:val="center"/>
        <w:rPr>
          <w:color w:val="000000"/>
          <w:szCs w:val="20"/>
        </w:rPr>
      </w:pPr>
      <w:r>
        <w:rPr>
          <w:color w:val="000000"/>
        </w:rPr>
        <w:t xml:space="preserve">Článek</w:t>
      </w:r>
    </w:p>
    <w:p w14:paraId="4ABB717C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13FD7A3E" w14:textId="77777777" w:rsidR="004C79C7" w:rsidRPr="003E39CE" w:rsidRDefault="004C79C7" w:rsidP="004C79C7">
      <w:pPr>
        <w:spacing w:line="260" w:lineRule="exact"/>
        <w:jc w:val="both"/>
        <w:rPr>
          <w:color w:val="000000"/>
          <w:szCs w:val="20"/>
        </w:rPr>
      </w:pPr>
      <w:r>
        <w:rPr>
          <w:color w:val="000000"/>
        </w:rPr>
        <w:t xml:space="preserve">Článek 30 se mění a dostává toto znění:</w:t>
      </w:r>
    </w:p>
    <w:p w14:paraId="7E4747FA" w14:textId="77777777" w:rsidR="004C79C7" w:rsidRPr="003E39CE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0FA14F83" w14:textId="77777777" w:rsidR="004C79C7" w:rsidRPr="003E39CE" w:rsidRDefault="004C79C7" w:rsidP="004C79C7">
      <w:pPr>
        <w:spacing w:line="260" w:lineRule="exact"/>
        <w:jc w:val="both"/>
        <w:rPr>
          <w:color w:val="000000"/>
          <w:szCs w:val="20"/>
        </w:rPr>
      </w:pPr>
      <w:r>
        <w:t xml:space="preserve">„Klasické hazardní hry a sázení mohou být v rámci své podnikatelské činnosti pořádány společností, která má sídlo v Republice Slovinsko a které byla udělena koncese.</w:t>
      </w:r>
    </w:p>
    <w:p w14:paraId="3A741AA6" w14:textId="77777777" w:rsidR="004C79C7" w:rsidRPr="003E39CE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132F25C7" w14:textId="77777777" w:rsidR="004C79C7" w:rsidRDefault="004C79C7" w:rsidP="004C79C7">
      <w:pPr>
        <w:spacing w:line="260" w:lineRule="exact"/>
        <w:jc w:val="both"/>
        <w:rPr>
          <w:color w:val="000000"/>
          <w:szCs w:val="20"/>
        </w:rPr>
      </w:pPr>
      <w:r>
        <w:t xml:space="preserve">Pořadatel může ve spolupráci se zahraničními pořadateli hazardních her, kteří mají povolení příslušného orgánu své země, pořádat klasickou hazardní hru a sázení.“.</w:t>
      </w:r>
    </w:p>
    <w:p w14:paraId="12C9041C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44AF5E38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16BE5F17" w14:textId="77777777" w:rsidR="004C79C7" w:rsidRPr="00805D43" w:rsidRDefault="004C79C7" w:rsidP="004C79C7">
      <w:pPr>
        <w:pStyle w:val="Odstavekseznama"/>
        <w:numPr>
          <w:ilvl w:val="0"/>
          <w:numId w:val="1"/>
        </w:numPr>
        <w:spacing w:line="260" w:lineRule="exact"/>
        <w:jc w:val="center"/>
        <w:rPr>
          <w:color w:val="000000"/>
          <w:szCs w:val="20"/>
        </w:rPr>
      </w:pPr>
      <w:r>
        <w:rPr>
          <w:color w:val="000000"/>
        </w:rPr>
        <w:t xml:space="preserve">Článek</w:t>
      </w:r>
    </w:p>
    <w:p w14:paraId="2052B98B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20A4C837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6CA19ABA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0EB9CCFB" w14:textId="77777777" w:rsidR="004C79C7" w:rsidRPr="007963D0" w:rsidRDefault="004C79C7" w:rsidP="004C79C7">
      <w:pPr>
        <w:spacing w:line="260" w:lineRule="exact"/>
        <w:jc w:val="both"/>
        <w:rPr>
          <w:color w:val="000000"/>
          <w:szCs w:val="20"/>
        </w:rPr>
      </w:pPr>
      <w:r>
        <w:rPr>
          <w:color w:val="000000"/>
        </w:rPr>
        <w:t xml:space="preserve">Článek 36 se mění a dostává toto znění:</w:t>
      </w:r>
    </w:p>
    <w:p w14:paraId="08F972F5" w14:textId="77777777" w:rsidR="004C79C7" w:rsidRPr="007963D0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64BBD633" w14:textId="77777777" w:rsidR="004C79C7" w:rsidRPr="007963D0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15156162" w14:textId="77777777" w:rsidR="004C79C7" w:rsidRPr="007963D0" w:rsidRDefault="004C79C7" w:rsidP="004C79C7">
      <w:pPr>
        <w:spacing w:line="260" w:lineRule="exact"/>
        <w:jc w:val="both"/>
        <w:rPr>
          <w:color w:val="000000"/>
          <w:szCs w:val="20"/>
        </w:rPr>
      </w:pPr>
      <w:r>
        <w:rPr>
          <w:color w:val="000000"/>
        </w:rPr>
        <w:t xml:space="preserve">„Koncese na pořádání klasických hazardních her a sázení se uděluje rozhodnutím vlády na základě veřejného nabídkového řízení zveřejněného ministerstvem financí a koncesní smlouvu s pořadatelem uzavře ministr odpovědný za financování do 45 dnů od udělení koncese.</w:t>
      </w:r>
    </w:p>
    <w:p w14:paraId="7045B3EE" w14:textId="77777777" w:rsidR="004C79C7" w:rsidRPr="007963D0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3D14AEAB" w14:textId="77777777" w:rsidR="004C79C7" w:rsidRDefault="004C79C7" w:rsidP="004C79C7">
      <w:pPr>
        <w:spacing w:line="260" w:lineRule="exact"/>
        <w:jc w:val="both"/>
        <w:rPr>
          <w:color w:val="000000"/>
          <w:szCs w:val="20"/>
        </w:rPr>
      </w:pPr>
      <w:r>
        <w:rPr>
          <w:color w:val="000000"/>
        </w:rPr>
        <w:t xml:space="preserve">Vláda rozhodne o udělení koncese nejpozději do čtyř měsíců od ukončení nabídkového řízení uvedeného v předchozím odstavci.</w:t>
      </w:r>
    </w:p>
    <w:p w14:paraId="5D7D9DAD" w14:textId="77777777" w:rsidR="004C79C7" w:rsidRPr="007963D0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3716E198" w14:textId="77777777" w:rsidR="004C79C7" w:rsidRDefault="004C79C7" w:rsidP="004C79C7">
      <w:pPr>
        <w:spacing w:line="260" w:lineRule="exact"/>
        <w:jc w:val="both"/>
        <w:rPr>
          <w:color w:val="000000"/>
          <w:szCs w:val="20"/>
        </w:rPr>
      </w:pPr>
      <w:r>
        <w:rPr>
          <w:color w:val="000000"/>
        </w:rPr>
        <w:t xml:space="preserve">Ministerstvo odpovědné za finance zveřejní veřejné nabídkové řízení na udělení koncese uvedené v tomto článku nejméně třikrát ročně.“.</w:t>
      </w:r>
    </w:p>
    <w:p w14:paraId="03D965B4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461F69EE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3E2FAA80" w14:textId="77777777" w:rsidR="004C79C7" w:rsidRPr="00805D43" w:rsidRDefault="004C79C7" w:rsidP="004C79C7">
      <w:pPr>
        <w:pStyle w:val="Odstavekseznama"/>
        <w:numPr>
          <w:ilvl w:val="0"/>
          <w:numId w:val="1"/>
        </w:numPr>
        <w:spacing w:line="260" w:lineRule="exact"/>
        <w:jc w:val="center"/>
        <w:rPr>
          <w:color w:val="000000"/>
          <w:szCs w:val="20"/>
        </w:rPr>
      </w:pPr>
      <w:r>
        <w:rPr>
          <w:color w:val="000000"/>
        </w:rPr>
        <w:t xml:space="preserve">Článek</w:t>
      </w:r>
    </w:p>
    <w:p w14:paraId="45ACBE93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0F17F196" w14:textId="77777777" w:rsidR="004C79C7" w:rsidRDefault="004C79C7" w:rsidP="004C79C7">
      <w:pPr>
        <w:spacing w:line="260" w:lineRule="exact"/>
        <w:jc w:val="both"/>
        <w:rPr>
          <w:color w:val="000000"/>
          <w:szCs w:val="20"/>
        </w:rPr>
      </w:pPr>
      <w:r>
        <w:rPr>
          <w:color w:val="000000"/>
        </w:rPr>
        <w:t xml:space="preserve">Článek 37 se zrušuje.</w:t>
      </w:r>
    </w:p>
    <w:p w14:paraId="249BB55A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0488F778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158A6BCC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7A56233C" w14:textId="77777777" w:rsidR="004C79C7" w:rsidRDefault="004C79C7" w:rsidP="004C79C7">
      <w:pPr>
        <w:numPr>
          <w:ilvl w:val="0"/>
          <w:numId w:val="1"/>
        </w:numPr>
        <w:spacing w:after="160" w:line="260" w:lineRule="exact"/>
        <w:contextualSpacing/>
        <w:jc w:val="center"/>
      </w:pPr>
      <w:r>
        <w:rPr>
          <w:color w:val="000000"/>
        </w:rPr>
        <w:t xml:space="preserve">Článek</w:t>
      </w:r>
    </w:p>
    <w:p w14:paraId="5592A27E" w14:textId="77777777" w:rsidR="004C79C7" w:rsidRDefault="004C79C7" w:rsidP="004C79C7">
      <w:pPr>
        <w:spacing w:line="260" w:lineRule="exact"/>
        <w:ind w:left="720"/>
        <w:contextualSpacing/>
        <w:rPr>
          <w:color w:val="000000"/>
          <w:szCs w:val="20"/>
          <w:lang w:val="sl-SI" w:eastAsia="sl-SI"/>
        </w:rPr>
      </w:pPr>
    </w:p>
    <w:p w14:paraId="7570929D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7AB57EE0" w14:textId="77777777" w:rsidR="004C79C7" w:rsidRPr="000A6261" w:rsidRDefault="004C79C7" w:rsidP="004C79C7">
      <w:pPr>
        <w:spacing w:line="260" w:lineRule="exact"/>
        <w:jc w:val="both"/>
      </w:pPr>
      <w:r>
        <w:rPr>
          <w:color w:val="000000"/>
        </w:rPr>
        <w:t xml:space="preserve">V čl. 40 odst. 1 se slovo „daňový“ nahrazuje slovem „dozorčí“.</w:t>
      </w:r>
    </w:p>
    <w:p w14:paraId="1FD162AB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3EC3075F" w14:textId="77777777" w:rsidR="004C79C7" w:rsidRDefault="004C79C7" w:rsidP="004C79C7">
      <w:pPr>
        <w:spacing w:line="260" w:lineRule="exact"/>
        <w:jc w:val="both"/>
        <w:rPr>
          <w:color w:val="000000"/>
          <w:szCs w:val="20"/>
        </w:rPr>
      </w:pPr>
      <w:r>
        <w:rPr>
          <w:color w:val="000000"/>
        </w:rPr>
        <w:t xml:space="preserve">Odstavec 4 se mění a dostává toto znění:</w:t>
      </w:r>
    </w:p>
    <w:p w14:paraId="5AFEABC4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77105963" w14:textId="77777777" w:rsidR="004C79C7" w:rsidRDefault="004C79C7" w:rsidP="004C79C7">
      <w:pPr>
        <w:spacing w:line="260" w:lineRule="exact"/>
        <w:jc w:val="both"/>
        <w:rPr>
          <w:color w:val="000000"/>
          <w:szCs w:val="20"/>
        </w:rPr>
      </w:pPr>
      <w:bookmarkStart w:id="1" w:name="_Hlk72851335"/>
      <w:r>
        <w:rPr>
          <w:color w:val="000000"/>
        </w:rPr>
        <w:t xml:space="preserve">„Základ pro úhradu koncesního poplatku se stanoví měsíčně.</w:t>
      </w:r>
      <w:r>
        <w:rPr>
          <w:color w:val="000000"/>
        </w:rPr>
        <w:t xml:space="preserve"> </w:t>
      </w:r>
      <w:r>
        <w:rPr>
          <w:color w:val="000000"/>
        </w:rPr>
        <w:t xml:space="preserve">Z tohoto důvodu je pořadatel povinen vypočítat a uhradit koncesní poplatek v procentech stanovených vládou v rozhodnutí o udělení koncese, která nesmí být nižší než 5 %, do pěti pracovních dnů od konce měsíce za předchozí měsíc.“.</w:t>
      </w:r>
    </w:p>
    <w:p w14:paraId="49422D57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0AD23E8C" w14:textId="77777777" w:rsidR="004C79C7" w:rsidRPr="00EC0BA5" w:rsidRDefault="004C79C7" w:rsidP="004C79C7">
      <w:pPr>
        <w:spacing w:line="260" w:lineRule="exact"/>
        <w:jc w:val="both"/>
        <w:rPr>
          <w:color w:val="000000"/>
          <w:szCs w:val="20"/>
        </w:rPr>
      </w:pPr>
      <w:r>
        <w:rPr>
          <w:color w:val="000000"/>
        </w:rPr>
        <w:t xml:space="preserve">Doplňuje se nový odstavec 5, který zní:</w:t>
      </w:r>
    </w:p>
    <w:p w14:paraId="3EB62F77" w14:textId="77777777" w:rsidR="004C79C7" w:rsidRPr="00EC0BA5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6E47C151" w14:textId="77777777" w:rsidR="004C79C7" w:rsidRPr="00EC0BA5" w:rsidRDefault="004C79C7" w:rsidP="004C79C7">
      <w:pPr>
        <w:spacing w:line="260" w:lineRule="exact"/>
        <w:jc w:val="both"/>
        <w:rPr>
          <w:color w:val="000000"/>
          <w:szCs w:val="20"/>
        </w:rPr>
      </w:pPr>
      <w:r>
        <w:rPr>
          <w:color w:val="000000"/>
        </w:rPr>
        <w:t xml:space="preserve">„Při stanovení výše koncesního poplatku se berou v úvahu:</w:t>
      </w:r>
    </w:p>
    <w:p w14:paraId="51D03F81" w14:textId="77777777" w:rsidR="004C79C7" w:rsidRPr="00B61486" w:rsidRDefault="004C79C7" w:rsidP="004C79C7">
      <w:pPr>
        <w:pStyle w:val="Odstavekseznama"/>
        <w:numPr>
          <w:ilvl w:val="0"/>
          <w:numId w:val="3"/>
        </w:numPr>
        <w:spacing w:line="260" w:lineRule="exact"/>
        <w:jc w:val="both"/>
        <w:rPr>
          <w:color w:val="000000"/>
          <w:szCs w:val="20"/>
        </w:rPr>
      </w:pPr>
      <w:r>
        <w:rPr>
          <w:color w:val="000000"/>
        </w:rPr>
        <w:t xml:space="preserve">finanční odhad pro konkrétní klasickou hazardní hru;</w:t>
      </w:r>
      <w:r>
        <w:rPr>
          <w:color w:val="000000"/>
        </w:rPr>
        <w:t xml:space="preserve"> </w:t>
      </w:r>
    </w:p>
    <w:p w14:paraId="3D21141A" w14:textId="77777777" w:rsidR="004C79C7" w:rsidRDefault="004C79C7" w:rsidP="004C79C7">
      <w:pPr>
        <w:pStyle w:val="Odstavekseznama"/>
        <w:numPr>
          <w:ilvl w:val="0"/>
          <w:numId w:val="3"/>
        </w:numPr>
        <w:spacing w:line="260" w:lineRule="exact"/>
        <w:jc w:val="both"/>
        <w:rPr>
          <w:color w:val="000000"/>
          <w:szCs w:val="20"/>
        </w:rPr>
      </w:pPr>
      <w:r>
        <w:rPr>
          <w:color w:val="000000"/>
        </w:rPr>
        <w:t xml:space="preserve">finanční výsledek pořadatele za předchozí období a výše koncesního poplatku za ostatní klasické hry;</w:t>
      </w:r>
      <w:r>
        <w:rPr>
          <w:color w:val="000000"/>
        </w:rPr>
        <w:t xml:space="preserve"> </w:t>
      </w:r>
      <w:r>
        <w:rPr>
          <w:color w:val="000000"/>
        </w:rPr>
        <w:t xml:space="preserve">a</w:t>
      </w:r>
    </w:p>
    <w:p w14:paraId="390CF3ED" w14:textId="77777777" w:rsidR="004C79C7" w:rsidRDefault="004C79C7" w:rsidP="004C79C7">
      <w:pPr>
        <w:pStyle w:val="Odstavekseznama"/>
        <w:numPr>
          <w:ilvl w:val="0"/>
          <w:numId w:val="3"/>
        </w:numPr>
        <w:spacing w:line="260" w:lineRule="exact"/>
        <w:jc w:val="both"/>
        <w:rPr>
          <w:color w:val="000000"/>
          <w:szCs w:val="20"/>
        </w:rPr>
      </w:pPr>
      <w:r>
        <w:rPr>
          <w:color w:val="000000"/>
        </w:rPr>
        <w:t xml:space="preserve">možný dopad na financování organizací zabývajících se zdravotním postižením, humanitárních a sportovních organizací.“.</w:t>
      </w:r>
    </w:p>
    <w:p w14:paraId="40F693B4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bookmarkEnd w:id="1"/>
    <w:p w14:paraId="4E8D3A9B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1B0E1A76" w14:textId="77777777" w:rsidR="004C79C7" w:rsidRPr="008B7803" w:rsidRDefault="004C79C7" w:rsidP="004C79C7">
      <w:pPr>
        <w:pStyle w:val="Odstavekseznama"/>
        <w:numPr>
          <w:ilvl w:val="0"/>
          <w:numId w:val="1"/>
        </w:numPr>
        <w:spacing w:line="260" w:lineRule="exact"/>
        <w:jc w:val="center"/>
      </w:pPr>
      <w:r>
        <w:t xml:space="preserve">Článek</w:t>
      </w:r>
    </w:p>
    <w:p w14:paraId="0719E5A8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078C07C5" w14:textId="77777777" w:rsidR="004C79C7" w:rsidRDefault="004C79C7" w:rsidP="004C79C7">
      <w:pPr>
        <w:spacing w:line="260" w:lineRule="exact"/>
        <w:rPr>
          <w:color w:val="000000"/>
          <w:szCs w:val="20"/>
        </w:rPr>
      </w:pPr>
      <w:r>
        <w:rPr>
          <w:color w:val="000000"/>
        </w:rPr>
        <w:t xml:space="preserve">Článek 42 se mění a dostává toto znění:</w:t>
      </w:r>
    </w:p>
    <w:p w14:paraId="2212CAB7" w14:textId="77777777" w:rsidR="004C79C7" w:rsidRDefault="004C79C7" w:rsidP="004C79C7">
      <w:pPr>
        <w:spacing w:line="260" w:lineRule="exact"/>
        <w:rPr>
          <w:color w:val="000000"/>
          <w:szCs w:val="20"/>
          <w:lang w:val="sl-SI" w:eastAsia="sl-SI"/>
        </w:rPr>
      </w:pPr>
    </w:p>
    <w:p w14:paraId="45F78028" w14:textId="77777777" w:rsidR="004C79C7" w:rsidRDefault="004C79C7" w:rsidP="004C79C7">
      <w:pPr>
        <w:spacing w:line="260" w:lineRule="exact"/>
        <w:rPr>
          <w:color w:val="000000"/>
          <w:szCs w:val="20"/>
        </w:rPr>
      </w:pPr>
      <w:r>
        <w:t xml:space="preserve">„Koncese na pořádání klasických hazardních her a sázení na trvalém základě se uděluje na dobu nejméně tří a nejvýše pěti let a může být prodloužena po uplynutí této doby, a to vždy nejméně o tři a nejvýše pět let.“.</w:t>
      </w:r>
    </w:p>
    <w:p w14:paraId="42FC68C8" w14:textId="77777777" w:rsidR="004C79C7" w:rsidRDefault="004C79C7" w:rsidP="004C79C7">
      <w:pPr>
        <w:spacing w:line="260" w:lineRule="exact"/>
        <w:rPr>
          <w:color w:val="000000"/>
          <w:szCs w:val="20"/>
          <w:lang w:val="sl-SI" w:eastAsia="sl-SI"/>
        </w:rPr>
      </w:pPr>
    </w:p>
    <w:p w14:paraId="684C89DC" w14:textId="77777777" w:rsidR="004C79C7" w:rsidRDefault="004C79C7" w:rsidP="004C79C7">
      <w:pPr>
        <w:spacing w:line="260" w:lineRule="exact"/>
        <w:rPr>
          <w:color w:val="000000"/>
          <w:szCs w:val="20"/>
          <w:lang w:val="sl-SI" w:eastAsia="sl-SI"/>
        </w:rPr>
      </w:pPr>
    </w:p>
    <w:p w14:paraId="5B51A884" w14:textId="77777777" w:rsidR="004C79C7" w:rsidRPr="007963D0" w:rsidRDefault="004C79C7" w:rsidP="004C79C7">
      <w:pPr>
        <w:pStyle w:val="Odstavekseznama"/>
        <w:numPr>
          <w:ilvl w:val="0"/>
          <w:numId w:val="1"/>
        </w:numPr>
        <w:spacing w:line="260" w:lineRule="exact"/>
        <w:jc w:val="center"/>
        <w:rPr>
          <w:szCs w:val="20"/>
        </w:rPr>
      </w:pPr>
      <w:r>
        <w:t xml:space="preserve">Článek</w:t>
      </w:r>
    </w:p>
    <w:p w14:paraId="66BAC9DC" w14:textId="77777777" w:rsidR="004C79C7" w:rsidRDefault="004C79C7" w:rsidP="004C79C7">
      <w:pPr>
        <w:spacing w:line="260" w:lineRule="exact"/>
        <w:rPr>
          <w:color w:val="000000"/>
          <w:szCs w:val="20"/>
          <w:lang w:val="sl-SI" w:eastAsia="sl-SI"/>
        </w:rPr>
      </w:pPr>
    </w:p>
    <w:p w14:paraId="26DEEB11" w14:textId="77777777" w:rsidR="004C79C7" w:rsidRPr="007963D0" w:rsidRDefault="004C79C7" w:rsidP="004C79C7">
      <w:pPr>
        <w:spacing w:line="260" w:lineRule="exact"/>
        <w:rPr>
          <w:szCs w:val="20"/>
        </w:rPr>
      </w:pPr>
      <w:r>
        <w:t xml:space="preserve">V čl. 44 odst. 2 se za slova „klasické hazardní hry“ vkládají slova „a sázení“.</w:t>
      </w:r>
    </w:p>
    <w:p w14:paraId="50ECC577" w14:textId="77777777" w:rsidR="004C79C7" w:rsidRDefault="004C79C7" w:rsidP="004C79C7">
      <w:pPr>
        <w:spacing w:line="260" w:lineRule="exact"/>
        <w:rPr>
          <w:color w:val="000000"/>
          <w:szCs w:val="20"/>
          <w:lang w:val="sl-SI" w:eastAsia="sl-SI"/>
        </w:rPr>
      </w:pPr>
    </w:p>
    <w:p w14:paraId="26603B5A" w14:textId="77777777" w:rsidR="004C79C7" w:rsidRDefault="004C79C7" w:rsidP="004C79C7">
      <w:pPr>
        <w:spacing w:line="260" w:lineRule="exact"/>
        <w:rPr>
          <w:color w:val="000000"/>
          <w:szCs w:val="20"/>
          <w:lang w:val="sl-SI" w:eastAsia="sl-SI"/>
        </w:rPr>
      </w:pPr>
    </w:p>
    <w:p w14:paraId="54D1AC5C" w14:textId="77777777" w:rsidR="004C79C7" w:rsidRPr="00B61486" w:rsidRDefault="004C79C7" w:rsidP="004C79C7">
      <w:pPr>
        <w:pStyle w:val="Odstavekseznama"/>
        <w:numPr>
          <w:ilvl w:val="0"/>
          <w:numId w:val="1"/>
        </w:numPr>
        <w:spacing w:line="260" w:lineRule="exact"/>
        <w:jc w:val="center"/>
        <w:rPr>
          <w:color w:val="000000"/>
          <w:szCs w:val="20"/>
        </w:rPr>
      </w:pPr>
      <w:r>
        <w:rPr>
          <w:color w:val="000000"/>
        </w:rPr>
        <w:t xml:space="preserve">Článek</w:t>
      </w:r>
    </w:p>
    <w:p w14:paraId="0ACE15E6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1F2ACF2E" w14:textId="77777777" w:rsidR="004C79C7" w:rsidRDefault="004C79C7" w:rsidP="004C79C7">
      <w:pPr>
        <w:spacing w:line="260" w:lineRule="exact"/>
        <w:jc w:val="both"/>
        <w:rPr>
          <w:color w:val="000000"/>
          <w:szCs w:val="20"/>
        </w:rPr>
      </w:pPr>
      <w:r>
        <w:rPr>
          <w:color w:val="000000"/>
        </w:rPr>
        <w:t xml:space="preserve">V čl. 46 odst. 2 se zrušují slova „sportovní předpovědi, jiné sportovní sázení a“.</w:t>
      </w:r>
    </w:p>
    <w:p w14:paraId="485ADB25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60960690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7686A045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25BF6EBB" w14:textId="77777777" w:rsidR="004C79C7" w:rsidRPr="00B61486" w:rsidRDefault="004C79C7" w:rsidP="004C79C7">
      <w:pPr>
        <w:pStyle w:val="Odstavekseznama"/>
        <w:numPr>
          <w:ilvl w:val="0"/>
          <w:numId w:val="1"/>
        </w:numPr>
        <w:spacing w:line="260" w:lineRule="exact"/>
        <w:jc w:val="center"/>
        <w:rPr>
          <w:color w:val="000000"/>
          <w:szCs w:val="20"/>
        </w:rPr>
      </w:pPr>
      <w:r>
        <w:rPr>
          <w:color w:val="000000"/>
        </w:rPr>
        <w:t xml:space="preserve">Článek</w:t>
      </w:r>
    </w:p>
    <w:p w14:paraId="3C07B28F" w14:textId="77777777" w:rsidR="004C79C7" w:rsidRPr="003E39CE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0E59DB63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28422ABA" w14:textId="77777777" w:rsidR="004C79C7" w:rsidRPr="003E39CE" w:rsidRDefault="004C79C7" w:rsidP="004C79C7">
      <w:pPr>
        <w:spacing w:line="260" w:lineRule="exact"/>
        <w:jc w:val="both"/>
        <w:rPr>
          <w:color w:val="000000"/>
          <w:szCs w:val="20"/>
        </w:rPr>
      </w:pPr>
      <w:r>
        <w:rPr>
          <w:color w:val="000000"/>
        </w:rPr>
        <w:t xml:space="preserve">Za článek 52 se vkládá nová kapitola s názvem „II.a SÁZKOVÉ SLUŽBY“ a nové články 52a, 52.b, 52c, 52d a 52e, které znějí:</w:t>
      </w:r>
    </w:p>
    <w:p w14:paraId="0D6DD92C" w14:textId="77777777" w:rsidR="004C79C7" w:rsidRPr="003E39CE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4A3117EB" w14:textId="77777777" w:rsidR="004C79C7" w:rsidRPr="003E39CE" w:rsidRDefault="004C79C7" w:rsidP="004C79C7">
      <w:pPr>
        <w:spacing w:line="260" w:lineRule="exact"/>
        <w:jc w:val="center"/>
        <w:rPr>
          <w:color w:val="000000"/>
          <w:szCs w:val="20"/>
        </w:rPr>
      </w:pPr>
      <w:r>
        <w:rPr>
          <w:color w:val="000000"/>
        </w:rPr>
        <w:t xml:space="preserve">„Článek 52.a</w:t>
      </w:r>
    </w:p>
    <w:p w14:paraId="586F6F48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460CFFFD" w14:textId="77777777" w:rsidR="004C79C7" w:rsidRPr="003E39CE" w:rsidRDefault="004C79C7" w:rsidP="004C79C7">
      <w:pPr>
        <w:spacing w:line="260" w:lineRule="exact"/>
        <w:jc w:val="both"/>
        <w:rPr>
          <w:color w:val="000000"/>
          <w:szCs w:val="20"/>
        </w:rPr>
      </w:pPr>
      <w:r>
        <w:rPr>
          <w:color w:val="000000"/>
        </w:rPr>
        <w:t xml:space="preserve">Sázení je druh hazardní hry, ve které mají hráči stejnou šanci na výhru, pokud správně předpovídají výsledek události v budoucnu, a tento výsledek není znám předem žádnému z účastníků a musí být takový, aby jej poskytovatel sázení ani účastníci nemohli ovlivnit.</w:t>
      </w:r>
    </w:p>
    <w:p w14:paraId="7BC556C9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5C9F60F8" w14:textId="77777777" w:rsidR="004C79C7" w:rsidRPr="003E39CE" w:rsidRDefault="004C79C7" w:rsidP="004C79C7">
      <w:pPr>
        <w:spacing w:line="260" w:lineRule="exact"/>
        <w:jc w:val="both"/>
        <w:rPr>
          <w:color w:val="000000"/>
          <w:szCs w:val="20"/>
        </w:rPr>
      </w:pPr>
      <w:r>
        <w:rPr>
          <w:color w:val="000000"/>
        </w:rPr>
        <w:t xml:space="preserve">Sázení nesmí odkazovat na výsledek klasických hazardních her, domácích politických událostí, událostí, které jsou v rozporu s závaznými pravidly, ústavně zaručené ochrany lidské osobnosti, důstojnosti, soukromí a osobních práv a ochrany osobních údajů.</w:t>
      </w:r>
    </w:p>
    <w:p w14:paraId="6957DEFC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6B126207" w14:textId="77777777" w:rsidR="004C79C7" w:rsidRPr="003E39CE" w:rsidRDefault="004C79C7" w:rsidP="004C79C7">
      <w:pPr>
        <w:spacing w:line="260" w:lineRule="exact"/>
        <w:jc w:val="both"/>
        <w:rPr>
          <w:color w:val="000000"/>
          <w:szCs w:val="20"/>
        </w:rPr>
      </w:pPr>
      <w:r>
        <w:rPr>
          <w:color w:val="000000"/>
        </w:rPr>
        <w:t xml:space="preserve">Sázení se mohou účastnit pouze lidé starší 18 let.</w:t>
      </w:r>
    </w:p>
    <w:p w14:paraId="3B47A9BE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4747B9F6" w14:textId="77777777" w:rsidR="004C79C7" w:rsidRDefault="004C79C7" w:rsidP="004C79C7">
      <w:pPr>
        <w:spacing w:line="260" w:lineRule="exact"/>
        <w:jc w:val="both"/>
        <w:rPr>
          <w:color w:val="000000"/>
          <w:szCs w:val="20"/>
        </w:rPr>
      </w:pPr>
      <w:r>
        <w:rPr>
          <w:color w:val="000000"/>
        </w:rPr>
        <w:t xml:space="preserve">Osoba, která přijímá výplatu sázek (dále jen prodávající) musí od jakékoli osoby, u níž se předpokládá, že není starší 18 let, požadovat, aby prokázala svůj věk prostřednictvím dokladu totožnosti.</w:t>
      </w:r>
      <w:r>
        <w:rPr>
          <w:color w:val="000000"/>
        </w:rPr>
        <w:t xml:space="preserve"> </w:t>
      </w:r>
      <w:r>
        <w:rPr>
          <w:color w:val="000000"/>
        </w:rPr>
        <w:t xml:space="preserve">Pokud to osoba odmítne, nesmí prodávající od této osoby přijmout platbu.</w:t>
      </w:r>
      <w:r>
        <w:rPr>
          <w:color w:val="000000"/>
        </w:rPr>
        <w:t xml:space="preserve"> </w:t>
      </w:r>
    </w:p>
    <w:p w14:paraId="25B5E756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4E78A755" w14:textId="77777777" w:rsidR="004C79C7" w:rsidRDefault="004C79C7" w:rsidP="004C79C7">
      <w:pPr>
        <w:spacing w:line="260" w:lineRule="exact"/>
        <w:jc w:val="both"/>
        <w:rPr>
          <w:color w:val="000000"/>
          <w:szCs w:val="20"/>
        </w:rPr>
      </w:pPr>
      <w:r>
        <w:rPr>
          <w:color w:val="000000"/>
        </w:rPr>
        <w:t xml:space="preserve">Pořadatel, který pořádá on-line sázení, musí na první stránce on-line služby uvést:</w:t>
      </w:r>
      <w:r>
        <w:rPr>
          <w:color w:val="000000"/>
        </w:rPr>
        <w:t xml:space="preserve"> </w:t>
      </w:r>
      <w:r>
        <w:rPr>
          <w:color w:val="000000"/>
        </w:rPr>
        <w:t xml:space="preserve">„Hazardní hry nebo sázení jsou povoleny pouze osobám starším 18 let.</w:t>
      </w:r>
      <w:r>
        <w:rPr>
          <w:color w:val="000000"/>
        </w:rPr>
        <w:t xml:space="preserve"> </w:t>
      </w:r>
      <w:r>
        <w:rPr>
          <w:color w:val="000000"/>
        </w:rPr>
        <w:t xml:space="preserve">Hazardní hry mohou být návykové.“</w:t>
      </w:r>
      <w:r>
        <w:rPr>
          <w:color w:val="000000"/>
        </w:rPr>
        <w:t xml:space="preserve"> </w:t>
      </w:r>
      <w:r>
        <w:rPr>
          <w:color w:val="000000"/>
        </w:rPr>
        <w:t xml:space="preserve">Prohlášení musí pokrývat alespoň 5 % velikosti první stránky on-line služby.</w:t>
      </w:r>
    </w:p>
    <w:p w14:paraId="05B84099" w14:textId="77777777" w:rsidR="004C79C7" w:rsidRPr="003E39CE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0892E376" w14:textId="77777777" w:rsidR="004C79C7" w:rsidRPr="003E39CE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062CC9FD" w14:textId="77777777" w:rsidR="004C79C7" w:rsidRPr="003E39CE" w:rsidRDefault="004C79C7" w:rsidP="004C79C7">
      <w:pPr>
        <w:spacing w:line="260" w:lineRule="exact"/>
        <w:jc w:val="center"/>
        <w:rPr>
          <w:color w:val="000000"/>
          <w:szCs w:val="20"/>
        </w:rPr>
      </w:pPr>
      <w:r>
        <w:rPr>
          <w:color w:val="000000"/>
        </w:rPr>
        <w:t xml:space="preserve">Článek 52.b</w:t>
      </w:r>
    </w:p>
    <w:p w14:paraId="7F4D9126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5DC65F61" w14:textId="77777777" w:rsidR="004C79C7" w:rsidRPr="003E39CE" w:rsidRDefault="004C79C7" w:rsidP="004C79C7">
      <w:pPr>
        <w:spacing w:line="260" w:lineRule="exact"/>
        <w:jc w:val="both"/>
        <w:rPr>
          <w:color w:val="000000"/>
          <w:szCs w:val="20"/>
        </w:rPr>
      </w:pPr>
      <w:r>
        <w:rPr>
          <w:color w:val="000000"/>
        </w:rPr>
        <w:t xml:space="preserve">Pouze společnost, která získá koncesi na pořádání sázení v Republice Slovinsko (dále jen pořadatel) může pořádat sázení jako svou obchodní činnost.</w:t>
      </w:r>
    </w:p>
    <w:p w14:paraId="1E4600C1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7E97B0E5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1C6A37A8" w14:textId="77777777" w:rsidR="004C79C7" w:rsidRPr="003E39CE" w:rsidRDefault="004C79C7" w:rsidP="004C79C7">
      <w:pPr>
        <w:spacing w:line="260" w:lineRule="exact"/>
        <w:jc w:val="both"/>
        <w:rPr>
          <w:color w:val="000000"/>
          <w:szCs w:val="20"/>
        </w:rPr>
      </w:pPr>
      <w:r>
        <w:rPr>
          <w:color w:val="000000"/>
        </w:rPr>
        <w:t xml:space="preserve">Minimální výše základního kapitálu pořadatel činí 1 000 000,00 EUR.</w:t>
      </w:r>
    </w:p>
    <w:p w14:paraId="31E5E240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5B259042" w14:textId="77777777" w:rsidR="004C79C7" w:rsidRPr="003E39CE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4B1C1A1A" w14:textId="77777777" w:rsidR="004C79C7" w:rsidRPr="003E39CE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10224764" w14:textId="77777777" w:rsidR="004C79C7" w:rsidRPr="003E39CE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0E19890B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04AB29F1" w14:textId="77777777" w:rsidR="004C79C7" w:rsidRPr="003E39CE" w:rsidRDefault="004C79C7" w:rsidP="004C79C7">
      <w:pPr>
        <w:spacing w:line="260" w:lineRule="exact"/>
        <w:jc w:val="center"/>
        <w:rPr>
          <w:color w:val="000000"/>
          <w:szCs w:val="20"/>
        </w:rPr>
      </w:pPr>
      <w:r>
        <w:rPr>
          <w:color w:val="000000"/>
        </w:rPr>
        <w:t xml:space="preserve">Článek 52.c</w:t>
      </w:r>
    </w:p>
    <w:p w14:paraId="3574A5D8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570B1826" w14:textId="77777777" w:rsidR="004C79C7" w:rsidRDefault="004C79C7" w:rsidP="004C79C7">
      <w:pPr>
        <w:spacing w:line="260" w:lineRule="exact"/>
        <w:jc w:val="both"/>
        <w:rPr>
          <w:color w:val="000000"/>
          <w:szCs w:val="20"/>
        </w:rPr>
      </w:pPr>
      <w:r>
        <w:rPr>
          <w:color w:val="000000"/>
        </w:rPr>
        <w:t xml:space="preserve">Pořadatel sázení musí zaplatit nevratný vstupní poplatek ve výši 500 000 EUR za koncesi udělenou před zahájením sázkové operace.</w:t>
      </w:r>
    </w:p>
    <w:p w14:paraId="5FAA4AFC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230B95F1" w14:textId="77777777" w:rsidR="004C79C7" w:rsidRPr="003E39CE" w:rsidRDefault="004C79C7" w:rsidP="004C79C7">
      <w:pPr>
        <w:spacing w:line="260" w:lineRule="exact"/>
        <w:jc w:val="both"/>
        <w:rPr>
          <w:color w:val="000000"/>
          <w:szCs w:val="20"/>
        </w:rPr>
      </w:pPr>
      <w:r>
        <w:rPr>
          <w:color w:val="000000"/>
        </w:rPr>
        <w:t xml:space="preserve">Částka 80 % nevratného vstupního poplatku pořadatele se vyplatí na bankovní účet nadace pro financování sportovních organizací a 20 % poplatku na bankovní účet nadace pro financování humanitárních organizací a organizací zdravotně postižených.</w:t>
      </w:r>
    </w:p>
    <w:p w14:paraId="0E8403B7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798F29B1" w14:textId="77777777" w:rsidR="004C79C7" w:rsidRDefault="004C79C7" w:rsidP="004C79C7">
      <w:pPr>
        <w:spacing w:line="260" w:lineRule="exact"/>
        <w:jc w:val="both"/>
        <w:rPr>
          <w:color w:val="000000"/>
          <w:szCs w:val="20"/>
        </w:rPr>
      </w:pPr>
      <w:r>
        <w:rPr>
          <w:color w:val="000000"/>
        </w:rPr>
        <w:t xml:space="preserve">Na dodržování povinností pořadatele dohlíží orgán dohledu.</w:t>
      </w:r>
    </w:p>
    <w:p w14:paraId="043F5D92" w14:textId="77777777" w:rsidR="004C79C7" w:rsidRPr="003E39CE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0DF55DAB" w14:textId="77777777" w:rsidR="004C79C7" w:rsidRPr="003E39CE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1917225E" w14:textId="77777777" w:rsidR="004C79C7" w:rsidRPr="003E39CE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278E414C" w14:textId="77777777" w:rsidR="004C79C7" w:rsidRPr="003E39CE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176BCF96" w14:textId="77777777" w:rsidR="004C79C7" w:rsidRPr="003E39CE" w:rsidRDefault="004C79C7" w:rsidP="004C79C7">
      <w:pPr>
        <w:spacing w:line="260" w:lineRule="exact"/>
        <w:jc w:val="center"/>
        <w:rPr>
          <w:color w:val="000000"/>
          <w:szCs w:val="20"/>
        </w:rPr>
      </w:pPr>
      <w:r>
        <w:rPr>
          <w:color w:val="000000"/>
        </w:rPr>
        <w:t xml:space="preserve">Článek 52.d</w:t>
      </w:r>
    </w:p>
    <w:p w14:paraId="1E077234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1EB4FE06" w14:textId="77777777" w:rsidR="004C79C7" w:rsidRPr="003E39CE" w:rsidRDefault="004C79C7" w:rsidP="004C79C7">
      <w:pPr>
        <w:spacing w:line="260" w:lineRule="exact"/>
        <w:jc w:val="both"/>
        <w:rPr>
          <w:color w:val="000000"/>
          <w:szCs w:val="20"/>
        </w:rPr>
      </w:pPr>
      <w:r>
        <w:rPr>
          <w:color w:val="000000"/>
        </w:rPr>
        <w:t xml:space="preserve">80 % finančních prostředků získaných z plateb koncesního poplatku za pořádání sázení se použije na financování činností sportovních organizací a 20 % na financování činností organizací zdravotně postižených a humanitárních organizací.</w:t>
      </w:r>
    </w:p>
    <w:p w14:paraId="2081EA73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330BEF15" w14:textId="77777777" w:rsidR="004C79C7" w:rsidRPr="003E39CE" w:rsidRDefault="004C79C7" w:rsidP="004C79C7">
      <w:pPr>
        <w:spacing w:line="260" w:lineRule="exact"/>
        <w:jc w:val="both"/>
        <w:rPr>
          <w:color w:val="000000"/>
          <w:szCs w:val="20"/>
        </w:rPr>
      </w:pPr>
      <w:r>
        <w:rPr>
          <w:color w:val="000000"/>
        </w:rPr>
        <w:t xml:space="preserve">Koncesní poplatek za sázení používané k financování sportovních organizací se platí na účet Nadace pro financování sportovních organizací v Republice Slovinsko.</w:t>
      </w:r>
    </w:p>
    <w:p w14:paraId="6BDFC009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01D6F715" w14:textId="77777777" w:rsidR="004C79C7" w:rsidRDefault="004C79C7" w:rsidP="004C79C7">
      <w:pPr>
        <w:spacing w:line="260" w:lineRule="exact"/>
        <w:jc w:val="both"/>
        <w:rPr>
          <w:color w:val="000000"/>
          <w:szCs w:val="20"/>
        </w:rPr>
      </w:pPr>
      <w:r>
        <w:rPr>
          <w:color w:val="000000"/>
        </w:rPr>
        <w:t xml:space="preserve">Koncesní poplatek za sázení používané k financování organizací zdravotně postižených a humanitárních organizací se platí na účet Nadace pro financování zdravotně postižených a humanitárních organizací v Republice Slovinsko.</w:t>
      </w:r>
    </w:p>
    <w:p w14:paraId="2ED1A3FE" w14:textId="77777777" w:rsidR="004C79C7" w:rsidRPr="003E39CE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3B8D0611" w14:textId="77777777" w:rsidR="004C79C7" w:rsidRPr="003E39CE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2C2E8CE6" w14:textId="77777777" w:rsidR="004C79C7" w:rsidRPr="003E39CE" w:rsidRDefault="004C79C7" w:rsidP="004C79C7">
      <w:pPr>
        <w:spacing w:line="260" w:lineRule="exact"/>
        <w:jc w:val="center"/>
        <w:rPr>
          <w:color w:val="000000"/>
          <w:szCs w:val="20"/>
        </w:rPr>
      </w:pPr>
      <w:r>
        <w:rPr>
          <w:color w:val="000000"/>
        </w:rPr>
        <w:t xml:space="preserve">Článek 52.e</w:t>
      </w:r>
    </w:p>
    <w:p w14:paraId="10E01B6A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00886C68" w14:textId="77777777" w:rsidR="004C79C7" w:rsidRDefault="004C79C7" w:rsidP="004C79C7">
      <w:pPr>
        <w:spacing w:line="260" w:lineRule="exact"/>
        <w:jc w:val="both"/>
        <w:rPr>
          <w:color w:val="000000"/>
          <w:szCs w:val="20"/>
        </w:rPr>
      </w:pPr>
      <w:r>
        <w:rPr>
          <w:color w:val="000000"/>
        </w:rPr>
        <w:t xml:space="preserve">Bez ohledu na čl. 52 písm. b) tohoto zákona může za účelem rozvoje chovu závodních koní a jezdeckého sportu, sdružení nebo neziskové humanitární organizace se sídlem v Republice Slovinsko a pořádající jezdecké soutěže pořádat v souvislosti s těmito soutěžemi sázení v souladu s ustanoveními zákona o chovu hospodářských zvířat, a to až 25krát ročně.</w:t>
      </w:r>
    </w:p>
    <w:p w14:paraId="0CB37C6B" w14:textId="77777777" w:rsidR="004C79C7" w:rsidRPr="003E39CE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5CB8D5E9" w14:textId="77777777" w:rsidR="004C79C7" w:rsidRDefault="004C79C7" w:rsidP="004C79C7">
      <w:pPr>
        <w:spacing w:line="260" w:lineRule="exact"/>
        <w:jc w:val="both"/>
        <w:rPr>
          <w:color w:val="000000"/>
          <w:szCs w:val="20"/>
        </w:rPr>
      </w:pPr>
      <w:r>
        <w:rPr>
          <w:color w:val="000000"/>
        </w:rPr>
        <w:t xml:space="preserve">Pořadatel, který chce pořádat sázení v souladu s předchozím odstavcem, musí získat povolení ministra financí s předchozím souhlasem ministra odpovědného za zemědělství.</w:t>
      </w:r>
    </w:p>
    <w:p w14:paraId="39F32419" w14:textId="77777777" w:rsidR="004C79C7" w:rsidRPr="003E39CE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3FBCAA26" w14:textId="77777777" w:rsidR="004C79C7" w:rsidRDefault="004C79C7" w:rsidP="004C79C7">
      <w:pPr>
        <w:spacing w:line="260" w:lineRule="exact"/>
        <w:jc w:val="both"/>
        <w:rPr>
          <w:color w:val="000000"/>
          <w:szCs w:val="20"/>
        </w:rPr>
      </w:pPr>
      <w:r>
        <w:rPr>
          <w:color w:val="000000"/>
        </w:rPr>
        <w:t xml:space="preserve">Žádost o vydání povolení uvedeného v předchozím odstavci musí pořadatel podat nejpozději jeden měsíc přede dnem konání soutěže, na které má v úmyslu pořádat sázení, a musí obsahovat alespoň:</w:t>
      </w:r>
    </w:p>
    <w:p w14:paraId="43D85031" w14:textId="77777777" w:rsidR="004C79C7" w:rsidRPr="003E39CE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5C894037" w14:textId="77777777" w:rsidR="004C79C7" w:rsidRPr="00B61486" w:rsidRDefault="004C79C7" w:rsidP="004C79C7">
      <w:pPr>
        <w:pStyle w:val="Odstavekseznama"/>
        <w:numPr>
          <w:ilvl w:val="0"/>
          <w:numId w:val="2"/>
        </w:numPr>
        <w:spacing w:line="260" w:lineRule="exact"/>
        <w:jc w:val="both"/>
        <w:rPr>
          <w:color w:val="000000"/>
          <w:szCs w:val="20"/>
        </w:rPr>
      </w:pPr>
      <w:r>
        <w:rPr>
          <w:color w:val="000000"/>
        </w:rPr>
        <w:t xml:space="preserve">jméno a sídlo pořadatele;</w:t>
      </w:r>
    </w:p>
    <w:p w14:paraId="187164B6" w14:textId="77777777" w:rsidR="004C79C7" w:rsidRPr="003E39CE" w:rsidRDefault="004C79C7" w:rsidP="004C79C7">
      <w:pPr>
        <w:pStyle w:val="Odstavekseznama"/>
        <w:numPr>
          <w:ilvl w:val="0"/>
          <w:numId w:val="2"/>
        </w:numPr>
        <w:spacing w:line="260" w:lineRule="exact"/>
        <w:jc w:val="both"/>
        <w:rPr>
          <w:color w:val="000000"/>
          <w:szCs w:val="20"/>
        </w:rPr>
      </w:pPr>
      <w:r>
        <w:rPr>
          <w:color w:val="000000"/>
        </w:rPr>
        <w:t xml:space="preserve">čas a místo konání soutěže, v rámci níž má být sázení pořádáno;</w:t>
      </w:r>
    </w:p>
    <w:p w14:paraId="51314EB7" w14:textId="77777777" w:rsidR="004C79C7" w:rsidRPr="003E39CE" w:rsidRDefault="004C79C7" w:rsidP="004C79C7">
      <w:pPr>
        <w:pStyle w:val="Odstavekseznama"/>
        <w:numPr>
          <w:ilvl w:val="0"/>
          <w:numId w:val="2"/>
        </w:numPr>
        <w:spacing w:line="260" w:lineRule="exact"/>
        <w:jc w:val="both"/>
        <w:rPr>
          <w:color w:val="000000"/>
          <w:szCs w:val="20"/>
        </w:rPr>
      </w:pPr>
      <w:r>
        <w:rPr>
          <w:color w:val="000000"/>
        </w:rPr>
        <w:t xml:space="preserve">pravidla sázení;</w:t>
      </w:r>
    </w:p>
    <w:p w14:paraId="6BA5AFF3" w14:textId="77777777" w:rsidR="004C79C7" w:rsidRPr="003E39CE" w:rsidRDefault="004C79C7" w:rsidP="004C79C7">
      <w:pPr>
        <w:pStyle w:val="Odstavekseznama"/>
        <w:numPr>
          <w:ilvl w:val="0"/>
          <w:numId w:val="2"/>
        </w:numPr>
        <w:spacing w:line="260" w:lineRule="exact"/>
        <w:jc w:val="both"/>
        <w:rPr>
          <w:color w:val="000000"/>
          <w:szCs w:val="20"/>
        </w:rPr>
      </w:pPr>
      <w:r>
        <w:rPr>
          <w:color w:val="000000"/>
        </w:rPr>
        <w:t xml:space="preserve">předpokládaný finanční výsledek z pořádání sázení.</w:t>
      </w:r>
    </w:p>
    <w:p w14:paraId="4E5BE594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3683329C" w14:textId="77777777" w:rsidR="004C79C7" w:rsidRDefault="004C79C7" w:rsidP="004C79C7">
      <w:pPr>
        <w:spacing w:line="260" w:lineRule="exact"/>
        <w:jc w:val="both"/>
        <w:rPr>
          <w:color w:val="000000"/>
          <w:szCs w:val="20"/>
        </w:rPr>
      </w:pPr>
      <w:r>
        <w:rPr>
          <w:color w:val="000000"/>
        </w:rPr>
        <w:t xml:space="preserve">Pořadatel, který na základě povolení uvedeného v druhém odstavci tohoto článku pořádá sázení v průběhu několika soutěží v kalendářním roce, může získat jedno povolení, o které se pořadatel uchází nejméně jeden měsíc před prvním soutěží a které poskytuje oddělené záznamy o podaných sázkách a o výhrách zaznamenaných v rámci každé soutěže.“</w:t>
      </w:r>
    </w:p>
    <w:p w14:paraId="62396E53" w14:textId="77777777" w:rsidR="004C79C7" w:rsidRPr="003E39CE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504A5652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4EDE5E68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43D894B9" w14:textId="77777777" w:rsidR="004C79C7" w:rsidRPr="00B61486" w:rsidRDefault="004C79C7" w:rsidP="004C79C7">
      <w:pPr>
        <w:pStyle w:val="Odstavekseznama"/>
        <w:numPr>
          <w:ilvl w:val="0"/>
          <w:numId w:val="1"/>
        </w:numPr>
        <w:spacing w:line="260" w:lineRule="exact"/>
        <w:jc w:val="center"/>
        <w:rPr>
          <w:color w:val="000000"/>
          <w:szCs w:val="20"/>
        </w:rPr>
      </w:pPr>
      <w:r>
        <w:rPr>
          <w:color w:val="000000"/>
        </w:rPr>
        <w:t xml:space="preserve">Článek</w:t>
      </w:r>
    </w:p>
    <w:p w14:paraId="66CE47FC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12AC7307" w14:textId="77777777" w:rsidR="004C79C7" w:rsidRDefault="004C79C7" w:rsidP="004C79C7">
      <w:pPr>
        <w:spacing w:line="260" w:lineRule="exact"/>
        <w:jc w:val="both"/>
        <w:rPr>
          <w:color w:val="000000"/>
          <w:szCs w:val="20"/>
        </w:rPr>
      </w:pPr>
      <w:r>
        <w:rPr>
          <w:color w:val="000000"/>
        </w:rPr>
        <w:t xml:space="preserve">V čl. 53 odst. 2 se zrušuje bod 7.</w:t>
      </w:r>
    </w:p>
    <w:p w14:paraId="7CC59D45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442F5614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67061A66" w14:textId="77777777" w:rsidR="004C79C7" w:rsidRDefault="004C79C7" w:rsidP="004C79C7">
      <w:pPr>
        <w:numPr>
          <w:ilvl w:val="0"/>
          <w:numId w:val="1"/>
        </w:numPr>
        <w:spacing w:after="160" w:line="260" w:lineRule="exact"/>
        <w:contextualSpacing/>
        <w:jc w:val="center"/>
      </w:pPr>
      <w:r>
        <w:rPr>
          <w:color w:val="000000"/>
        </w:rPr>
        <w:t xml:space="preserve">Článek</w:t>
      </w:r>
    </w:p>
    <w:p w14:paraId="702FB2CA" w14:textId="77777777" w:rsidR="004C79C7" w:rsidRDefault="004C79C7" w:rsidP="004C79C7">
      <w:pPr>
        <w:spacing w:line="260" w:lineRule="exact"/>
        <w:jc w:val="center"/>
        <w:rPr>
          <w:color w:val="000000"/>
          <w:szCs w:val="20"/>
          <w:lang w:val="sl-SI" w:eastAsia="sl-SI"/>
        </w:rPr>
      </w:pPr>
    </w:p>
    <w:p w14:paraId="70EAD342" w14:textId="77777777" w:rsidR="004C79C7" w:rsidRPr="00344821" w:rsidRDefault="004C79C7" w:rsidP="004C79C7">
      <w:pPr>
        <w:spacing w:line="260" w:lineRule="exact"/>
        <w:jc w:val="both"/>
      </w:pPr>
      <w:r>
        <w:rPr>
          <w:color w:val="000000"/>
        </w:rPr>
        <w:t xml:space="preserve">Text v článku 55 se pozměňuje následovně:</w:t>
      </w:r>
      <w:r>
        <w:rPr>
          <w:color w:val="000000"/>
        </w:rPr>
        <w:t xml:space="preserve"> </w:t>
      </w:r>
    </w:p>
    <w:p w14:paraId="7BB7901F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4C20ECEC" w14:textId="77777777" w:rsidR="004C79C7" w:rsidRPr="00344821" w:rsidRDefault="004C79C7" w:rsidP="004C79C7">
      <w:pPr>
        <w:spacing w:line="260" w:lineRule="exact"/>
        <w:jc w:val="both"/>
      </w:pPr>
      <w:r>
        <w:rPr>
          <w:color w:val="000000"/>
        </w:rPr>
        <w:t xml:space="preserve">„Pouze společnost založená na základě zákona, kterým se řídí společnosti s udělenou koncesi, může pořádat zvláštní hazardní hry jako svou podnikatelskou činnost</w:t>
      </w:r>
      <w:r>
        <w:t xml:space="preserve"> </w:t>
      </w:r>
      <w:r>
        <w:rPr>
          <w:color w:val="000000"/>
        </w:rPr>
        <w:t xml:space="preserve">(dále: koncesionář).“.</w:t>
      </w:r>
    </w:p>
    <w:p w14:paraId="262DF6B9" w14:textId="77777777" w:rsidR="004C79C7" w:rsidRDefault="004C79C7" w:rsidP="004C79C7">
      <w:pPr>
        <w:spacing w:line="260" w:lineRule="exact"/>
        <w:jc w:val="center"/>
        <w:rPr>
          <w:color w:val="000000"/>
          <w:szCs w:val="20"/>
          <w:lang w:val="sl-SI" w:eastAsia="sl-SI"/>
        </w:rPr>
      </w:pPr>
    </w:p>
    <w:p w14:paraId="4C5EDAA4" w14:textId="77777777" w:rsidR="004C79C7" w:rsidRDefault="004C79C7" w:rsidP="004C79C7">
      <w:pPr>
        <w:spacing w:line="260" w:lineRule="exact"/>
        <w:jc w:val="center"/>
        <w:rPr>
          <w:color w:val="000000"/>
          <w:szCs w:val="20"/>
          <w:lang w:val="sl-SI" w:eastAsia="sl-SI"/>
        </w:rPr>
      </w:pPr>
    </w:p>
    <w:p w14:paraId="6DF6B1B2" w14:textId="77777777" w:rsidR="004C79C7" w:rsidRDefault="004C79C7" w:rsidP="004C79C7">
      <w:pPr>
        <w:numPr>
          <w:ilvl w:val="0"/>
          <w:numId w:val="1"/>
        </w:numPr>
        <w:spacing w:after="160" w:line="260" w:lineRule="exact"/>
        <w:contextualSpacing/>
        <w:jc w:val="center"/>
      </w:pPr>
      <w:r>
        <w:rPr>
          <w:color w:val="000000"/>
        </w:rPr>
        <w:t xml:space="preserve">Článek</w:t>
      </w:r>
    </w:p>
    <w:p w14:paraId="2C0BFDFD" w14:textId="77777777" w:rsidR="004C79C7" w:rsidRDefault="004C79C7" w:rsidP="004C79C7">
      <w:pPr>
        <w:spacing w:line="260" w:lineRule="exact"/>
        <w:jc w:val="center"/>
        <w:rPr>
          <w:color w:val="000000"/>
          <w:szCs w:val="20"/>
          <w:lang w:val="sl-SI" w:eastAsia="sl-SI"/>
        </w:rPr>
      </w:pPr>
    </w:p>
    <w:p w14:paraId="631BA45B" w14:textId="77777777" w:rsidR="004C79C7" w:rsidRDefault="004C79C7" w:rsidP="004C79C7">
      <w:pPr>
        <w:spacing w:line="260" w:lineRule="exact"/>
        <w:jc w:val="both"/>
        <w:rPr>
          <w:color w:val="000000"/>
          <w:szCs w:val="20"/>
        </w:rPr>
      </w:pPr>
      <w:r>
        <w:rPr>
          <w:color w:val="000000"/>
        </w:rPr>
        <w:t xml:space="preserve">Znění čl. 55 písm. a) se mění takto:</w:t>
      </w:r>
    </w:p>
    <w:p w14:paraId="367D21E8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798A9BDE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558A84A4" w14:textId="77777777" w:rsidR="004C79C7" w:rsidRPr="00344821" w:rsidRDefault="004C79C7" w:rsidP="004C79C7">
      <w:pPr>
        <w:spacing w:line="260" w:lineRule="exact"/>
        <w:jc w:val="both"/>
      </w:pPr>
      <w:r>
        <w:rPr>
          <w:color w:val="000000"/>
        </w:rPr>
        <w:t xml:space="preserve">„Podíl Republiky Slovinsko nebo právnických osob, jejichž 100% vlastníkem nebo zakladatelem je Republika Slovinsko, na vlastnictví koncesionáře nesmí být nižší než 25 % +1 podíl v případě akciové společnosti a nesmí být nižší než 51 % obchodního podílu jiné formy společnosti zřízené na základě práva rozhodného pro společnosti.“.</w:t>
      </w:r>
    </w:p>
    <w:p w14:paraId="3E0F5E1F" w14:textId="77777777" w:rsidR="004C79C7" w:rsidRPr="00344821" w:rsidRDefault="004C79C7" w:rsidP="004C79C7">
      <w:pPr>
        <w:spacing w:line="260" w:lineRule="exact"/>
        <w:jc w:val="both"/>
        <w:rPr>
          <w:szCs w:val="20"/>
          <w:lang w:val="sl-SI"/>
        </w:rPr>
      </w:pPr>
    </w:p>
    <w:p w14:paraId="6E9A9D3B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3C8ED5B2" w14:textId="77777777" w:rsidR="004C79C7" w:rsidRDefault="004C79C7" w:rsidP="004C79C7">
      <w:pPr>
        <w:numPr>
          <w:ilvl w:val="0"/>
          <w:numId w:val="1"/>
        </w:numPr>
        <w:spacing w:after="160" w:line="260" w:lineRule="exact"/>
        <w:contextualSpacing/>
        <w:jc w:val="center"/>
      </w:pPr>
      <w:r>
        <w:rPr>
          <w:color w:val="000000"/>
        </w:rPr>
        <w:t xml:space="preserve">Článek</w:t>
      </w:r>
    </w:p>
    <w:p w14:paraId="4EA8F1D8" w14:textId="77777777" w:rsidR="004C79C7" w:rsidRDefault="004C79C7" w:rsidP="004C79C7">
      <w:pPr>
        <w:spacing w:line="260" w:lineRule="exact"/>
        <w:jc w:val="center"/>
        <w:rPr>
          <w:color w:val="000000"/>
          <w:szCs w:val="20"/>
          <w:lang w:val="sl-SI" w:eastAsia="sl-SI"/>
        </w:rPr>
      </w:pPr>
    </w:p>
    <w:p w14:paraId="4252BFB0" w14:textId="77777777" w:rsidR="004C79C7" w:rsidRPr="00344821" w:rsidRDefault="004C79C7" w:rsidP="004C79C7">
      <w:pPr>
        <w:spacing w:line="260" w:lineRule="exact"/>
        <w:jc w:val="both"/>
      </w:pPr>
      <w:r>
        <w:rPr>
          <w:color w:val="000000"/>
        </w:rPr>
        <w:t xml:space="preserve">Text v článku 56 se pozměňuje následovně:</w:t>
      </w:r>
    </w:p>
    <w:p w14:paraId="7B90A311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76CCC519" w14:textId="77777777" w:rsidR="004C79C7" w:rsidRPr="00344821" w:rsidRDefault="004C79C7" w:rsidP="004C79C7">
      <w:pPr>
        <w:spacing w:line="260" w:lineRule="exact"/>
        <w:jc w:val="both"/>
      </w:pPr>
      <w:r>
        <w:rPr>
          <w:color w:val="000000"/>
        </w:rPr>
        <w:t xml:space="preserve">„Právnická nebo fyzická osoba může nabýt nebo zcizit podíl na vlastnictví koncesionáře pouze s předchozím souhlasem ministra odpovědného za finance, jinak je transakce neplatná.</w:t>
      </w:r>
    </w:p>
    <w:p w14:paraId="28B24F16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5B90D456" w14:textId="77777777" w:rsidR="004C79C7" w:rsidRPr="00344821" w:rsidRDefault="004C79C7" w:rsidP="004C79C7">
      <w:pPr>
        <w:spacing w:line="260" w:lineRule="exact"/>
        <w:jc w:val="both"/>
      </w:pPr>
      <w:r>
        <w:rPr>
          <w:color w:val="000000"/>
        </w:rPr>
        <w:t xml:space="preserve">Osoba, která chce nabýt podíl na vlastnictví pořadatele (dále jen potenciální nabyvatel) musí vydat žádost o vydání souhlasu uvedeného v předchozím odstavci spolu s následujícím:</w:t>
      </w:r>
    </w:p>
    <w:p w14:paraId="5E2EBCCF" w14:textId="77777777" w:rsidR="004C79C7" w:rsidRDefault="004C79C7" w:rsidP="004C79C7">
      <w:pPr>
        <w:tabs>
          <w:tab w:val="left" w:pos="585"/>
        </w:tabs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420E3BAC" w14:textId="61A10D81" w:rsidR="004C79C7" w:rsidRPr="00344821" w:rsidRDefault="004C79C7" w:rsidP="004C79C7">
      <w:pPr>
        <w:tabs>
          <w:tab w:val="left" w:pos="570"/>
        </w:tabs>
        <w:spacing w:line="260" w:lineRule="exact"/>
        <w:jc w:val="both"/>
      </w:pPr>
      <w:r>
        <w:rPr>
          <w:color w:val="000000"/>
        </w:rPr>
        <w:t xml:space="preserve">1.</w:t>
      </w:r>
      <w:r>
        <w:rPr>
          <w:color w:val="000000"/>
        </w:rPr>
        <w:t xml:space="preserve">   </w:t>
      </w:r>
      <w:r>
        <w:rPr>
          <w:color w:val="000000"/>
        </w:rPr>
        <w:t xml:space="preserve">informace o potenciálním nabyvateli spolu s jeho zakládajícím aktem v případě právnické osoby;</w:t>
      </w:r>
    </w:p>
    <w:p w14:paraId="37141398" w14:textId="7A8FF9D5" w:rsidR="004C79C7" w:rsidRPr="00344821" w:rsidRDefault="004C79C7" w:rsidP="004C79C7">
      <w:pPr>
        <w:tabs>
          <w:tab w:val="left" w:pos="570"/>
        </w:tabs>
        <w:spacing w:line="260" w:lineRule="exact"/>
        <w:jc w:val="both"/>
      </w:pPr>
      <w:r>
        <w:rPr>
          <w:color w:val="000000"/>
        </w:rPr>
        <w:t xml:space="preserve">2.</w:t>
      </w:r>
      <w:r>
        <w:rPr>
          <w:color w:val="000000"/>
        </w:rPr>
        <w:t xml:space="preserve">   </w:t>
      </w:r>
      <w:r>
        <w:rPr>
          <w:color w:val="000000"/>
        </w:rPr>
        <w:t xml:space="preserve">výpis ze soudního rejstříku nebo jiného příslušného veřejného rejstříku v případě zahraniční právnické osoby;</w:t>
      </w:r>
    </w:p>
    <w:p w14:paraId="18408D75" w14:textId="77777777" w:rsidR="004C79C7" w:rsidRPr="00344821" w:rsidRDefault="004C79C7" w:rsidP="004C79C7">
      <w:pPr>
        <w:tabs>
          <w:tab w:val="left" w:pos="570"/>
        </w:tabs>
        <w:spacing w:line="260" w:lineRule="exact"/>
        <w:jc w:val="both"/>
      </w:pPr>
      <w:r>
        <w:rPr>
          <w:color w:val="000000"/>
        </w:rPr>
        <w:t xml:space="preserve">3.</w:t>
      </w:r>
      <w:r>
        <w:rPr>
          <w:color w:val="000000"/>
        </w:rPr>
        <w:t xml:space="preserve">    </w:t>
      </w:r>
      <w:r>
        <w:rPr>
          <w:color w:val="000000"/>
        </w:rPr>
        <w:tab/>
      </w:r>
      <w:r>
        <w:rPr>
          <w:color w:val="000000"/>
        </w:rPr>
        <w:t xml:space="preserve">výpis z knihy akcionářů, která kótuje akcionáře, je-li právnickou osobou akciová společnost;</w:t>
      </w:r>
    </w:p>
    <w:p w14:paraId="7F7F6FCE" w14:textId="77777777" w:rsidR="004C79C7" w:rsidRPr="00344821" w:rsidRDefault="004C79C7" w:rsidP="004C79C7">
      <w:pPr>
        <w:tabs>
          <w:tab w:val="left" w:pos="570"/>
        </w:tabs>
        <w:spacing w:line="260" w:lineRule="exact"/>
        <w:jc w:val="both"/>
      </w:pPr>
      <w:r>
        <w:rPr>
          <w:color w:val="000000"/>
        </w:rPr>
        <w:t xml:space="preserve">4.</w:t>
      </w:r>
      <w:r>
        <w:rPr>
          <w:color w:val="000000"/>
        </w:rPr>
        <w:t xml:space="preserve">      </w:t>
      </w:r>
      <w:r>
        <w:rPr>
          <w:color w:val="000000"/>
        </w:rPr>
        <w:tab/>
      </w:r>
      <w:r>
        <w:rPr>
          <w:color w:val="000000"/>
        </w:rPr>
        <w:t xml:space="preserve">auditovaná výroční zpráva za poslední dva rozpočtové roky;</w:t>
      </w:r>
    </w:p>
    <w:p w14:paraId="56F13BC7" w14:textId="77777777" w:rsidR="004C79C7" w:rsidRPr="00344821" w:rsidRDefault="004C79C7" w:rsidP="004C79C7">
      <w:pPr>
        <w:spacing w:line="260" w:lineRule="exact"/>
        <w:ind w:left="567" w:hanging="567"/>
        <w:jc w:val="both"/>
      </w:pPr>
      <w:r>
        <w:rPr>
          <w:color w:val="000000"/>
        </w:rPr>
        <w:t xml:space="preserve">5.</w:t>
      </w:r>
      <w:r>
        <w:rPr>
          <w:color w:val="000000"/>
        </w:rPr>
        <w:t xml:space="preserve">    </w:t>
      </w:r>
      <w:r>
        <w:rPr>
          <w:color w:val="000000"/>
        </w:rPr>
        <w:tab/>
      </w:r>
      <w:r>
        <w:rPr>
          <w:color w:val="000000"/>
        </w:rPr>
        <w:t xml:space="preserve">doklad o splnění závazků vyplývajících z povinných příspěvků, daní a jiných poplatků, koncesních povinností a jiných závazků z veřejných financí vůči zemi, v níž je právnická osoba usazena, pokud se jedná o zahraniční subjekt;</w:t>
      </w:r>
    </w:p>
    <w:p w14:paraId="7F8F2A90" w14:textId="77777777" w:rsidR="004C79C7" w:rsidRPr="00344821" w:rsidRDefault="004C79C7" w:rsidP="004C79C7">
      <w:pPr>
        <w:spacing w:line="260" w:lineRule="exact"/>
        <w:ind w:left="567" w:hanging="567"/>
        <w:jc w:val="both"/>
      </w:pPr>
      <w:r>
        <w:rPr>
          <w:color w:val="000000"/>
        </w:rPr>
        <w:t xml:space="preserve">6.</w:t>
      </w:r>
      <w:r>
        <w:rPr>
          <w:color w:val="000000"/>
        </w:rPr>
        <w:t xml:space="preserve">     </w:t>
      </w:r>
      <w:r>
        <w:rPr>
          <w:color w:val="000000"/>
        </w:rPr>
        <w:tab/>
      </w:r>
      <w:r>
        <w:rPr>
          <w:color w:val="000000"/>
        </w:rPr>
        <w:t xml:space="preserve">seznam osob přímo či nepřímo souvisejících s potenciálním nabyvatelem, a popsat jejich vztah;</w:t>
      </w:r>
    </w:p>
    <w:p w14:paraId="3260DE62" w14:textId="77777777" w:rsidR="004C79C7" w:rsidRPr="00344821" w:rsidRDefault="004C79C7" w:rsidP="004C79C7">
      <w:pPr>
        <w:spacing w:line="260" w:lineRule="exact"/>
        <w:jc w:val="both"/>
      </w:pPr>
      <w:r>
        <w:rPr>
          <w:color w:val="000000"/>
        </w:rPr>
        <w:t xml:space="preserve">7.</w:t>
      </w:r>
      <w:r>
        <w:rPr>
          <w:color w:val="000000"/>
        </w:rPr>
        <w:t xml:space="preserve">       </w:t>
      </w:r>
      <w:r>
        <w:rPr>
          <w:color w:val="000000"/>
        </w:rPr>
        <w:t xml:space="preserve">podrobný popis zamýšleného právního úkonu;</w:t>
      </w:r>
    </w:p>
    <w:p w14:paraId="49402A0C" w14:textId="77777777" w:rsidR="004C79C7" w:rsidRPr="00344821" w:rsidRDefault="004C79C7" w:rsidP="004C79C7">
      <w:pPr>
        <w:spacing w:line="260" w:lineRule="exact"/>
        <w:jc w:val="both"/>
      </w:pPr>
      <w:r>
        <w:rPr>
          <w:color w:val="000000"/>
        </w:rPr>
        <w:t xml:space="preserve">8.</w:t>
      </w:r>
      <w:r>
        <w:rPr>
          <w:color w:val="000000"/>
        </w:rPr>
        <w:t xml:space="preserve">       </w:t>
      </w:r>
      <w:r>
        <w:rPr>
          <w:color w:val="000000"/>
        </w:rPr>
        <w:t xml:space="preserve">podrobné vysvětlení důvodů pro nabytí nebo zbavení se akcií;</w:t>
      </w:r>
    </w:p>
    <w:p w14:paraId="3D99DD09" w14:textId="77777777" w:rsidR="004C79C7" w:rsidRPr="00D54A16" w:rsidRDefault="004C79C7" w:rsidP="004C79C7">
      <w:pPr>
        <w:spacing w:line="260" w:lineRule="exact"/>
        <w:jc w:val="both"/>
      </w:pPr>
      <w:r>
        <w:rPr>
          <w:color w:val="000000"/>
        </w:rPr>
        <w:t xml:space="preserve">9.</w:t>
      </w:r>
      <w:r>
        <w:rPr>
          <w:color w:val="000000"/>
        </w:rPr>
        <w:t xml:space="preserve">       </w:t>
      </w:r>
      <w:r>
        <w:rPr>
          <w:color w:val="000000"/>
        </w:rPr>
        <w:t xml:space="preserve">podrobné vysvětlení rozvojových záměrů a cílů potenciálního nabyvatele;</w:t>
      </w:r>
    </w:p>
    <w:p w14:paraId="52C17178" w14:textId="77777777" w:rsidR="004C79C7" w:rsidRPr="00344821" w:rsidRDefault="004C79C7" w:rsidP="004C79C7">
      <w:pPr>
        <w:spacing w:line="260" w:lineRule="exact"/>
        <w:jc w:val="both"/>
      </w:pPr>
      <w:r>
        <w:rPr>
          <w:color w:val="000000"/>
        </w:rPr>
        <w:t xml:space="preserve">10.</w:t>
      </w:r>
      <w:r>
        <w:rPr>
          <w:color w:val="000000"/>
        </w:rPr>
        <w:t xml:space="preserve">     </w:t>
      </w:r>
      <w:r>
        <w:rPr>
          <w:color w:val="000000"/>
        </w:rPr>
        <w:t xml:space="preserve">posouzení dopadu nabytí vlastnického podílu na budoucí činnosti pořadatele;</w:t>
      </w:r>
    </w:p>
    <w:p w14:paraId="622AE235" w14:textId="77777777" w:rsidR="004C79C7" w:rsidRPr="007E79AA" w:rsidRDefault="004C79C7" w:rsidP="004C79C7">
      <w:pPr>
        <w:spacing w:line="260" w:lineRule="exact"/>
        <w:ind w:left="567" w:hanging="567"/>
        <w:jc w:val="both"/>
      </w:pPr>
      <w:r>
        <w:rPr>
          <w:color w:val="000000"/>
        </w:rPr>
        <w:t xml:space="preserve">11.</w:t>
      </w:r>
      <w:r>
        <w:rPr>
          <w:color w:val="000000"/>
        </w:rPr>
        <w:t xml:space="preserve">    </w:t>
      </w:r>
      <w:r>
        <w:rPr>
          <w:color w:val="000000"/>
        </w:rPr>
        <w:t xml:space="preserve">další dokumentace, kterou potenciální nabyvatel považuje za důležitou pro posouzení její vhodnosti a dopadu nabytí podílu na vlastnictví na budoucí provoz pořadatele a rozvoj herních činností.</w:t>
      </w:r>
    </w:p>
    <w:p w14:paraId="2234EE63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63AA0B5A" w14:textId="77777777" w:rsidR="004C79C7" w:rsidRPr="00344821" w:rsidRDefault="004C79C7" w:rsidP="004C79C7">
      <w:pPr>
        <w:spacing w:line="260" w:lineRule="exact"/>
        <w:jc w:val="both"/>
      </w:pPr>
      <w:r>
        <w:rPr>
          <w:color w:val="000000"/>
        </w:rPr>
        <w:t xml:space="preserve">Ministr financí musí rozhodnout o žádosti o vydání souhlasu uvedeného v prvním odstavci tohoto článku do dvou měsíců od podání úplné žádosti a úplné dokumentace uvedené v předchozím odstavci, jinak se souhlas považuje za udělený.</w:t>
      </w:r>
    </w:p>
    <w:p w14:paraId="0D826F2A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5FEF4E36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7A98510B" w14:textId="77777777" w:rsidR="004C79C7" w:rsidRDefault="004C79C7" w:rsidP="004C79C7">
      <w:pPr>
        <w:numPr>
          <w:ilvl w:val="0"/>
          <w:numId w:val="1"/>
        </w:numPr>
        <w:spacing w:after="160" w:line="260" w:lineRule="exact"/>
        <w:contextualSpacing/>
        <w:jc w:val="center"/>
      </w:pPr>
      <w:r>
        <w:rPr>
          <w:color w:val="000000"/>
        </w:rPr>
        <w:t xml:space="preserve">Článek</w:t>
      </w:r>
    </w:p>
    <w:p w14:paraId="406A149F" w14:textId="77777777" w:rsidR="004C79C7" w:rsidRDefault="004C79C7" w:rsidP="004C79C7">
      <w:pPr>
        <w:spacing w:line="260" w:lineRule="exact"/>
        <w:jc w:val="center"/>
        <w:rPr>
          <w:color w:val="000000"/>
          <w:szCs w:val="20"/>
          <w:lang w:val="sl-SI" w:eastAsia="sl-SI"/>
        </w:rPr>
      </w:pPr>
    </w:p>
    <w:p w14:paraId="40A5FAE4" w14:textId="77777777" w:rsidR="004C79C7" w:rsidRPr="000A6261" w:rsidRDefault="004C79C7" w:rsidP="004C79C7">
      <w:pPr>
        <w:spacing w:line="260" w:lineRule="exact"/>
        <w:jc w:val="both"/>
      </w:pPr>
      <w:r>
        <w:rPr>
          <w:color w:val="000000"/>
        </w:rPr>
        <w:t xml:space="preserve">V čl. 58 odst. 1 a 2 se částka „416 000 EUR“ nahrazuje částkou „500 000 EUR“.</w:t>
      </w:r>
    </w:p>
    <w:p w14:paraId="3A96E295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497F3B3B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31101CC1" w14:textId="77777777" w:rsidR="004C79C7" w:rsidRDefault="004C79C7" w:rsidP="004C79C7">
      <w:pPr>
        <w:numPr>
          <w:ilvl w:val="0"/>
          <w:numId w:val="1"/>
        </w:numPr>
        <w:spacing w:after="160" w:line="260" w:lineRule="exact"/>
        <w:contextualSpacing/>
        <w:jc w:val="center"/>
      </w:pPr>
      <w:r>
        <w:rPr>
          <w:color w:val="000000"/>
        </w:rPr>
        <w:t xml:space="preserve">Článek</w:t>
      </w:r>
      <w:r>
        <w:rPr>
          <w:color w:val="000000"/>
        </w:rPr>
        <w:t xml:space="preserve"> </w:t>
      </w:r>
    </w:p>
    <w:p w14:paraId="522BD52E" w14:textId="77777777" w:rsidR="004C79C7" w:rsidRDefault="004C79C7" w:rsidP="004C79C7">
      <w:pPr>
        <w:spacing w:line="260" w:lineRule="exact"/>
        <w:jc w:val="center"/>
        <w:rPr>
          <w:color w:val="000000"/>
          <w:szCs w:val="20"/>
          <w:lang w:val="sl-SI" w:eastAsia="sl-SI"/>
        </w:rPr>
      </w:pPr>
    </w:p>
    <w:p w14:paraId="769E20F8" w14:textId="77777777" w:rsidR="004C79C7" w:rsidRDefault="004C79C7" w:rsidP="004C79C7">
      <w:pPr>
        <w:spacing w:line="260" w:lineRule="exact"/>
        <w:jc w:val="both"/>
      </w:pPr>
      <w:r>
        <w:rPr>
          <w:color w:val="000000"/>
        </w:rPr>
        <w:t xml:space="preserve">Články 61 a 62 se zrušují.</w:t>
      </w:r>
    </w:p>
    <w:p w14:paraId="2B63D370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2FB34794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0BCDD515" w14:textId="77777777" w:rsidR="004C79C7" w:rsidRDefault="004C79C7" w:rsidP="004C79C7">
      <w:pPr>
        <w:numPr>
          <w:ilvl w:val="0"/>
          <w:numId w:val="1"/>
        </w:numPr>
        <w:spacing w:after="160" w:line="260" w:lineRule="exact"/>
        <w:contextualSpacing/>
        <w:jc w:val="center"/>
      </w:pPr>
      <w:r>
        <w:rPr>
          <w:color w:val="000000"/>
        </w:rPr>
        <w:t xml:space="preserve">Článek</w:t>
      </w:r>
    </w:p>
    <w:p w14:paraId="727431B6" w14:textId="77777777" w:rsidR="004C79C7" w:rsidRDefault="004C79C7" w:rsidP="004C79C7">
      <w:pPr>
        <w:spacing w:line="260" w:lineRule="exact"/>
        <w:jc w:val="center"/>
        <w:rPr>
          <w:color w:val="000000"/>
          <w:szCs w:val="20"/>
          <w:lang w:val="sl-SI" w:eastAsia="sl-SI"/>
        </w:rPr>
      </w:pPr>
    </w:p>
    <w:p w14:paraId="6EA3FDF6" w14:textId="77777777" w:rsidR="004C79C7" w:rsidRPr="00344821" w:rsidRDefault="004C79C7" w:rsidP="004C79C7">
      <w:pPr>
        <w:spacing w:line="260" w:lineRule="exact"/>
        <w:jc w:val="both"/>
      </w:pPr>
      <w:r>
        <w:rPr>
          <w:color w:val="000000"/>
        </w:rPr>
        <w:t xml:space="preserve">Článek 63 se mění takto:</w:t>
      </w:r>
    </w:p>
    <w:p w14:paraId="2452C778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16BB1F3D" w14:textId="77777777" w:rsidR="004C79C7" w:rsidRPr="00344821" w:rsidRDefault="004C79C7" w:rsidP="004C79C7">
      <w:pPr>
        <w:spacing w:line="288" w:lineRule="auto"/>
        <w:jc w:val="both"/>
      </w:pPr>
      <w:r>
        <w:t xml:space="preserve">„Koncese na pořádání zvláštních hazardních her se uděluje rozhodnutím vlády na základě veřejného nabídkového řízení zveřejněného ministerstvem financí a koncesní smlouvu s pořadatelem uzavře ministr odpovědný za finance do 45 dnů od udělení koncese.</w:t>
      </w:r>
    </w:p>
    <w:p w14:paraId="23AA1611" w14:textId="77777777" w:rsidR="004C79C7" w:rsidRDefault="004C79C7" w:rsidP="004C79C7">
      <w:pPr>
        <w:spacing w:line="288" w:lineRule="auto"/>
        <w:jc w:val="both"/>
        <w:rPr>
          <w:szCs w:val="20"/>
          <w:lang w:val="sl-SI"/>
        </w:rPr>
      </w:pPr>
    </w:p>
    <w:p w14:paraId="4F1D58C6" w14:textId="77777777" w:rsidR="004C79C7" w:rsidRPr="00344821" w:rsidRDefault="004C79C7" w:rsidP="004C79C7">
      <w:pPr>
        <w:spacing w:after="160" w:line="256" w:lineRule="auto"/>
        <w:jc w:val="both"/>
      </w:pPr>
      <w:r>
        <w:t xml:space="preserve">Vláda rozhodne o udělení koncese nejpozději do čtyř měsíců od ukončení nabídkového řízení uvedeného v předchozím odstavci.</w:t>
      </w:r>
    </w:p>
    <w:p w14:paraId="33E39286" w14:textId="77777777" w:rsidR="004C79C7" w:rsidRDefault="004C79C7" w:rsidP="004C79C7">
      <w:pPr>
        <w:spacing w:line="260" w:lineRule="exact"/>
        <w:jc w:val="both"/>
        <w:rPr>
          <w:szCs w:val="20"/>
          <w:rFonts w:eastAsia="Calibri"/>
        </w:rPr>
      </w:pPr>
      <w:r>
        <w:t xml:space="preserve">Koncese na pořádání zvláštních hazardních her se uděluje na dobu nejméně tří a nejvýše pěti let a může být prodloužena po uplynutí této lhůty.</w:t>
      </w:r>
      <w:r>
        <w:t xml:space="preserve"> </w:t>
      </w:r>
    </w:p>
    <w:p w14:paraId="3C78FC6A" w14:textId="77777777" w:rsidR="004C79C7" w:rsidRPr="008B7803" w:rsidRDefault="004C79C7" w:rsidP="004C79C7">
      <w:pPr>
        <w:spacing w:line="260" w:lineRule="exact"/>
        <w:jc w:val="both"/>
        <w:rPr>
          <w:rFonts w:eastAsia="Calibri"/>
          <w:szCs w:val="20"/>
          <w:lang w:val="sl-SI"/>
        </w:rPr>
      </w:pPr>
    </w:p>
    <w:p w14:paraId="08785144" w14:textId="77777777" w:rsidR="004C79C7" w:rsidRDefault="004C79C7" w:rsidP="004C79C7">
      <w:pPr>
        <w:spacing w:line="260" w:lineRule="exact"/>
        <w:jc w:val="both"/>
        <w:rPr>
          <w:szCs w:val="20"/>
          <w:rFonts w:eastAsia="Calibri"/>
        </w:rPr>
      </w:pPr>
      <w:r>
        <w:t xml:space="preserve">Koncese může být několikrát prodloužena, a to vždy nejméně o tři a nejvýše pět let.</w:t>
      </w:r>
    </w:p>
    <w:p w14:paraId="0AD2609E" w14:textId="77777777" w:rsidR="004C79C7" w:rsidRDefault="004C79C7" w:rsidP="004C79C7">
      <w:pPr>
        <w:spacing w:line="260" w:lineRule="exact"/>
        <w:jc w:val="both"/>
        <w:rPr>
          <w:rFonts w:eastAsia="Calibri"/>
          <w:szCs w:val="20"/>
          <w:lang w:val="sl-SI"/>
        </w:rPr>
      </w:pPr>
    </w:p>
    <w:p w14:paraId="43D148BE" w14:textId="77777777" w:rsidR="004C79C7" w:rsidRPr="008B7803" w:rsidRDefault="004C79C7" w:rsidP="004C79C7">
      <w:pPr>
        <w:spacing w:line="260" w:lineRule="exact"/>
        <w:jc w:val="both"/>
      </w:pPr>
      <w:r>
        <w:t xml:space="preserve">Ministerstvo odpovědné za finance zveřejní veřejné nabídkové řízení na udělení koncese uvedené v tomto článku nejméně třikrát ročně.“.</w:t>
      </w:r>
    </w:p>
    <w:p w14:paraId="4EE07578" w14:textId="77777777" w:rsidR="004C79C7" w:rsidRDefault="004C79C7" w:rsidP="004C79C7">
      <w:pPr>
        <w:spacing w:line="260" w:lineRule="exact"/>
        <w:jc w:val="both"/>
        <w:rPr>
          <w:rFonts w:eastAsia="Calibri"/>
          <w:szCs w:val="20"/>
          <w:lang w:val="sl-SI"/>
        </w:rPr>
      </w:pPr>
    </w:p>
    <w:p w14:paraId="14074B45" w14:textId="77777777" w:rsidR="004C79C7" w:rsidRDefault="004C79C7" w:rsidP="004C79C7">
      <w:pPr>
        <w:spacing w:line="260" w:lineRule="exact"/>
        <w:jc w:val="both"/>
        <w:rPr>
          <w:rFonts w:eastAsia="Calibri"/>
          <w:color w:val="000000"/>
          <w:szCs w:val="20"/>
          <w:lang w:val="sl-SI" w:eastAsia="sl-SI"/>
        </w:rPr>
      </w:pPr>
    </w:p>
    <w:p w14:paraId="76DF6543" w14:textId="77777777" w:rsidR="004C79C7" w:rsidRDefault="004C79C7" w:rsidP="004C79C7">
      <w:pPr>
        <w:numPr>
          <w:ilvl w:val="0"/>
          <w:numId w:val="1"/>
        </w:numPr>
        <w:spacing w:after="160" w:line="260" w:lineRule="exact"/>
        <w:contextualSpacing/>
        <w:jc w:val="center"/>
      </w:pPr>
      <w:r>
        <w:rPr>
          <w:color w:val="000000"/>
        </w:rPr>
        <w:t xml:space="preserve">Článek</w:t>
      </w:r>
      <w:r>
        <w:rPr>
          <w:color w:val="000000"/>
        </w:rPr>
        <w:t xml:space="preserve"> </w:t>
      </w:r>
    </w:p>
    <w:p w14:paraId="733CBB51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7BEAF58D" w14:textId="77777777" w:rsidR="004C79C7" w:rsidRPr="00344821" w:rsidRDefault="004C79C7" w:rsidP="004C79C7">
      <w:pPr>
        <w:spacing w:line="260" w:lineRule="exact"/>
        <w:jc w:val="both"/>
      </w:pPr>
      <w:r>
        <w:rPr>
          <w:color w:val="000000"/>
        </w:rPr>
        <w:t xml:space="preserve">V článku 64 se slova „akciová“ nahrazují slovy „obchodní“.</w:t>
      </w:r>
    </w:p>
    <w:p w14:paraId="7FDB2E69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16906CA8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3DA51BE8" w14:textId="77777777" w:rsidR="004C79C7" w:rsidRDefault="004C79C7" w:rsidP="004C79C7">
      <w:pPr>
        <w:numPr>
          <w:ilvl w:val="0"/>
          <w:numId w:val="1"/>
        </w:numPr>
        <w:spacing w:after="160" w:line="260" w:lineRule="exact"/>
        <w:contextualSpacing/>
        <w:jc w:val="center"/>
      </w:pPr>
      <w:r>
        <w:rPr>
          <w:color w:val="000000"/>
        </w:rPr>
        <w:t xml:space="preserve">Článek</w:t>
      </w:r>
    </w:p>
    <w:p w14:paraId="022C79F0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7F4E99D1" w14:textId="77777777" w:rsidR="004C79C7" w:rsidRPr="00814718" w:rsidRDefault="004C79C7" w:rsidP="004C79C7">
      <w:pPr>
        <w:spacing w:line="260" w:lineRule="exact"/>
        <w:jc w:val="both"/>
      </w:pPr>
      <w:r>
        <w:rPr>
          <w:color w:val="000000"/>
        </w:rPr>
        <w:t xml:space="preserve">Článek 65 se zrušuje.</w:t>
      </w:r>
    </w:p>
    <w:p w14:paraId="056FD886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2ED23EF5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52C61245" w14:textId="77777777" w:rsidR="004C79C7" w:rsidRDefault="004C79C7" w:rsidP="004C79C7">
      <w:pPr>
        <w:numPr>
          <w:ilvl w:val="0"/>
          <w:numId w:val="1"/>
        </w:numPr>
        <w:spacing w:after="160" w:line="260" w:lineRule="exact"/>
        <w:contextualSpacing/>
        <w:jc w:val="center"/>
      </w:pPr>
      <w:r>
        <w:rPr>
          <w:color w:val="000000"/>
        </w:rPr>
        <w:t xml:space="preserve">Článek</w:t>
      </w:r>
    </w:p>
    <w:p w14:paraId="13B7D608" w14:textId="77777777" w:rsidR="004C79C7" w:rsidRDefault="004C79C7" w:rsidP="004C79C7">
      <w:pPr>
        <w:spacing w:line="260" w:lineRule="exact"/>
        <w:jc w:val="center"/>
        <w:rPr>
          <w:color w:val="000000"/>
          <w:szCs w:val="20"/>
          <w:lang w:val="sl-SI" w:eastAsia="sl-SI"/>
        </w:rPr>
      </w:pPr>
    </w:p>
    <w:p w14:paraId="0E9AB924" w14:textId="77777777" w:rsidR="004C79C7" w:rsidRPr="00344821" w:rsidRDefault="004C79C7" w:rsidP="004C79C7">
      <w:pPr>
        <w:spacing w:line="260" w:lineRule="exact"/>
        <w:jc w:val="both"/>
      </w:pPr>
      <w:r>
        <w:rPr>
          <w:color w:val="000000"/>
        </w:rPr>
        <w:t xml:space="preserve">V čl. 67 odst. 1 první odrážce se slova „akciová“ nahrazují slovy „obchodní“.</w:t>
      </w:r>
    </w:p>
    <w:p w14:paraId="60BD5173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59EA8B88" w14:textId="77777777" w:rsidR="004C79C7" w:rsidRPr="00344821" w:rsidRDefault="004C79C7" w:rsidP="004C79C7">
      <w:pPr>
        <w:spacing w:line="260" w:lineRule="exact"/>
        <w:jc w:val="both"/>
      </w:pPr>
      <w:r>
        <w:rPr>
          <w:color w:val="000000"/>
        </w:rPr>
        <w:t xml:space="preserve">Ve třetí odrážce se slova „akciová“ nahrazují slovy „nebo obchodní sociální dohoda“.</w:t>
      </w:r>
    </w:p>
    <w:p w14:paraId="15F7C9AF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5E00F9EA" w14:textId="77777777" w:rsidR="004C79C7" w:rsidRPr="00344821" w:rsidRDefault="004C79C7" w:rsidP="004C79C7">
      <w:pPr>
        <w:spacing w:line="260" w:lineRule="exact"/>
        <w:jc w:val="both"/>
      </w:pPr>
      <w:r>
        <w:rPr>
          <w:color w:val="000000"/>
        </w:rPr>
        <w:t xml:space="preserve">Ve čtvrté a páté odrážce se slovo „akciová“ nahrazuje slovem „obchodní“.</w:t>
      </w:r>
    </w:p>
    <w:p w14:paraId="668080D0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6ADAA099" w14:textId="77777777" w:rsidR="004C79C7" w:rsidRPr="00344821" w:rsidRDefault="004C79C7" w:rsidP="004C79C7">
      <w:pPr>
        <w:spacing w:line="260" w:lineRule="exact"/>
        <w:jc w:val="both"/>
        <w:rPr>
          <w:lang w:val="it-IT"/>
        </w:rPr>
      </w:pPr>
    </w:p>
    <w:p w14:paraId="60500325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78957C21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19C7E817" w14:textId="77777777" w:rsidR="004C79C7" w:rsidRDefault="004C79C7" w:rsidP="004C79C7">
      <w:pPr>
        <w:numPr>
          <w:ilvl w:val="0"/>
          <w:numId w:val="1"/>
        </w:numPr>
        <w:spacing w:after="160" w:line="260" w:lineRule="exact"/>
        <w:contextualSpacing/>
        <w:jc w:val="center"/>
      </w:pPr>
      <w:r>
        <w:rPr>
          <w:color w:val="000000"/>
        </w:rPr>
        <w:t xml:space="preserve">Článek</w:t>
      </w:r>
    </w:p>
    <w:p w14:paraId="251F75A0" w14:textId="77777777" w:rsidR="004C79C7" w:rsidRDefault="004C79C7" w:rsidP="004C79C7">
      <w:pPr>
        <w:spacing w:line="260" w:lineRule="exact"/>
        <w:jc w:val="center"/>
        <w:rPr>
          <w:color w:val="000000"/>
          <w:szCs w:val="20"/>
          <w:lang w:val="sl-SI" w:eastAsia="sl-SI"/>
        </w:rPr>
      </w:pPr>
    </w:p>
    <w:p w14:paraId="42F0489A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171E0EBE" w14:textId="77777777" w:rsidR="004C79C7" w:rsidRPr="00344821" w:rsidRDefault="004C79C7" w:rsidP="004C79C7">
      <w:pPr>
        <w:spacing w:line="260" w:lineRule="exact"/>
        <w:jc w:val="both"/>
      </w:pPr>
      <w:r>
        <w:rPr>
          <w:color w:val="000000"/>
        </w:rPr>
        <w:t xml:space="preserve">V článku 72 se šestá odrážka prvního odstavce mění takto:</w:t>
      </w:r>
    </w:p>
    <w:p w14:paraId="77285DD8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62A52AF7" w14:textId="77777777" w:rsidR="004C79C7" w:rsidRPr="00344821" w:rsidRDefault="004C79C7" w:rsidP="004C79C7">
      <w:pPr>
        <w:spacing w:line="260" w:lineRule="exact"/>
        <w:jc w:val="both"/>
      </w:pPr>
      <w:r>
        <w:rPr>
          <w:color w:val="000000"/>
        </w:rPr>
        <w:t xml:space="preserve">„— koncesionář porušuje tento zákon a pravidla zvláštních hazardních her přijatých na jeho základě, což bylo stanoveno rozhodnutím nebo jiným aktem orgánu dohledu a koncesionář neodstraňuje nedostatky ve lhůtě stanovené rozhodnutím nebo jiným aktem orgánu dohledu, kterým se nařizuje odstranění porušení, nebo bylo zjištěno, že toto porušení nelze odstranit jinými kontrolními opatřeními,“.</w:t>
      </w:r>
    </w:p>
    <w:p w14:paraId="756E3D8A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213BC1FC" w14:textId="77777777" w:rsidR="004C79C7" w:rsidRPr="00344821" w:rsidRDefault="004C79C7" w:rsidP="004C79C7">
      <w:pPr>
        <w:spacing w:line="260" w:lineRule="exact"/>
        <w:jc w:val="both"/>
      </w:pPr>
      <w:r>
        <w:rPr>
          <w:color w:val="000000"/>
        </w:rPr>
        <w:t xml:space="preserve">Osmá odrážka se mění takto:</w:t>
      </w:r>
    </w:p>
    <w:p w14:paraId="0C8D94ED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2E96FA4D" w14:textId="77777777" w:rsidR="004C79C7" w:rsidRPr="002D006E" w:rsidRDefault="004C79C7" w:rsidP="004C79C7">
      <w:pPr>
        <w:spacing w:line="260" w:lineRule="exact"/>
        <w:jc w:val="both"/>
        <w:rPr>
          <w:color w:val="000000"/>
          <w:szCs w:val="20"/>
        </w:rPr>
      </w:pPr>
      <w:r>
        <w:t xml:space="preserve">„—</w:t>
      </w:r>
      <w:bookmarkStart w:id="2" w:name="_Hlk62803003"/>
      <w:r>
        <w:t xml:space="preserve"> koncesionář nesplní povinnosti vyplývající z povinných příspěvků, daní a jiných poplatků ve stanovené lhůtě</w:t>
      </w:r>
      <w:bookmarkEnd w:id="2"/>
      <w:r>
        <w:t xml:space="preserve">,“.</w:t>
      </w:r>
    </w:p>
    <w:p w14:paraId="710D2A45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211B9227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39C2AA06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7C01896F" w14:textId="77777777" w:rsidR="004C79C7" w:rsidRDefault="004C79C7" w:rsidP="004C79C7">
      <w:pPr>
        <w:numPr>
          <w:ilvl w:val="0"/>
          <w:numId w:val="1"/>
        </w:numPr>
        <w:spacing w:after="160" w:line="260" w:lineRule="exact"/>
        <w:contextualSpacing/>
        <w:jc w:val="center"/>
      </w:pPr>
      <w:r>
        <w:rPr>
          <w:color w:val="000000"/>
        </w:rPr>
        <w:t xml:space="preserve">Článek</w:t>
      </w:r>
    </w:p>
    <w:p w14:paraId="62025EAF" w14:textId="77777777" w:rsidR="004C79C7" w:rsidRDefault="004C79C7" w:rsidP="004C79C7">
      <w:pPr>
        <w:spacing w:line="260" w:lineRule="exact"/>
        <w:jc w:val="center"/>
        <w:rPr>
          <w:color w:val="000000"/>
          <w:szCs w:val="20"/>
          <w:lang w:val="sl-SI" w:eastAsia="sl-SI"/>
        </w:rPr>
      </w:pPr>
    </w:p>
    <w:p w14:paraId="0FF7470E" w14:textId="77777777" w:rsidR="004C79C7" w:rsidRDefault="004C79C7" w:rsidP="004C79C7">
      <w:pPr>
        <w:spacing w:line="260" w:lineRule="exact"/>
        <w:jc w:val="both"/>
        <w:rPr>
          <w:color w:val="000000"/>
          <w:szCs w:val="20"/>
        </w:rPr>
      </w:pPr>
      <w:r>
        <w:rPr>
          <w:color w:val="000000"/>
        </w:rPr>
        <w:t xml:space="preserve">V článku 75 se zrušuje odstavec 3.</w:t>
      </w:r>
    </w:p>
    <w:p w14:paraId="1C6D91A5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32792B34" w14:textId="77777777" w:rsidR="004C79C7" w:rsidRPr="00344821" w:rsidRDefault="004C79C7" w:rsidP="004C79C7">
      <w:pPr>
        <w:spacing w:line="260" w:lineRule="exact"/>
        <w:jc w:val="both"/>
      </w:pPr>
      <w:r>
        <w:rPr>
          <w:color w:val="000000"/>
        </w:rPr>
        <w:t xml:space="preserve">Stávající čtvrtý odstavec se stává třetím odstavcem.</w:t>
      </w:r>
      <w:r>
        <w:rPr>
          <w:color w:val="000000"/>
        </w:rPr>
        <w:t xml:space="preserve"> </w:t>
      </w:r>
    </w:p>
    <w:p w14:paraId="6D7B2F92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29DCF165" w14:textId="77777777" w:rsidR="004C79C7" w:rsidRPr="00344821" w:rsidRDefault="004C79C7" w:rsidP="004C79C7">
      <w:pPr>
        <w:spacing w:line="260" w:lineRule="exact"/>
        <w:jc w:val="both"/>
      </w:pPr>
      <w:r>
        <w:rPr>
          <w:color w:val="000000"/>
        </w:rPr>
        <w:t xml:space="preserve">Ve stávajícím pátém odstavci, který se stává čtvrtým odstavcem, se slova „při sazbě 5 % základu“ nahrazují slovy „v sazbě stanovené vládou v rozhodnutí o udělení koncese a nesmí být nižší než 5 % základu“.</w:t>
      </w:r>
    </w:p>
    <w:p w14:paraId="1C258530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66733F94" w14:textId="77777777" w:rsidR="004C79C7" w:rsidRPr="00344821" w:rsidRDefault="004C79C7" w:rsidP="004C79C7">
      <w:pPr>
        <w:spacing w:line="260" w:lineRule="exact"/>
        <w:jc w:val="both"/>
      </w:pPr>
      <w:r>
        <w:rPr>
          <w:color w:val="000000"/>
        </w:rPr>
        <w:t xml:space="preserve">Dosavadní odstavec 6, který se označuje jako odstavec 5, se mění takto:</w:t>
      </w:r>
    </w:p>
    <w:p w14:paraId="6E5AF2FE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3228FF7F" w14:textId="77777777" w:rsidR="004C79C7" w:rsidRDefault="004C79C7" w:rsidP="004C79C7">
      <w:pPr>
        <w:spacing w:line="260" w:lineRule="exact"/>
        <w:jc w:val="both"/>
        <w:rPr>
          <w:color w:val="000000"/>
          <w:szCs w:val="20"/>
        </w:rPr>
      </w:pPr>
      <w:r>
        <w:rPr>
          <w:color w:val="000000"/>
        </w:rPr>
        <w:t xml:space="preserve">„Koncesionář musí vypočítat a zaplatit koncesní poplatek do pěti pracovních dnů od konce měsíce za předchozí měsíc.“.</w:t>
      </w:r>
    </w:p>
    <w:p w14:paraId="69DE837A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1866BF15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38BD415A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4F80E06D" w14:textId="77777777" w:rsidR="004C79C7" w:rsidRPr="00344821" w:rsidRDefault="004C79C7" w:rsidP="004C79C7">
      <w:pPr>
        <w:numPr>
          <w:ilvl w:val="0"/>
          <w:numId w:val="1"/>
        </w:numPr>
        <w:spacing w:line="260" w:lineRule="exact"/>
        <w:jc w:val="center"/>
      </w:pPr>
      <w:r>
        <w:t xml:space="preserve">Článek</w:t>
      </w:r>
      <w:r>
        <w:t xml:space="preserve"> </w:t>
      </w:r>
    </w:p>
    <w:p w14:paraId="1E2EA16C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7DF36E51" w14:textId="77777777" w:rsidR="004C79C7" w:rsidRDefault="004C79C7" w:rsidP="004C79C7">
      <w:pPr>
        <w:spacing w:line="260" w:lineRule="exact"/>
        <w:jc w:val="both"/>
        <w:rPr>
          <w:color w:val="000000"/>
          <w:szCs w:val="20"/>
        </w:rPr>
      </w:pPr>
      <w:r>
        <w:rPr>
          <w:color w:val="000000"/>
        </w:rPr>
        <w:t xml:space="preserve">Znění čl. 85 písm. a) se mění takto:</w:t>
      </w:r>
    </w:p>
    <w:p w14:paraId="7EDC2191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5E00B986" w14:textId="77777777" w:rsidR="004C79C7" w:rsidRDefault="004C79C7" w:rsidP="004C79C7">
      <w:pPr>
        <w:spacing w:line="260" w:lineRule="exact"/>
        <w:jc w:val="both"/>
        <w:rPr>
          <w:color w:val="000000"/>
          <w:szCs w:val="20"/>
        </w:rPr>
      </w:pPr>
      <w:r>
        <w:rPr>
          <w:color w:val="000000"/>
        </w:rPr>
        <w:t xml:space="preserve">„Správci kasin, krupiéři, herní manažeři, osoby vykonávající vnitřní kontrolu v kasinu a hlavní a pomocní pokladní v kasinech musí splňovat následující podmínky pro práci v oblasti herních činností:</w:t>
      </w:r>
    </w:p>
    <w:p w14:paraId="5CDA41A3" w14:textId="77777777" w:rsidR="004C79C7" w:rsidRPr="004F17D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3C150300" w14:textId="77777777" w:rsidR="004C79C7" w:rsidRPr="004F17D7" w:rsidRDefault="004C79C7" w:rsidP="004C79C7">
      <w:pPr>
        <w:spacing w:line="260" w:lineRule="exact"/>
        <w:ind w:left="720" w:hanging="720"/>
        <w:jc w:val="both"/>
        <w:rPr>
          <w:color w:val="000000"/>
          <w:szCs w:val="20"/>
        </w:rPr>
      </w:pPr>
      <w:r>
        <w:rPr>
          <w:color w:val="000000"/>
        </w:rPr>
        <w:t xml:space="preserve">musí mít požadované vzdělání a splňovat další podmínky a požadavky na postavení stanovené koncesionářem prostřednictvím obecného zákona;</w:t>
      </w:r>
    </w:p>
    <w:p w14:paraId="0D20E95A" w14:textId="77777777" w:rsidR="004C79C7" w:rsidRDefault="004C79C7" w:rsidP="004C79C7">
      <w:pPr>
        <w:spacing w:line="260" w:lineRule="exact"/>
        <w:ind w:left="720" w:hanging="720"/>
        <w:jc w:val="both"/>
        <w:rPr>
          <w:color w:val="000000"/>
          <w:szCs w:val="20"/>
        </w:rPr>
      </w:pPr>
      <w:r>
        <w:rPr>
          <w:color w:val="000000"/>
        </w:rPr>
        <w:t xml:space="preserve">—</w:t>
      </w:r>
      <w:r>
        <w:rPr>
          <w:color w:val="000000"/>
        </w:rPr>
        <w:tab/>
      </w:r>
      <w:r>
        <w:rPr>
          <w:color w:val="000000"/>
        </w:rPr>
        <w:t xml:space="preserve">nesmí být odsouzeni k trestu odnětí svobody za trestný čin proti životu a zdraví, lidskému zdraví, majetku, hospodářství, právním úkonům, úřední povinnosti a veřejné moci nebo veřejnému pořádku a míru.“.</w:t>
      </w:r>
    </w:p>
    <w:p w14:paraId="42A4C6B6" w14:textId="77777777" w:rsidR="004C79C7" w:rsidRDefault="004C79C7" w:rsidP="004C79C7">
      <w:pPr>
        <w:spacing w:line="260" w:lineRule="exact"/>
        <w:ind w:left="720" w:hanging="720"/>
        <w:jc w:val="both"/>
        <w:rPr>
          <w:color w:val="000000"/>
          <w:szCs w:val="20"/>
          <w:lang w:val="sl-SI" w:eastAsia="sl-SI"/>
        </w:rPr>
      </w:pPr>
    </w:p>
    <w:p w14:paraId="4668039E" w14:textId="77777777" w:rsidR="004C79C7" w:rsidRDefault="004C79C7" w:rsidP="004C79C7">
      <w:pPr>
        <w:spacing w:line="260" w:lineRule="exact"/>
        <w:ind w:left="720" w:hanging="720"/>
        <w:jc w:val="both"/>
        <w:rPr>
          <w:color w:val="000000"/>
          <w:szCs w:val="20"/>
          <w:lang w:val="sl-SI" w:eastAsia="sl-SI"/>
        </w:rPr>
      </w:pPr>
    </w:p>
    <w:p w14:paraId="1F5F9386" w14:textId="77777777" w:rsidR="004C79C7" w:rsidRDefault="004C79C7" w:rsidP="004C79C7">
      <w:pPr>
        <w:pStyle w:val="Odstavekseznama"/>
        <w:numPr>
          <w:ilvl w:val="0"/>
          <w:numId w:val="1"/>
        </w:numPr>
        <w:spacing w:line="260" w:lineRule="exact"/>
        <w:jc w:val="center"/>
        <w:rPr>
          <w:color w:val="000000"/>
          <w:szCs w:val="20"/>
        </w:rPr>
      </w:pPr>
      <w:r>
        <w:rPr>
          <w:color w:val="000000"/>
        </w:rPr>
        <w:t xml:space="preserve">Článek</w:t>
      </w:r>
    </w:p>
    <w:p w14:paraId="30AB4E54" w14:textId="77777777" w:rsidR="004C79C7" w:rsidRDefault="004C79C7" w:rsidP="004C79C7">
      <w:pPr>
        <w:spacing w:line="260" w:lineRule="exact"/>
        <w:jc w:val="center"/>
        <w:rPr>
          <w:color w:val="000000"/>
          <w:szCs w:val="20"/>
          <w:lang w:val="sl-SI" w:eastAsia="sl-SI"/>
        </w:rPr>
      </w:pPr>
    </w:p>
    <w:p w14:paraId="36E8AD68" w14:textId="77777777" w:rsidR="004C79C7" w:rsidRPr="0013410E" w:rsidRDefault="004C79C7" w:rsidP="004C79C7">
      <w:pPr>
        <w:spacing w:line="260" w:lineRule="exact"/>
        <w:jc w:val="both"/>
        <w:rPr>
          <w:color w:val="000000"/>
          <w:szCs w:val="20"/>
        </w:rPr>
      </w:pPr>
      <w:r>
        <w:rPr>
          <w:color w:val="000000"/>
        </w:rPr>
        <w:t xml:space="preserve">Zrušuje se článek 85.b.</w:t>
      </w:r>
    </w:p>
    <w:p w14:paraId="17512DCC" w14:textId="77777777" w:rsidR="004C79C7" w:rsidRDefault="004C79C7" w:rsidP="004C79C7">
      <w:pPr>
        <w:spacing w:line="260" w:lineRule="exact"/>
        <w:ind w:left="720" w:hanging="720"/>
        <w:jc w:val="both"/>
        <w:rPr>
          <w:color w:val="000000"/>
          <w:szCs w:val="20"/>
          <w:lang w:val="sl-SI" w:eastAsia="sl-SI"/>
        </w:rPr>
      </w:pPr>
    </w:p>
    <w:p w14:paraId="2056BBBC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3A6CDFDB" w14:textId="77777777" w:rsidR="004C79C7" w:rsidRDefault="004C79C7" w:rsidP="004C79C7">
      <w:pPr>
        <w:numPr>
          <w:ilvl w:val="0"/>
          <w:numId w:val="1"/>
        </w:numPr>
        <w:spacing w:after="160" w:line="260" w:lineRule="exact"/>
        <w:contextualSpacing/>
        <w:jc w:val="center"/>
      </w:pPr>
      <w:r>
        <w:rPr>
          <w:color w:val="000000"/>
        </w:rPr>
        <w:t xml:space="preserve">Článek</w:t>
      </w:r>
    </w:p>
    <w:p w14:paraId="7DD4B61D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645B6367" w14:textId="77777777" w:rsidR="004C79C7" w:rsidRPr="00344821" w:rsidRDefault="004C79C7" w:rsidP="004C79C7">
      <w:pPr>
        <w:spacing w:line="260" w:lineRule="exact"/>
        <w:jc w:val="both"/>
      </w:pPr>
      <w:r>
        <w:rPr>
          <w:color w:val="000000"/>
        </w:rPr>
        <w:t xml:space="preserve">V čl. 92 odst. 1 se slova „akciová společnost nebo společnost s ručením omezeným se sídlem na území Republiky Slovinsko“ nahrazují slovy „společnost s udělenou koncesí“.</w:t>
      </w:r>
    </w:p>
    <w:p w14:paraId="210163C6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4D5D7859" w14:textId="77777777" w:rsidR="004C79C7" w:rsidRDefault="004C79C7" w:rsidP="004C79C7">
      <w:pPr>
        <w:spacing w:line="260" w:lineRule="exact"/>
        <w:jc w:val="both"/>
        <w:rPr>
          <w:color w:val="000000"/>
          <w:szCs w:val="20"/>
          <w:lang w:val="sl-SI" w:eastAsia="sl-SI"/>
        </w:rPr>
      </w:pPr>
    </w:p>
    <w:p w14:paraId="15DECADF" w14:textId="77777777" w:rsidR="004C79C7" w:rsidRDefault="004C79C7" w:rsidP="004C79C7">
      <w:pPr>
        <w:spacing w:after="160" w:line="256" w:lineRule="auto"/>
        <w:jc w:val="both"/>
        <w:rPr>
          <w:rFonts w:eastAsia="Calibri"/>
          <w:szCs w:val="20"/>
          <w:lang w:val="sl-SI"/>
        </w:rPr>
      </w:pPr>
    </w:p>
    <w:p w14:paraId="1F198D01" w14:textId="77777777" w:rsidR="004C79C7" w:rsidRDefault="004C79C7" w:rsidP="004C79C7">
      <w:pPr>
        <w:numPr>
          <w:ilvl w:val="0"/>
          <w:numId w:val="1"/>
        </w:numPr>
        <w:spacing w:after="160" w:line="256" w:lineRule="auto"/>
        <w:contextualSpacing/>
        <w:jc w:val="center"/>
      </w:pPr>
      <w:r>
        <w:t xml:space="preserve">Článek</w:t>
      </w:r>
    </w:p>
    <w:p w14:paraId="3243177C" w14:textId="77777777" w:rsidR="004C79C7" w:rsidRDefault="004C79C7" w:rsidP="004C79C7">
      <w:pPr>
        <w:spacing w:after="160" w:line="256" w:lineRule="auto"/>
        <w:jc w:val="center"/>
        <w:rPr>
          <w:rFonts w:eastAsia="Calibri"/>
          <w:szCs w:val="20"/>
          <w:lang w:val="sl-SI"/>
        </w:rPr>
      </w:pPr>
    </w:p>
    <w:p w14:paraId="52E8CBC2" w14:textId="77777777" w:rsidR="004C79C7" w:rsidRPr="000A6261" w:rsidRDefault="004C79C7" w:rsidP="004C79C7">
      <w:pPr>
        <w:spacing w:after="160" w:line="256" w:lineRule="auto"/>
        <w:jc w:val="both"/>
      </w:pPr>
      <w:r>
        <w:t xml:space="preserve">V čl. 94 odst. 1 a 2 se částka „208 000 EUR“ nahrazuje částkou „250 000 EUR“.</w:t>
      </w:r>
    </w:p>
    <w:p w14:paraId="47DDB7E7" w14:textId="77777777" w:rsidR="004C79C7" w:rsidRDefault="004C79C7" w:rsidP="004C79C7">
      <w:pPr>
        <w:spacing w:after="160" w:line="256" w:lineRule="auto"/>
        <w:jc w:val="both"/>
        <w:rPr>
          <w:rFonts w:eastAsia="Calibri"/>
          <w:szCs w:val="20"/>
          <w:lang w:val="sl-SI"/>
        </w:rPr>
      </w:pPr>
    </w:p>
    <w:p w14:paraId="1FE4FE60" w14:textId="77777777" w:rsidR="004C79C7" w:rsidRDefault="004C79C7" w:rsidP="004C79C7">
      <w:pPr>
        <w:numPr>
          <w:ilvl w:val="0"/>
          <w:numId w:val="1"/>
        </w:numPr>
        <w:spacing w:after="160" w:line="256" w:lineRule="auto"/>
        <w:contextualSpacing/>
        <w:jc w:val="center"/>
      </w:pPr>
      <w:r>
        <w:t xml:space="preserve">Článek</w:t>
      </w:r>
    </w:p>
    <w:p w14:paraId="2EFF5A1B" w14:textId="77777777" w:rsidR="004C79C7" w:rsidRDefault="004C79C7" w:rsidP="004C79C7">
      <w:pPr>
        <w:spacing w:after="160" w:line="256" w:lineRule="auto"/>
        <w:jc w:val="both"/>
        <w:rPr>
          <w:rFonts w:eastAsia="Calibri"/>
          <w:szCs w:val="20"/>
          <w:lang w:val="sl-SI"/>
        </w:rPr>
      </w:pPr>
    </w:p>
    <w:p w14:paraId="15307E40" w14:textId="77777777" w:rsidR="004C79C7" w:rsidRPr="00344821" w:rsidRDefault="004C79C7" w:rsidP="004C79C7">
      <w:pPr>
        <w:spacing w:after="160" w:line="256" w:lineRule="auto"/>
        <w:jc w:val="both"/>
      </w:pPr>
      <w:r>
        <w:t xml:space="preserve">V čl. 97 odst. 1 se číslo „50“ nahrazuje číslem „100“.</w:t>
      </w:r>
    </w:p>
    <w:p w14:paraId="006818D2" w14:textId="77777777" w:rsidR="004C79C7" w:rsidRDefault="004C79C7" w:rsidP="004C79C7">
      <w:pPr>
        <w:spacing w:after="160" w:line="256" w:lineRule="auto"/>
        <w:jc w:val="both"/>
        <w:rPr>
          <w:rFonts w:eastAsia="Calibri"/>
          <w:szCs w:val="20"/>
          <w:lang w:val="sl-SI"/>
        </w:rPr>
      </w:pPr>
    </w:p>
    <w:p w14:paraId="348CF347" w14:textId="77777777" w:rsidR="004C79C7" w:rsidRDefault="004C79C7" w:rsidP="004C79C7">
      <w:pPr>
        <w:numPr>
          <w:ilvl w:val="0"/>
          <w:numId w:val="1"/>
        </w:numPr>
        <w:spacing w:after="160" w:line="256" w:lineRule="auto"/>
        <w:contextualSpacing/>
        <w:jc w:val="center"/>
      </w:pPr>
      <w:r>
        <w:t xml:space="preserve">Článek</w:t>
      </w:r>
    </w:p>
    <w:p w14:paraId="1E5DAD1C" w14:textId="77777777" w:rsidR="004C79C7" w:rsidRPr="00344821" w:rsidRDefault="004C79C7" w:rsidP="004C79C7">
      <w:pPr>
        <w:spacing w:after="160" w:line="256" w:lineRule="auto"/>
        <w:jc w:val="both"/>
      </w:pPr>
      <w:r>
        <w:t xml:space="preserve">V článku 98 se zrušuje odstavec 3.</w:t>
      </w:r>
    </w:p>
    <w:p w14:paraId="0AC6C386" w14:textId="77777777" w:rsidR="004C79C7" w:rsidRPr="00344821" w:rsidRDefault="004C79C7" w:rsidP="004C79C7">
      <w:pPr>
        <w:spacing w:after="160" w:line="256" w:lineRule="auto"/>
        <w:jc w:val="both"/>
      </w:pPr>
      <w:r>
        <w:t xml:space="preserve">Dosavadní odstavec 4, který se označuje jako odstavec 3, se mění takto:</w:t>
      </w:r>
      <w:r>
        <w:t xml:space="preserve"> </w:t>
      </w:r>
    </w:p>
    <w:p w14:paraId="06478F93" w14:textId="77777777" w:rsidR="004C79C7" w:rsidRPr="00344821" w:rsidRDefault="004C79C7" w:rsidP="004C79C7">
      <w:pPr>
        <w:spacing w:after="160" w:line="256" w:lineRule="auto"/>
        <w:jc w:val="both"/>
      </w:pPr>
      <w:r>
        <w:t xml:space="preserve">„Koncesionář vypočítává a uhradí koncesní poplatek za herní salon ve výši stanovené vládním rozhodnutím o udělení koncese a nesmí být nižší než 20 %, a to do pěti pracovních dnů po skončení měsíce předcházejícího měsíce.“.</w:t>
      </w:r>
    </w:p>
    <w:p w14:paraId="025BAE1B" w14:textId="77777777" w:rsidR="004C79C7" w:rsidRDefault="004C79C7" w:rsidP="004C79C7">
      <w:pPr>
        <w:spacing w:after="160" w:line="256" w:lineRule="auto"/>
        <w:jc w:val="both"/>
        <w:rPr>
          <w:szCs w:val="20"/>
          <w:rFonts w:eastAsia="Calibri"/>
        </w:rPr>
      </w:pPr>
      <w:r>
        <w:t xml:space="preserve">Odstavec 5 se mění takto:</w:t>
      </w:r>
    </w:p>
    <w:p w14:paraId="12330206" w14:textId="77777777" w:rsidR="004C79C7" w:rsidRDefault="004C79C7" w:rsidP="004C79C7">
      <w:pPr>
        <w:spacing w:after="160" w:line="256" w:lineRule="auto"/>
        <w:jc w:val="both"/>
        <w:rPr>
          <w:szCs w:val="20"/>
          <w:rFonts w:eastAsia="Calibri"/>
        </w:rPr>
      </w:pPr>
      <w:r>
        <w:t xml:space="preserve">„Koncesionář musí vypočítat a zaplatit koncesní poplatek do pěti pracovních dnů od konce měsíce za předchozí měsíc.“.</w:t>
      </w:r>
      <w:r>
        <w:t xml:space="preserve"> </w:t>
      </w:r>
    </w:p>
    <w:p w14:paraId="49E16D35" w14:textId="77777777" w:rsidR="004C79C7" w:rsidRDefault="004C79C7" w:rsidP="004C79C7">
      <w:pPr>
        <w:spacing w:after="160" w:line="256" w:lineRule="auto"/>
        <w:jc w:val="both"/>
        <w:rPr>
          <w:rFonts w:eastAsia="Calibri"/>
          <w:szCs w:val="20"/>
          <w:lang w:val="sl-SI"/>
        </w:rPr>
      </w:pPr>
    </w:p>
    <w:p w14:paraId="6827709B" w14:textId="77777777" w:rsidR="004C79C7" w:rsidRDefault="004C79C7" w:rsidP="004C79C7">
      <w:pPr>
        <w:numPr>
          <w:ilvl w:val="0"/>
          <w:numId w:val="1"/>
        </w:numPr>
        <w:spacing w:after="160" w:line="256" w:lineRule="auto"/>
        <w:contextualSpacing/>
        <w:jc w:val="center"/>
      </w:pPr>
      <w:r>
        <w:t xml:space="preserve">Článek</w:t>
      </w:r>
    </w:p>
    <w:p w14:paraId="4C17C8CB" w14:textId="77777777" w:rsidR="004C79C7" w:rsidRDefault="004C79C7" w:rsidP="004C79C7">
      <w:pPr>
        <w:spacing w:after="160" w:line="256" w:lineRule="auto"/>
        <w:jc w:val="both"/>
        <w:rPr>
          <w:rFonts w:eastAsia="Calibri"/>
          <w:szCs w:val="20"/>
          <w:lang w:val="sl-SI"/>
        </w:rPr>
      </w:pPr>
    </w:p>
    <w:p w14:paraId="477EEF75" w14:textId="77777777" w:rsidR="004C79C7" w:rsidRPr="00344821" w:rsidRDefault="004C79C7" w:rsidP="004C79C7">
      <w:pPr>
        <w:spacing w:after="160" w:line="256" w:lineRule="auto"/>
        <w:jc w:val="both"/>
      </w:pPr>
      <w:r>
        <w:t xml:space="preserve">V článku 107 se odstavec 1 mění takto:</w:t>
      </w:r>
    </w:p>
    <w:p w14:paraId="6BB541EE" w14:textId="77777777" w:rsidR="004C79C7" w:rsidRPr="00344821" w:rsidRDefault="004C79C7" w:rsidP="004C79C7">
      <w:pPr>
        <w:spacing w:after="160" w:line="256" w:lineRule="auto"/>
        <w:jc w:val="both"/>
      </w:pPr>
      <w:r>
        <w:t xml:space="preserve">„Nad pořádáním hazardních her dohlíží finanční správa Republiky Slovinsko (dále jen „orgán dohledu“) na základě ustanovení tohoto zákona a předpisů vydaných na jeho základě.“.</w:t>
      </w:r>
    </w:p>
    <w:p w14:paraId="23AF2CEA" w14:textId="77777777" w:rsidR="004C79C7" w:rsidRDefault="004C79C7" w:rsidP="004C79C7">
      <w:pPr>
        <w:spacing w:after="160" w:line="256" w:lineRule="auto"/>
        <w:jc w:val="both"/>
        <w:rPr>
          <w:rFonts w:eastAsia="Calibri"/>
          <w:szCs w:val="20"/>
          <w:lang w:val="sl-SI"/>
        </w:rPr>
      </w:pPr>
    </w:p>
    <w:p w14:paraId="125AE4C1" w14:textId="77777777" w:rsidR="004C79C7" w:rsidRDefault="004C79C7" w:rsidP="004C79C7">
      <w:pPr>
        <w:numPr>
          <w:ilvl w:val="0"/>
          <w:numId w:val="1"/>
        </w:numPr>
        <w:spacing w:after="160" w:line="256" w:lineRule="auto"/>
        <w:contextualSpacing/>
        <w:jc w:val="center"/>
      </w:pPr>
      <w:r>
        <w:t xml:space="preserve">Článek</w:t>
      </w:r>
    </w:p>
    <w:p w14:paraId="44066820" w14:textId="77777777" w:rsidR="004C79C7" w:rsidRDefault="004C79C7" w:rsidP="004C79C7">
      <w:pPr>
        <w:spacing w:after="160" w:line="256" w:lineRule="auto"/>
        <w:jc w:val="both"/>
        <w:rPr>
          <w:szCs w:val="20"/>
        </w:rPr>
      </w:pPr>
    </w:p>
    <w:p w14:paraId="44D56D50" w14:textId="77777777" w:rsidR="004C79C7" w:rsidRPr="00344821" w:rsidRDefault="004C79C7" w:rsidP="004C79C7">
      <w:pPr>
        <w:spacing w:after="160" w:line="256" w:lineRule="auto"/>
        <w:jc w:val="both"/>
      </w:pPr>
      <w:r>
        <w:t xml:space="preserve">V čl. 108 odst. 1 úvodní větě se za slova „úkolem orgánu dohledu“ doplňuje slovo „především“.</w:t>
      </w:r>
    </w:p>
    <w:p w14:paraId="4ACF8029" w14:textId="77777777" w:rsidR="004C79C7" w:rsidRDefault="004C79C7" w:rsidP="004C79C7">
      <w:pPr>
        <w:spacing w:after="160" w:line="256" w:lineRule="auto"/>
        <w:jc w:val="both"/>
        <w:rPr>
          <w:rFonts w:eastAsia="Calibri"/>
          <w:szCs w:val="20"/>
          <w:lang w:val="sl-SI"/>
        </w:rPr>
      </w:pPr>
    </w:p>
    <w:p w14:paraId="15748687" w14:textId="77777777" w:rsidR="004C79C7" w:rsidRDefault="004C79C7" w:rsidP="004C79C7">
      <w:pPr>
        <w:numPr>
          <w:ilvl w:val="0"/>
          <w:numId w:val="1"/>
        </w:numPr>
        <w:spacing w:after="160" w:line="256" w:lineRule="auto"/>
        <w:contextualSpacing/>
        <w:jc w:val="center"/>
      </w:pPr>
      <w:r>
        <w:t xml:space="preserve">Článek</w:t>
      </w:r>
    </w:p>
    <w:p w14:paraId="3259B685" w14:textId="77777777" w:rsidR="004C79C7" w:rsidRDefault="004C79C7" w:rsidP="004C79C7">
      <w:pPr>
        <w:spacing w:after="160" w:line="256" w:lineRule="auto"/>
        <w:jc w:val="both"/>
        <w:rPr>
          <w:szCs w:val="20"/>
        </w:rPr>
      </w:pPr>
    </w:p>
    <w:p w14:paraId="36BBDF1D" w14:textId="77777777" w:rsidR="004C79C7" w:rsidRDefault="004C79C7" w:rsidP="004C79C7">
      <w:pPr>
        <w:spacing w:after="160" w:line="256" w:lineRule="auto"/>
        <w:jc w:val="both"/>
      </w:pPr>
      <w:r>
        <w:t xml:space="preserve">V čl. 110 odst. 1 se za slova „pořádá hazardní hru“ doplňuje čárka a slova „je-li právnická osoba považována za středně velkou nebo velkou společnost podle práva, kterým se řídí společnosti, od 100 000 EUR do 500 000 EUR“.</w:t>
      </w:r>
    </w:p>
    <w:p w14:paraId="606B2A5C" w14:textId="77777777" w:rsidR="004C79C7" w:rsidRDefault="004C79C7" w:rsidP="004C79C7">
      <w:pPr>
        <w:spacing w:after="160" w:line="256" w:lineRule="auto"/>
        <w:jc w:val="both"/>
        <w:rPr>
          <w:rFonts w:eastAsia="Calibri"/>
          <w:szCs w:val="20"/>
          <w:lang w:val="sl-SI"/>
        </w:rPr>
      </w:pPr>
    </w:p>
    <w:p w14:paraId="0A44E890" w14:textId="77777777" w:rsidR="004C79C7" w:rsidRDefault="004C79C7" w:rsidP="004C79C7">
      <w:pPr>
        <w:numPr>
          <w:ilvl w:val="0"/>
          <w:numId w:val="1"/>
        </w:numPr>
        <w:spacing w:after="160" w:line="256" w:lineRule="auto"/>
        <w:contextualSpacing/>
        <w:jc w:val="center"/>
      </w:pPr>
      <w:r>
        <w:t xml:space="preserve">Článek</w:t>
      </w:r>
    </w:p>
    <w:p w14:paraId="109A8753" w14:textId="77777777" w:rsidR="004C79C7" w:rsidRDefault="004C79C7" w:rsidP="004C79C7">
      <w:pPr>
        <w:spacing w:after="160" w:line="256" w:lineRule="auto"/>
        <w:jc w:val="both"/>
        <w:rPr>
          <w:szCs w:val="20"/>
        </w:rPr>
      </w:pPr>
    </w:p>
    <w:p w14:paraId="134638AC" w14:textId="77777777" w:rsidR="004C79C7" w:rsidRDefault="004C79C7" w:rsidP="004C79C7">
      <w:pPr>
        <w:spacing w:after="160" w:line="256" w:lineRule="auto"/>
        <w:jc w:val="both"/>
      </w:pPr>
      <w:r>
        <w:t xml:space="preserve">V čl. 111 odst. 1 úvodní větě se za slova „právnická osoba“ doplňuje čárka a slova „a s pokutou ve výši 15 000 až 120 000 EUR právnickou osobou, je-li podle práva společností považována za střední nebo velkou společnost“.</w:t>
      </w:r>
    </w:p>
    <w:p w14:paraId="07F8D6D6" w14:textId="77777777" w:rsidR="004C79C7" w:rsidRDefault="004C79C7" w:rsidP="004C79C7">
      <w:pPr>
        <w:spacing w:after="160" w:line="256" w:lineRule="auto"/>
        <w:jc w:val="both"/>
        <w:rPr>
          <w:szCs w:val="20"/>
        </w:rPr>
      </w:pPr>
    </w:p>
    <w:p w14:paraId="705673A1" w14:textId="77777777" w:rsidR="004C79C7" w:rsidRDefault="004C79C7" w:rsidP="004C79C7">
      <w:pPr>
        <w:numPr>
          <w:ilvl w:val="0"/>
          <w:numId w:val="1"/>
        </w:numPr>
        <w:spacing w:after="160" w:line="256" w:lineRule="auto"/>
        <w:contextualSpacing/>
        <w:jc w:val="center"/>
      </w:pPr>
      <w:r>
        <w:t xml:space="preserve">Článek</w:t>
      </w:r>
    </w:p>
    <w:p w14:paraId="3F9EE7EA" w14:textId="77777777" w:rsidR="004C79C7" w:rsidRDefault="004C79C7" w:rsidP="004C79C7">
      <w:pPr>
        <w:spacing w:after="160" w:line="256" w:lineRule="auto"/>
        <w:jc w:val="both"/>
        <w:rPr>
          <w:rFonts w:eastAsia="Calibri"/>
          <w:szCs w:val="20"/>
          <w:lang w:val="sl-SI"/>
        </w:rPr>
      </w:pPr>
    </w:p>
    <w:p w14:paraId="4E33E2BC" w14:textId="77777777" w:rsidR="004C79C7" w:rsidRDefault="004C79C7" w:rsidP="004C79C7">
      <w:pPr>
        <w:spacing w:after="160" w:line="256" w:lineRule="auto"/>
        <w:jc w:val="both"/>
        <w:rPr>
          <w:szCs w:val="20"/>
          <w:rFonts w:eastAsia="Calibri"/>
        </w:rPr>
      </w:pPr>
      <w:r>
        <w:t xml:space="preserve">V čl. 112 odst. 1 úvodní větě se za slova „právnická osoba“ doplňuje čárka a slova „a s pokutou ve výši 15 000 až 120 000 EUR, právnickou osobou, je-li podle práva společností považována za střední nebo velkou společnost“.</w:t>
      </w:r>
    </w:p>
    <w:p w14:paraId="378E2143" w14:textId="77777777" w:rsidR="004C79C7" w:rsidRPr="007D60E5" w:rsidRDefault="004C79C7" w:rsidP="004C79C7">
      <w:pPr>
        <w:spacing w:after="160" w:line="256" w:lineRule="auto"/>
        <w:jc w:val="both"/>
        <w:rPr>
          <w:szCs w:val="20"/>
          <w:rFonts w:eastAsia="Calibri"/>
        </w:rPr>
      </w:pPr>
      <w:r>
        <w:t xml:space="preserve">Bod 2 se mění takto:</w:t>
      </w:r>
    </w:p>
    <w:p w14:paraId="629ECE72" w14:textId="77777777" w:rsidR="004C79C7" w:rsidRPr="007D60E5" w:rsidRDefault="004C79C7" w:rsidP="004C79C7">
      <w:pPr>
        <w:spacing w:after="160" w:line="256" w:lineRule="auto"/>
        <w:jc w:val="both"/>
        <w:rPr>
          <w:szCs w:val="20"/>
          <w:rFonts w:eastAsia="Calibri"/>
        </w:rPr>
      </w:pPr>
      <w:r>
        <w:t xml:space="preserve">„2. nepropojuje informační systém, v němž pořádá on-line sázení nebo on-line hazardní hry, s informačním systémem orgánu dohledu a neposkytuje orgánu dohledu přístup k programům, údajům a systémovým záznamům (čl. 3a odst. 2);“.</w:t>
      </w:r>
    </w:p>
    <w:p w14:paraId="0162D3B8" w14:textId="77777777" w:rsidR="004C79C7" w:rsidRPr="007D60E5" w:rsidRDefault="004C79C7" w:rsidP="004C79C7">
      <w:pPr>
        <w:spacing w:after="160" w:line="256" w:lineRule="auto"/>
        <w:jc w:val="both"/>
        <w:rPr>
          <w:szCs w:val="20"/>
          <w:rFonts w:eastAsia="Calibri"/>
        </w:rPr>
      </w:pPr>
      <w:r>
        <w:t xml:space="preserve">Bod 3 se mění takto:</w:t>
      </w:r>
    </w:p>
    <w:p w14:paraId="4760E753" w14:textId="77777777" w:rsidR="004C79C7" w:rsidRDefault="004C79C7" w:rsidP="004C79C7">
      <w:pPr>
        <w:spacing w:after="160" w:line="256" w:lineRule="auto"/>
        <w:jc w:val="both"/>
        <w:rPr>
          <w:szCs w:val="20"/>
          <w:rFonts w:eastAsia="Calibri"/>
        </w:rPr>
      </w:pPr>
      <w:r>
        <w:t xml:space="preserve">„3. umožňuje účast na on-line sázení nebo on-line hrách osobám mladším 18 let (čl. 3.a odst. 4);</w:t>
      </w:r>
    </w:p>
    <w:p w14:paraId="6B973ECE" w14:textId="77777777" w:rsidR="004C79C7" w:rsidRPr="00011B6B" w:rsidRDefault="004C79C7" w:rsidP="004C79C7">
      <w:pPr>
        <w:spacing w:after="160" w:line="256" w:lineRule="auto"/>
        <w:jc w:val="both"/>
        <w:rPr>
          <w:szCs w:val="20"/>
          <w:rFonts w:eastAsia="Calibri"/>
        </w:rPr>
      </w:pPr>
      <w:r>
        <w:t xml:space="preserve">Doplňuje se nový bod 5.a, který zní:</w:t>
      </w:r>
    </w:p>
    <w:p w14:paraId="24516078" w14:textId="77777777" w:rsidR="004C79C7" w:rsidRDefault="004C79C7" w:rsidP="004C79C7">
      <w:pPr>
        <w:spacing w:after="160" w:line="256" w:lineRule="auto"/>
        <w:jc w:val="both"/>
        <w:rPr>
          <w:szCs w:val="20"/>
          <w:rFonts w:eastAsia="Calibri"/>
        </w:rPr>
      </w:pPr>
      <w:r>
        <w:t xml:space="preserve">„5.a neuvádí výstražnou značku na první stránce on-line služby:</w:t>
      </w:r>
      <w:r>
        <w:t xml:space="preserve"> </w:t>
      </w:r>
      <w:r>
        <w:t xml:space="preserve">„Hazardní hry nebo sázení jsou povoleny pouze osobám starším 18 let.</w:t>
      </w:r>
      <w:r>
        <w:t xml:space="preserve"> </w:t>
      </w:r>
      <w:r>
        <w:t xml:space="preserve">Hazardní hry mohou být návykové.„nebo pokud prohlášení nepokrývá alespoň 5 % velikosti první stránky on-line služby (čl. 52a odst. 5);“.</w:t>
      </w:r>
    </w:p>
    <w:p w14:paraId="60EEAA57" w14:textId="77777777" w:rsidR="004C79C7" w:rsidRPr="00DB5611" w:rsidRDefault="004C79C7" w:rsidP="004C79C7">
      <w:pPr>
        <w:spacing w:after="160" w:line="256" w:lineRule="auto"/>
        <w:jc w:val="both"/>
        <w:rPr>
          <w:szCs w:val="20"/>
          <w:rFonts w:eastAsia="Calibri"/>
        </w:rPr>
      </w:pPr>
      <w:r>
        <w:t xml:space="preserve">Bod 14 se mění takto:</w:t>
      </w:r>
    </w:p>
    <w:p w14:paraId="3F09C823" w14:textId="77777777" w:rsidR="004C79C7" w:rsidRDefault="004C79C7" w:rsidP="004C79C7">
      <w:pPr>
        <w:spacing w:after="160" w:line="256" w:lineRule="auto"/>
        <w:jc w:val="both"/>
        <w:rPr>
          <w:szCs w:val="20"/>
          <w:rFonts w:eastAsia="Calibri"/>
        </w:rPr>
      </w:pPr>
      <w:r>
        <w:t xml:space="preserve">„Umožňuje osobám mladším 18 let účastnit se sázení nebo navštívit kasino nebo hernu (čl. 52a odst. 3 a článek 83);“.</w:t>
      </w:r>
    </w:p>
    <w:p w14:paraId="754FBC35" w14:textId="77777777" w:rsidR="004C79C7" w:rsidRDefault="004C79C7" w:rsidP="004C79C7">
      <w:pPr>
        <w:spacing w:after="160" w:line="256" w:lineRule="auto"/>
        <w:jc w:val="both"/>
        <w:rPr>
          <w:rFonts w:eastAsia="Calibri"/>
          <w:szCs w:val="20"/>
          <w:lang w:val="sl-SI"/>
        </w:rPr>
      </w:pPr>
    </w:p>
    <w:p w14:paraId="0EF420C3" w14:textId="77777777" w:rsidR="004C79C7" w:rsidRDefault="004C79C7" w:rsidP="004C79C7">
      <w:pPr>
        <w:spacing w:after="160" w:line="256" w:lineRule="auto"/>
        <w:jc w:val="both"/>
        <w:rPr>
          <w:rFonts w:eastAsia="Calibri"/>
          <w:szCs w:val="20"/>
          <w:lang w:val="sl-SI"/>
        </w:rPr>
      </w:pPr>
    </w:p>
    <w:p w14:paraId="469994B5" w14:textId="77777777" w:rsidR="004C79C7" w:rsidRDefault="004C79C7" w:rsidP="004C79C7">
      <w:pPr>
        <w:numPr>
          <w:ilvl w:val="0"/>
          <w:numId w:val="1"/>
        </w:numPr>
        <w:spacing w:after="160" w:line="256" w:lineRule="auto"/>
        <w:contextualSpacing/>
        <w:jc w:val="center"/>
      </w:pPr>
      <w:r>
        <w:t xml:space="preserve">Článek</w:t>
      </w:r>
    </w:p>
    <w:p w14:paraId="0CEAC29E" w14:textId="77777777" w:rsidR="004C79C7" w:rsidRDefault="004C79C7" w:rsidP="004C79C7">
      <w:pPr>
        <w:spacing w:after="160" w:line="256" w:lineRule="auto"/>
        <w:jc w:val="both"/>
        <w:rPr>
          <w:szCs w:val="20"/>
        </w:rPr>
      </w:pPr>
    </w:p>
    <w:p w14:paraId="2538D93A" w14:textId="77777777" w:rsidR="004C79C7" w:rsidRDefault="004C79C7" w:rsidP="004C79C7">
      <w:pPr>
        <w:spacing w:after="160" w:line="256" w:lineRule="auto"/>
        <w:jc w:val="both"/>
        <w:rPr>
          <w:szCs w:val="20"/>
          <w:rFonts w:eastAsia="Calibri"/>
        </w:rPr>
      </w:pPr>
      <w:r>
        <w:t xml:space="preserve">V čl. 113 odst. 1 se v úvodní větě za slova „právnická osoba“ doplňuje čárka a slova „s pokutou ve výši 4 000 EUR až 30 000 EUR, právnickou osobou, je-li podle práva rozhodného pro společnosti považována za střední nebo velkou společnost“.</w:t>
      </w:r>
    </w:p>
    <w:p w14:paraId="10F257E5" w14:textId="77777777" w:rsidR="004C79C7" w:rsidRDefault="004C79C7" w:rsidP="004C79C7">
      <w:pPr>
        <w:spacing w:after="160" w:line="256" w:lineRule="auto"/>
        <w:jc w:val="both"/>
        <w:rPr>
          <w:szCs w:val="20"/>
          <w:rFonts w:eastAsia="Calibri"/>
        </w:rPr>
      </w:pPr>
      <w:r>
        <w:t xml:space="preserve">Bod 21 se vypouští.</w:t>
      </w:r>
      <w:r>
        <w:t xml:space="preserve"> </w:t>
      </w:r>
    </w:p>
    <w:p w14:paraId="3C22AD28" w14:textId="77777777" w:rsidR="004C79C7" w:rsidRDefault="004C79C7" w:rsidP="004C79C7">
      <w:pPr>
        <w:spacing w:after="160" w:line="256" w:lineRule="auto"/>
        <w:jc w:val="both"/>
        <w:rPr>
          <w:szCs w:val="20"/>
          <w:rFonts w:eastAsia="Calibri"/>
        </w:rPr>
      </w:pPr>
      <w:r>
        <w:t xml:space="preserve">Dosavadní body 22 až 27 se označují jako body 21 až 26.</w:t>
      </w:r>
    </w:p>
    <w:p w14:paraId="19599D84" w14:textId="77777777" w:rsidR="004C79C7" w:rsidRPr="00002DA8" w:rsidRDefault="004C79C7" w:rsidP="004C79C7">
      <w:pPr>
        <w:spacing w:after="160" w:line="256" w:lineRule="auto"/>
        <w:jc w:val="both"/>
        <w:rPr>
          <w:lang w:val="it-IT"/>
        </w:rPr>
      </w:pPr>
    </w:p>
    <w:p w14:paraId="1DFC9D75" w14:textId="77777777" w:rsidR="004C79C7" w:rsidRDefault="004C79C7" w:rsidP="004C79C7">
      <w:pPr>
        <w:spacing w:after="160" w:line="256" w:lineRule="auto"/>
        <w:jc w:val="both"/>
        <w:rPr>
          <w:rFonts w:eastAsia="Calibri"/>
          <w:szCs w:val="20"/>
          <w:lang w:val="sl-SI"/>
        </w:rPr>
      </w:pPr>
    </w:p>
    <w:p w14:paraId="7F31566F" w14:textId="77777777" w:rsidR="004C79C7" w:rsidRDefault="004C79C7" w:rsidP="004C79C7">
      <w:pPr>
        <w:numPr>
          <w:ilvl w:val="0"/>
          <w:numId w:val="1"/>
        </w:numPr>
        <w:spacing w:after="160" w:line="256" w:lineRule="auto"/>
        <w:contextualSpacing/>
        <w:jc w:val="center"/>
      </w:pPr>
      <w:r>
        <w:t xml:space="preserve">Článek</w:t>
      </w:r>
    </w:p>
    <w:p w14:paraId="22CDE4BA" w14:textId="77777777" w:rsidR="004C79C7" w:rsidRDefault="004C79C7" w:rsidP="004C79C7">
      <w:pPr>
        <w:spacing w:after="160" w:line="256" w:lineRule="auto"/>
        <w:jc w:val="both"/>
        <w:rPr>
          <w:rFonts w:eastAsia="Calibri"/>
          <w:szCs w:val="20"/>
          <w:lang w:val="sl-SI"/>
        </w:rPr>
      </w:pPr>
    </w:p>
    <w:p w14:paraId="4FCC658C" w14:textId="77777777" w:rsidR="004C79C7" w:rsidRPr="00304712" w:rsidRDefault="004C79C7" w:rsidP="004C79C7">
      <w:pPr>
        <w:spacing w:after="160" w:line="256" w:lineRule="auto"/>
        <w:jc w:val="both"/>
      </w:pPr>
      <w:r>
        <w:t xml:space="preserve">V čl. 114 odst. 1 úvodní větě se za slova „právní subjekt“ doplňuje čárka a slova „s pokutou ve výši 3 000 EUR, právnickou osobou, je-li podle práva společností považována za střední nebo velkou společnost“.</w:t>
      </w:r>
    </w:p>
    <w:p w14:paraId="6F608B9D" w14:textId="77777777" w:rsidR="004C79C7" w:rsidRDefault="004C79C7" w:rsidP="004C79C7">
      <w:pPr>
        <w:spacing w:after="160" w:line="256" w:lineRule="auto"/>
        <w:jc w:val="both"/>
        <w:rPr>
          <w:rFonts w:eastAsia="Calibri"/>
          <w:szCs w:val="20"/>
          <w:lang w:val="sl-SI"/>
        </w:rPr>
      </w:pPr>
    </w:p>
    <w:p w14:paraId="65D90B7B" w14:textId="77777777" w:rsidR="004C79C7" w:rsidRDefault="004C79C7" w:rsidP="004C79C7">
      <w:pPr>
        <w:numPr>
          <w:ilvl w:val="0"/>
          <w:numId w:val="1"/>
        </w:numPr>
        <w:spacing w:after="160" w:line="256" w:lineRule="auto"/>
        <w:contextualSpacing/>
        <w:jc w:val="center"/>
      </w:pPr>
      <w:r>
        <w:t xml:space="preserve">Článek</w:t>
      </w:r>
    </w:p>
    <w:p w14:paraId="529A5ADA" w14:textId="77777777" w:rsidR="004C79C7" w:rsidRDefault="004C79C7" w:rsidP="004C79C7">
      <w:pPr>
        <w:spacing w:after="160" w:line="256" w:lineRule="auto"/>
        <w:jc w:val="both"/>
        <w:rPr>
          <w:szCs w:val="20"/>
        </w:rPr>
      </w:pPr>
    </w:p>
    <w:p w14:paraId="069C4FFD" w14:textId="77777777" w:rsidR="004C79C7" w:rsidRDefault="004C79C7" w:rsidP="004C79C7">
      <w:pPr>
        <w:spacing w:after="160" w:line="256" w:lineRule="auto"/>
        <w:jc w:val="both"/>
      </w:pPr>
      <w:r>
        <w:t xml:space="preserve">V čl. 115 odst. 1 se v úvodní větě za slova „právnická osoba“ doplňuje čárka a slova „s pokutou ve výši 2 000 EUR až 12 000 EUR, právnickou osobou, je-li podle práva rozhodného pro společnosti považována za střední nebo velkou společnost“.</w:t>
      </w:r>
    </w:p>
    <w:p w14:paraId="35B55AE0" w14:textId="77777777" w:rsidR="004C79C7" w:rsidRDefault="004C79C7" w:rsidP="004C79C7">
      <w:pPr>
        <w:spacing w:after="160" w:line="256" w:lineRule="auto"/>
        <w:jc w:val="both"/>
        <w:rPr>
          <w:szCs w:val="20"/>
          <w:rFonts w:eastAsia="Calibri"/>
        </w:rPr>
      </w:pPr>
      <w:r>
        <w:t xml:space="preserve">Bod 13 se vypouští.</w:t>
      </w:r>
      <w:r>
        <w:t xml:space="preserve"> </w:t>
      </w:r>
    </w:p>
    <w:p w14:paraId="096C2589" w14:textId="77777777" w:rsidR="004C79C7" w:rsidRDefault="004C79C7" w:rsidP="004C79C7">
      <w:pPr>
        <w:spacing w:after="160" w:line="256" w:lineRule="auto"/>
        <w:jc w:val="both"/>
        <w:rPr>
          <w:szCs w:val="20"/>
          <w:rFonts w:eastAsia="Calibri"/>
        </w:rPr>
      </w:pPr>
      <w:r>
        <w:t xml:space="preserve">Dosavadní bod 14 se označuje jako bod 13.</w:t>
      </w:r>
    </w:p>
    <w:p w14:paraId="14E8AA4D" w14:textId="77777777" w:rsidR="004C79C7" w:rsidRDefault="004C79C7" w:rsidP="004C79C7">
      <w:pPr>
        <w:spacing w:line="264" w:lineRule="auto"/>
        <w:jc w:val="both"/>
        <w:rPr>
          <w:rFonts w:eastAsia="Calibri"/>
          <w:szCs w:val="20"/>
          <w:lang w:val="sl-SI"/>
        </w:rPr>
      </w:pPr>
    </w:p>
    <w:p w14:paraId="3CDA01EC" w14:textId="77777777" w:rsidR="004C79C7" w:rsidRDefault="004C79C7" w:rsidP="004C79C7">
      <w:pPr>
        <w:spacing w:line="264" w:lineRule="auto"/>
        <w:jc w:val="both"/>
        <w:rPr>
          <w:rFonts w:eastAsia="Calibri"/>
          <w:szCs w:val="20"/>
          <w:lang w:val="sl-SI"/>
        </w:rPr>
      </w:pPr>
    </w:p>
    <w:p w14:paraId="12888C2F" w14:textId="77777777" w:rsidR="004C79C7" w:rsidRDefault="004C79C7" w:rsidP="004C79C7">
      <w:pPr>
        <w:spacing w:line="264" w:lineRule="auto"/>
        <w:jc w:val="both"/>
        <w:rPr>
          <w:rFonts w:eastAsia="Calibri"/>
          <w:szCs w:val="20"/>
          <w:lang w:val="sl-SI"/>
        </w:rPr>
      </w:pPr>
    </w:p>
    <w:p w14:paraId="1B76AB90" w14:textId="77777777" w:rsidR="004C79C7" w:rsidRPr="001B57C0" w:rsidRDefault="004C79C7" w:rsidP="004C79C7">
      <w:pPr>
        <w:spacing w:line="264" w:lineRule="auto"/>
        <w:jc w:val="center"/>
      </w:pPr>
      <w:r>
        <w:t xml:space="preserve">PŘECHODNÁ A ZÁVĚREČNÁ USTANOVENÍ</w:t>
      </w:r>
    </w:p>
    <w:p w14:paraId="32A0678A" w14:textId="77777777" w:rsidR="004C79C7" w:rsidRDefault="004C79C7" w:rsidP="004C79C7">
      <w:pPr>
        <w:spacing w:line="264" w:lineRule="auto"/>
        <w:jc w:val="both"/>
        <w:rPr>
          <w:rFonts w:eastAsia="Calibri"/>
          <w:szCs w:val="20"/>
          <w:lang w:val="sl-SI"/>
        </w:rPr>
      </w:pPr>
    </w:p>
    <w:p w14:paraId="4EB0E3C3" w14:textId="77777777" w:rsidR="004C79C7" w:rsidRDefault="004C79C7" w:rsidP="004C79C7">
      <w:pPr>
        <w:spacing w:line="264" w:lineRule="auto"/>
        <w:jc w:val="both"/>
        <w:rPr>
          <w:rFonts w:eastAsia="Calibri"/>
          <w:szCs w:val="20"/>
          <w:lang w:val="sl-SI"/>
        </w:rPr>
      </w:pPr>
    </w:p>
    <w:p w14:paraId="731E8661" w14:textId="77777777" w:rsidR="004C79C7" w:rsidRPr="00884CCC" w:rsidRDefault="004C79C7" w:rsidP="004C79C7">
      <w:pPr>
        <w:numPr>
          <w:ilvl w:val="0"/>
          <w:numId w:val="1"/>
        </w:numPr>
        <w:spacing w:line="264" w:lineRule="auto"/>
        <w:jc w:val="center"/>
      </w:pPr>
      <w:r>
        <w:t xml:space="preserve">Článek</w:t>
      </w:r>
    </w:p>
    <w:p w14:paraId="75162F92" w14:textId="77777777" w:rsidR="004C79C7" w:rsidRDefault="004C79C7" w:rsidP="004C79C7">
      <w:pPr>
        <w:spacing w:line="264" w:lineRule="auto"/>
        <w:jc w:val="both"/>
        <w:rPr>
          <w:rFonts w:eastAsia="Calibri"/>
          <w:b/>
          <w:szCs w:val="20"/>
          <w:lang w:val="sl-SI"/>
        </w:rPr>
      </w:pPr>
    </w:p>
    <w:p w14:paraId="6F2BE973" w14:textId="77777777" w:rsidR="004C79C7" w:rsidRDefault="004C79C7" w:rsidP="004C79C7">
      <w:pPr>
        <w:spacing w:line="264" w:lineRule="auto"/>
        <w:jc w:val="both"/>
        <w:rPr>
          <w:szCs w:val="20"/>
          <w:rFonts w:eastAsia="Calibri"/>
        </w:rPr>
      </w:pPr>
      <w:r>
        <w:t xml:space="preserve">Řízení o udělení nebo prodloužení koncese na pořádání zvláštních hazardních her, která probíhají v den vstupu tohoto zákona v platnost, nebo podání odvolání proti konečnému rozhodnutí v těchto řízeních se provádějí a vyplňují v souladu se zákonem o hazardních hrách (Úřední věstník Republiky Slovinsko, č. 14/11 – oficiální konsolidované znění, 108/12, 11/14 – změna a 40/14 – ZIN-B) a nařízeními vydanými na jeho základě.</w:t>
      </w:r>
    </w:p>
    <w:p w14:paraId="02A7D2E6" w14:textId="77777777" w:rsidR="004C79C7" w:rsidRDefault="004C79C7" w:rsidP="004C79C7">
      <w:pPr>
        <w:spacing w:line="264" w:lineRule="auto"/>
        <w:jc w:val="both"/>
        <w:rPr>
          <w:rFonts w:eastAsia="Calibri"/>
          <w:szCs w:val="20"/>
          <w:lang w:val="sl-SI"/>
        </w:rPr>
      </w:pPr>
    </w:p>
    <w:p w14:paraId="7B52673E" w14:textId="77777777" w:rsidR="004C79C7" w:rsidRDefault="004C79C7" w:rsidP="004C79C7">
      <w:pPr>
        <w:spacing w:line="264" w:lineRule="auto"/>
        <w:jc w:val="both"/>
        <w:rPr>
          <w:rFonts w:eastAsia="Calibri"/>
          <w:szCs w:val="20"/>
          <w:lang w:val="sl-SI"/>
        </w:rPr>
      </w:pPr>
    </w:p>
    <w:p w14:paraId="234F9D61" w14:textId="77777777" w:rsidR="004C79C7" w:rsidRPr="007D60E5" w:rsidRDefault="004C79C7" w:rsidP="004C79C7">
      <w:pPr>
        <w:pStyle w:val="Odstavekseznama"/>
        <w:numPr>
          <w:ilvl w:val="0"/>
          <w:numId w:val="1"/>
        </w:numPr>
        <w:spacing w:line="264" w:lineRule="auto"/>
        <w:jc w:val="center"/>
        <w:rPr>
          <w:szCs w:val="20"/>
          <w:rFonts w:eastAsia="Calibri"/>
        </w:rPr>
      </w:pPr>
      <w:r>
        <w:t xml:space="preserve">Článek</w:t>
      </w:r>
    </w:p>
    <w:p w14:paraId="4055535A" w14:textId="77777777" w:rsidR="004C79C7" w:rsidRDefault="004C79C7" w:rsidP="004C79C7">
      <w:pPr>
        <w:spacing w:line="264" w:lineRule="auto"/>
        <w:jc w:val="both"/>
        <w:rPr>
          <w:rFonts w:eastAsia="Calibri"/>
          <w:szCs w:val="20"/>
          <w:lang w:val="sl-SI"/>
        </w:rPr>
      </w:pPr>
    </w:p>
    <w:p w14:paraId="246B779E" w14:textId="77777777" w:rsidR="004C79C7" w:rsidRDefault="004C79C7" w:rsidP="004C79C7">
      <w:pPr>
        <w:spacing w:line="264" w:lineRule="auto"/>
        <w:jc w:val="both"/>
        <w:rPr>
          <w:szCs w:val="20"/>
          <w:rFonts w:eastAsia="Calibri"/>
        </w:rPr>
      </w:pPr>
      <w:r>
        <w:t xml:space="preserve">Loterija Slovenije, d. d. a Športna loterija, d. d., kterým byla trvale udělena koncese na pořádání určitých klasických hazardních her v souladu s ustanoveními zákona o hazardních hrách (Úřední věstník Republiky Slovinsko, č. 14/11 – oficiální konsolidované znění, 108/12, 11/14 – změna a 40/14 – ZIN-B), mohou pořádat tyto hry v souladu s uzavřenou koncesní smlouvou až do uplynutí platnosti koncese na určitou hru.</w:t>
      </w:r>
    </w:p>
    <w:p w14:paraId="49D8ACA8" w14:textId="77777777" w:rsidR="004C79C7" w:rsidRDefault="004C79C7" w:rsidP="004C79C7">
      <w:pPr>
        <w:spacing w:line="264" w:lineRule="auto"/>
        <w:jc w:val="both"/>
        <w:rPr>
          <w:rFonts w:eastAsia="Calibri"/>
          <w:szCs w:val="20"/>
          <w:lang w:val="sl-SI"/>
        </w:rPr>
      </w:pPr>
    </w:p>
    <w:p w14:paraId="18649515" w14:textId="77777777" w:rsidR="004C79C7" w:rsidRDefault="004C79C7" w:rsidP="004C79C7">
      <w:pPr>
        <w:spacing w:line="264" w:lineRule="auto"/>
        <w:jc w:val="both"/>
        <w:rPr>
          <w:rFonts w:eastAsia="Calibri"/>
          <w:szCs w:val="20"/>
          <w:lang w:val="sl-SI"/>
        </w:rPr>
      </w:pPr>
    </w:p>
    <w:p w14:paraId="65B7F741" w14:textId="77777777" w:rsidR="004C79C7" w:rsidRDefault="004C79C7" w:rsidP="004C79C7">
      <w:pPr>
        <w:spacing w:line="264" w:lineRule="auto"/>
        <w:jc w:val="both"/>
        <w:rPr>
          <w:rFonts w:eastAsia="Calibri"/>
          <w:szCs w:val="20"/>
          <w:lang w:val="sl-SI"/>
        </w:rPr>
      </w:pPr>
    </w:p>
    <w:p w14:paraId="5D957465" w14:textId="77777777" w:rsidR="004C79C7" w:rsidRDefault="004C79C7" w:rsidP="004C79C7">
      <w:pPr>
        <w:pStyle w:val="Odstavekseznama"/>
        <w:numPr>
          <w:ilvl w:val="0"/>
          <w:numId w:val="1"/>
        </w:numPr>
        <w:spacing w:line="264" w:lineRule="auto"/>
        <w:jc w:val="center"/>
        <w:rPr>
          <w:szCs w:val="20"/>
          <w:rFonts w:eastAsia="Calibri"/>
        </w:rPr>
      </w:pPr>
      <w:r>
        <w:t xml:space="preserve">Článek</w:t>
      </w:r>
    </w:p>
    <w:p w14:paraId="499F233A" w14:textId="77777777" w:rsidR="004C79C7" w:rsidRDefault="004C79C7" w:rsidP="004C79C7">
      <w:pPr>
        <w:spacing w:line="264" w:lineRule="auto"/>
        <w:jc w:val="both"/>
        <w:rPr>
          <w:rFonts w:eastAsia="Calibri"/>
          <w:szCs w:val="20"/>
          <w:lang w:val="sl-SI"/>
        </w:rPr>
      </w:pPr>
    </w:p>
    <w:p w14:paraId="79174E6B" w14:textId="77777777" w:rsidR="004C79C7" w:rsidRPr="005B5003" w:rsidRDefault="004C79C7" w:rsidP="004C79C7">
      <w:pPr>
        <w:spacing w:line="264" w:lineRule="auto"/>
        <w:jc w:val="both"/>
        <w:rPr>
          <w:szCs w:val="20"/>
          <w:rFonts w:eastAsia="Calibri"/>
        </w:rPr>
      </w:pPr>
      <w:r>
        <w:t xml:space="preserve">Koncesionáři musí sladit vlastnickou strukturu s ustanovením pozměněného čl. 55 písm. a) zákona do 12 měsíců od vstupu tohoto zákona v platnost.</w:t>
      </w:r>
    </w:p>
    <w:p w14:paraId="0E2863B9" w14:textId="77777777" w:rsidR="004C79C7" w:rsidRDefault="004C79C7" w:rsidP="004C79C7">
      <w:pPr>
        <w:spacing w:line="264" w:lineRule="auto"/>
        <w:jc w:val="both"/>
        <w:rPr>
          <w:rFonts w:eastAsia="Calibri"/>
          <w:szCs w:val="20"/>
          <w:lang w:val="sl-SI"/>
        </w:rPr>
      </w:pPr>
    </w:p>
    <w:p w14:paraId="3E8665A2" w14:textId="77777777" w:rsidR="004C79C7" w:rsidRDefault="004C79C7" w:rsidP="004C79C7">
      <w:pPr>
        <w:spacing w:line="264" w:lineRule="auto"/>
        <w:jc w:val="both"/>
        <w:rPr>
          <w:rFonts w:eastAsia="Calibri"/>
          <w:szCs w:val="20"/>
          <w:lang w:val="sl-SI"/>
        </w:rPr>
      </w:pPr>
    </w:p>
    <w:p w14:paraId="44F5BEE2" w14:textId="77777777" w:rsidR="004C79C7" w:rsidRDefault="004C79C7" w:rsidP="004C79C7">
      <w:pPr>
        <w:spacing w:line="264" w:lineRule="auto"/>
        <w:jc w:val="both"/>
        <w:rPr>
          <w:rFonts w:eastAsia="Calibri"/>
          <w:szCs w:val="20"/>
          <w:lang w:val="sl-SI"/>
        </w:rPr>
      </w:pPr>
    </w:p>
    <w:p w14:paraId="22A8C56F" w14:textId="77777777" w:rsidR="004C79C7" w:rsidRPr="00721D12" w:rsidRDefault="004C79C7" w:rsidP="004C79C7">
      <w:pPr>
        <w:pStyle w:val="Odstavekseznama"/>
        <w:numPr>
          <w:ilvl w:val="0"/>
          <w:numId w:val="1"/>
        </w:numPr>
        <w:spacing w:line="264" w:lineRule="auto"/>
        <w:jc w:val="center"/>
        <w:rPr>
          <w:szCs w:val="20"/>
          <w:rFonts w:eastAsia="Calibri"/>
        </w:rPr>
      </w:pPr>
      <w:r>
        <w:t xml:space="preserve">Článek</w:t>
      </w:r>
    </w:p>
    <w:p w14:paraId="3FAB0B4A" w14:textId="77777777" w:rsidR="004C79C7" w:rsidRDefault="004C79C7" w:rsidP="004C79C7">
      <w:pPr>
        <w:spacing w:line="264" w:lineRule="auto"/>
        <w:jc w:val="both"/>
        <w:rPr>
          <w:rFonts w:eastAsia="Calibri"/>
          <w:szCs w:val="20"/>
          <w:lang w:val="sl-SI"/>
        </w:rPr>
      </w:pPr>
    </w:p>
    <w:p w14:paraId="1FDCF92A" w14:textId="77777777" w:rsidR="004C79C7" w:rsidRDefault="004C79C7" w:rsidP="004C79C7">
      <w:pPr>
        <w:spacing w:line="264" w:lineRule="auto"/>
        <w:jc w:val="both"/>
        <w:rPr>
          <w:szCs w:val="20"/>
          <w:rFonts w:eastAsia="Calibri"/>
        </w:rPr>
      </w:pPr>
      <w:r>
        <w:t xml:space="preserve">Předpisy vydané na základě platného zákona o hazardních hrách (Úřední věstník Republiky Slovinsko, č. 14/11 – oficiální konsolidované znění, 108/12, 11/14 – změna a 40/14 – ZIN-B) budou harmonizovány s ustanoveními tohoto zákona do šesti měsíců od vstupu tohoto zákona v platnost.</w:t>
      </w:r>
    </w:p>
    <w:p w14:paraId="7B4F8D95" w14:textId="77777777" w:rsidR="004C79C7" w:rsidRDefault="004C79C7" w:rsidP="004C79C7">
      <w:pPr>
        <w:spacing w:line="264" w:lineRule="auto"/>
        <w:jc w:val="both"/>
        <w:rPr>
          <w:rFonts w:eastAsia="Calibri"/>
          <w:szCs w:val="20"/>
          <w:lang w:val="sl-SI"/>
        </w:rPr>
      </w:pPr>
    </w:p>
    <w:p w14:paraId="35F7785A" w14:textId="77777777" w:rsidR="004C79C7" w:rsidRDefault="004C79C7" w:rsidP="004C79C7">
      <w:pPr>
        <w:spacing w:line="264" w:lineRule="auto"/>
        <w:jc w:val="both"/>
        <w:rPr>
          <w:rFonts w:eastAsia="Calibri"/>
          <w:szCs w:val="20"/>
          <w:lang w:val="sl-SI"/>
        </w:rPr>
      </w:pPr>
    </w:p>
    <w:p w14:paraId="71D0EBD6" w14:textId="77777777" w:rsidR="004C79C7" w:rsidRDefault="004C79C7" w:rsidP="004C79C7">
      <w:pPr>
        <w:pStyle w:val="Odstavekseznama"/>
        <w:numPr>
          <w:ilvl w:val="0"/>
          <w:numId w:val="1"/>
        </w:numPr>
        <w:spacing w:line="264" w:lineRule="auto"/>
        <w:jc w:val="center"/>
      </w:pPr>
      <w:r>
        <w:t xml:space="preserve">Článek</w:t>
      </w:r>
    </w:p>
    <w:p w14:paraId="76F45418" w14:textId="77777777" w:rsidR="004C79C7" w:rsidRDefault="004C79C7" w:rsidP="004C79C7">
      <w:pPr>
        <w:spacing w:line="264" w:lineRule="auto"/>
        <w:jc w:val="both"/>
        <w:rPr>
          <w:rFonts w:eastAsia="Calibri"/>
          <w:szCs w:val="20"/>
          <w:lang w:val="sl-SI"/>
        </w:rPr>
      </w:pPr>
    </w:p>
    <w:p w14:paraId="164B1787" w14:textId="77777777" w:rsidR="004C79C7" w:rsidRPr="00344821" w:rsidRDefault="004C79C7" w:rsidP="004C79C7">
      <w:pPr>
        <w:spacing w:line="264" w:lineRule="auto"/>
        <w:jc w:val="both"/>
      </w:pPr>
      <w:r>
        <w:t xml:space="preserve">Dnem vstupu tohoto zákona v platnost přestávají platit pravidla pro licence na práce ve zvláštních herních operacích (Úřední věstník Republiky Slovinsko č. 45/02, 77/02 a 109/12).</w:t>
      </w:r>
    </w:p>
    <w:p w14:paraId="59D264CB" w14:textId="77777777" w:rsidR="004C79C7" w:rsidRDefault="004C79C7" w:rsidP="004C79C7">
      <w:pPr>
        <w:spacing w:line="264" w:lineRule="auto"/>
        <w:jc w:val="both"/>
        <w:rPr>
          <w:rFonts w:eastAsia="Calibri"/>
          <w:szCs w:val="20"/>
          <w:lang w:val="sl-SI"/>
        </w:rPr>
      </w:pPr>
    </w:p>
    <w:p w14:paraId="777195E9" w14:textId="77777777" w:rsidR="004C79C7" w:rsidRPr="00344821" w:rsidRDefault="004C79C7" w:rsidP="004C79C7">
      <w:pPr>
        <w:tabs>
          <w:tab w:val="left" w:pos="230"/>
        </w:tabs>
        <w:spacing w:line="264" w:lineRule="auto"/>
        <w:jc w:val="both"/>
      </w:pPr>
      <w:r>
        <w:tab/>
      </w:r>
    </w:p>
    <w:p w14:paraId="5B910780" w14:textId="77777777" w:rsidR="004C79C7" w:rsidRDefault="004C79C7" w:rsidP="004C79C7">
      <w:pPr>
        <w:tabs>
          <w:tab w:val="left" w:pos="230"/>
        </w:tabs>
        <w:spacing w:line="264" w:lineRule="auto"/>
        <w:jc w:val="both"/>
        <w:rPr>
          <w:rFonts w:eastAsia="Calibri"/>
          <w:szCs w:val="20"/>
          <w:lang w:val="sl-SI"/>
        </w:rPr>
      </w:pPr>
    </w:p>
    <w:p w14:paraId="65D99D14" w14:textId="77777777" w:rsidR="004C79C7" w:rsidRDefault="004C79C7" w:rsidP="004C79C7">
      <w:pPr>
        <w:numPr>
          <w:ilvl w:val="0"/>
          <w:numId w:val="1"/>
        </w:numPr>
        <w:spacing w:line="264" w:lineRule="auto"/>
        <w:jc w:val="center"/>
      </w:pPr>
      <w:r>
        <w:t xml:space="preserve">Článek</w:t>
      </w:r>
    </w:p>
    <w:p w14:paraId="686BF176" w14:textId="77777777" w:rsidR="004C79C7" w:rsidRDefault="004C79C7" w:rsidP="004C79C7">
      <w:pPr>
        <w:spacing w:line="264" w:lineRule="auto"/>
        <w:jc w:val="both"/>
      </w:pPr>
      <w:r>
        <w:t xml:space="preserve"> </w:t>
      </w:r>
    </w:p>
    <w:p w14:paraId="101B3CF9" w14:textId="5AFFAC9A" w:rsidR="004C79C7" w:rsidRPr="00344821" w:rsidRDefault="004C79C7" w:rsidP="004C79C7">
      <w:pPr>
        <w:spacing w:line="264" w:lineRule="auto"/>
        <w:jc w:val="both"/>
      </w:pPr>
      <w:r>
        <w:t xml:space="preserve">Toto nařízení vstupuje v platnost patnáctý den po jeho zveřejnění v Úředním věstníku Republiky Slovinsko.</w:t>
      </w:r>
      <w:r>
        <w:t xml:space="preserve"> </w:t>
      </w:r>
    </w:p>
    <w:p w14:paraId="7FFECEA8" w14:textId="77777777" w:rsidR="004C79C7" w:rsidRDefault="004C79C7" w:rsidP="004C79C7">
      <w:pPr>
        <w:spacing w:line="264" w:lineRule="auto"/>
        <w:jc w:val="both"/>
        <w:rPr>
          <w:rFonts w:eastAsia="Calibri"/>
          <w:szCs w:val="20"/>
          <w:lang w:val="sl-SI"/>
        </w:rPr>
      </w:pPr>
    </w:p>
    <w:bookmarkEnd w:id="0"/>
    <w:p w14:paraId="692DC737" w14:textId="77777777" w:rsidR="00B21BC5" w:rsidRPr="004C79C7" w:rsidRDefault="00B21BC5">
      <w:pPr>
        <w:rPr>
          <w:lang w:val="sl-SI"/>
        </w:rPr>
      </w:pPr>
    </w:p>
    <w:sectPr w:rsidR="00B21BC5" w:rsidRPr="004C79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5"/>
    <w:multiLevelType w:val="multilevel"/>
    <w:tmpl w:val="0B3E9D7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sl-SI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336DED"/>
    <w:multiLevelType w:val="hybridMultilevel"/>
    <w:tmpl w:val="C2FAA1AA"/>
    <w:lvl w:ilvl="0" w:tplc="C4848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867997"/>
    <w:multiLevelType w:val="hybridMultilevel"/>
    <w:tmpl w:val="AB04681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dirty" w:grammar="dirty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9C7"/>
    <w:rsid w:val="001709BC"/>
    <w:rsid w:val="00473EA7"/>
    <w:rsid w:val="004C79C7"/>
    <w:rsid w:val="0065179E"/>
    <w:rsid w:val="00B21BC5"/>
    <w:rsid w:val="00EC6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369B5"/>
  <w15:chartTrackingRefBased/>
  <w15:docId w15:val="{AEAFB800-EA13-4196-9723-501EBF0F4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C79C7"/>
    <w:pPr>
      <w:suppressAutoHyphens/>
      <w:spacing w:after="0" w:line="260" w:lineRule="atLeast"/>
    </w:pPr>
    <w:rPr>
      <w:rFonts w:ascii="Arial" w:eastAsia="Times New Roman" w:hAnsi="Arial" w:cs="Arial"/>
      <w:sz w:val="20"/>
      <w:szCs w:val="24"/>
      <w:lang w:val="cs-CZ" w:eastAsia="zh-C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4C79C7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2976</Words>
  <Characters>16968</Characters>
  <Application>Microsoft Office Word</Application>
  <DocSecurity>0</DocSecurity>
  <Lines>141</Lines>
  <Paragraphs>39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Jelka Jerina Mandič</dc:creator>
  <cp:keywords/>
  <dc:description/>
  <cp:lastModifiedBy>Jelka Jerina Mandič</cp:lastModifiedBy>
  <cp:revision>4</cp:revision>
  <dcterms:created xsi:type="dcterms:W3CDTF">2021-06-07T08:40:00Z</dcterms:created>
  <dcterms:modified xsi:type="dcterms:W3CDTF">2021-06-22T08:43:00Z</dcterms:modified>
</cp:coreProperties>
</file>