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E98F" w14:textId="730BB34C" w:rsidR="004D73A6" w:rsidRPr="00DE2474" w:rsidRDefault="004D73A6" w:rsidP="004D73A6">
      <w:pPr>
        <w:ind w:right="-755"/>
        <w:jc w:val="left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------IND- 2021 0045 D-- MT- ------ 20210210 --- --- PROJET</w:t>
      </w:r>
    </w:p>
    <w:p w14:paraId="2A1D7EB4" w14:textId="77777777" w:rsidR="00A1618A" w:rsidRPr="0018171E" w:rsidRDefault="00A1618A" w:rsidP="00E5776A">
      <w:pPr>
        <w:spacing w:after="240" w:line="360" w:lineRule="auto"/>
        <w:rPr>
          <w:sz w:val="26"/>
          <w:szCs w:val="26"/>
          <w:rFonts w:ascii="Arial" w:hAnsi="Arial" w:cs="Arial"/>
        </w:rPr>
      </w:pPr>
      <w:r>
        <w:rPr>
          <w:sz w:val="26"/>
          <w:szCs w:val="26"/>
          <w:rFonts w:ascii="Arial" w:hAnsi="Arial"/>
        </w:rPr>
        <w:t xml:space="preserve">Ministeru Federali għall-Ġustizzja u l-Ħarsien tal-Konsumaturi</w:t>
      </w:r>
    </w:p>
    <w:p w14:paraId="4892787C" w14:textId="77777777" w:rsidR="00A1618A" w:rsidRPr="0018171E" w:rsidRDefault="00A1618A" w:rsidP="00E5776A">
      <w:pPr>
        <w:spacing w:after="360" w:line="360" w:lineRule="auto"/>
        <w:jc w:val="center"/>
        <w:rPr>
          <w:b/>
          <w:sz w:val="30"/>
          <w:szCs w:val="30"/>
          <w:rFonts w:ascii="Arial Fett" w:hAnsi="Arial Fett" w:cs="Arial"/>
        </w:rPr>
      </w:pPr>
      <w:r>
        <w:rPr>
          <w:b/>
          <w:sz w:val="30"/>
          <w:szCs w:val="30"/>
          <w:rFonts w:ascii="Arial Fett" w:hAnsi="Arial Fett"/>
        </w:rPr>
        <w:t xml:space="preserve">Emenda proposta</w:t>
      </w:r>
    </w:p>
    <w:p w14:paraId="3625169F" w14:textId="77777777" w:rsidR="00A1618A" w:rsidRPr="0018171E" w:rsidRDefault="00A1618A" w:rsidP="00E5776A">
      <w:pPr>
        <w:spacing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szCs w:val="26"/>
          <w:rFonts w:ascii="Arial" w:hAnsi="Arial"/>
        </w:rPr>
        <w:t xml:space="preserve">għall-abbozz ta’ liġi tal-Gvern Federali</w:t>
      </w:r>
    </w:p>
    <w:p w14:paraId="47E1A8FA" w14:textId="77777777" w:rsidR="00A1618A" w:rsidRPr="0018171E" w:rsidRDefault="00A1618A" w:rsidP="00E5776A">
      <w:pPr>
        <w:spacing w:after="240"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szCs w:val="26"/>
          <w:rFonts w:ascii="Arial" w:hAnsi="Arial"/>
        </w:rPr>
        <w:t xml:space="preserve">– Dokument uffiċjali </w:t>
      </w:r>
      <w:r>
        <w:rPr>
          <w:b/>
          <w:rStyle w:val="Marker"/>
        </w:rPr>
        <w:t xml:space="preserve">[…]</w:t>
      </w:r>
      <w:r>
        <w:rPr>
          <w:b/>
          <w:sz w:val="26"/>
          <w:szCs w:val="26"/>
          <w:rFonts w:ascii="Arial" w:hAnsi="Arial"/>
        </w:rPr>
        <w:t xml:space="preserve"> –</w:t>
      </w:r>
    </w:p>
    <w:p w14:paraId="371C6925" w14:textId="77777777" w:rsidR="00A1618A" w:rsidRPr="0018171E" w:rsidRDefault="00A1618A" w:rsidP="00E5776A">
      <w:pPr>
        <w:spacing w:after="480" w:line="360" w:lineRule="auto"/>
        <w:rPr>
          <w:rStyle w:val="Marker"/>
        </w:rPr>
      </w:pPr>
      <w:r>
        <w:rPr>
          <w:rStyle w:val="Marker"/>
        </w:rPr>
        <w:t xml:space="preserve">[…]</w:t>
      </w:r>
    </w:p>
    <w:p w14:paraId="57FA809D" w14:textId="77777777" w:rsidR="00A1618A" w:rsidRPr="0018171E" w:rsidRDefault="00A1618A" w:rsidP="00E5776A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Il-Bundestag Ġernamiż </w:t>
      </w:r>
      <w:r>
        <w:rPr>
          <w:sz w:val="22"/>
          <w:rFonts w:ascii="Arial" w:hAnsi="Arial"/>
        </w:rPr>
        <w:t xml:space="preserve">irid jiddeċiedi,</w:t>
      </w:r>
    </w:p>
    <w:p w14:paraId="7B2A7215" w14:textId="5911DA34" w:rsidR="0063228E" w:rsidRPr="0018171E" w:rsidRDefault="00A1618A" w:rsidP="00E5776A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li barra minn hekk jadotta l-abbozz ta’ liġi fid-dokument uffiċjali </w:t>
      </w:r>
      <w:r>
        <w:rPr>
          <w:rStyle w:val="Marker"/>
        </w:rPr>
        <w:t xml:space="preserve">[…]</w:t>
      </w:r>
      <w:r>
        <w:rPr>
          <w:sz w:val="22"/>
          <w:rFonts w:ascii="Arial" w:hAnsi="Arial"/>
        </w:rPr>
        <w:t xml:space="preserve">bil-miżuri li ġejjin mingħajr tibdil:</w:t>
      </w:r>
    </w:p>
    <w:p w14:paraId="63DEEB82" w14:textId="1DF3B60D" w:rsidR="00A1618A" w:rsidRPr="0018171E" w:rsidRDefault="00A1618A" w:rsidP="00A1618A">
      <w:pPr>
        <w:pStyle w:val="EmpfehlungNummerierungStufe1"/>
      </w:pPr>
      <w:r>
        <w:t xml:space="preserve">Wara l-Artikolu ... jiżdied l-Artikolu ... li ġej:</w:t>
      </w:r>
    </w:p>
    <w:p w14:paraId="299BD583" w14:textId="5B63D453" w:rsidR="00E5776A" w:rsidRPr="0018171E" w:rsidRDefault="00E5776A" w:rsidP="009C727B">
      <w:pPr>
        <w:pStyle w:val="RevisionArtikelBezeichnermanuell"/>
        <w:ind w:left="425" w:hanging="70"/>
      </w:pPr>
      <w:r>
        <w:t xml:space="preserve">“Artikolu </w:t>
      </w:r>
      <w:r>
        <w:rPr>
          <w:rStyle w:val="Marker"/>
        </w:rPr>
        <w:t xml:space="preserve">[…]</w:t>
      </w:r>
      <w:r>
        <w:rPr>
          <w:rStyle w:val="FootnoteReference"/>
          <w:color w:val="0000FF"/>
        </w:rPr>
        <w:footnoteReference w:customMarkFollows="1" w:id="1"/>
        <w:t xml:space="preserve">*</w:t>
      </w:r>
      <w:r>
        <w:rPr>
          <w:rStyle w:val="FootnoteReference"/>
          <w:color w:val="0000FF"/>
          <w:vertAlign w:val="baseline"/>
        </w:rPr>
        <w:t xml:space="preserve">)</w:t>
      </w:r>
      <w:r>
        <w:rPr>
          <w:rStyle w:val="Marker"/>
        </w:rPr>
        <w:t xml:space="preserve"> </w:t>
      </w:r>
    </w:p>
    <w:p w14:paraId="0353C7F8" w14:textId="06DB94DE" w:rsidR="00D879BF" w:rsidRPr="0018171E" w:rsidRDefault="00D879BF" w:rsidP="009C727B">
      <w:pPr>
        <w:pStyle w:val="RevisionArtikelberschrift"/>
        <w:ind w:left="425"/>
      </w:pPr>
      <w:r>
        <w:rPr>
          <w:b/>
        </w:rPr>
        <w:t xml:space="preserve">Emenda tal-Liġi dwar l-Infurzar ta’ Networks</w:t>
      </w:r>
    </w:p>
    <w:p w14:paraId="17D06E04" w14:textId="25FA39A2" w:rsidR="00A1618A" w:rsidRPr="0018171E" w:rsidRDefault="00A1618A" w:rsidP="0018171E">
      <w:pPr>
        <w:pStyle w:val="RevisionJuristischerAbsatzmanuell"/>
        <w:keepNext/>
        <w:tabs>
          <w:tab w:val="clear" w:pos="850"/>
          <w:tab w:val="left" w:pos="1275"/>
        </w:tabs>
        <w:ind w:left="425"/>
      </w:pPr>
      <w:r>
        <w:t xml:space="preserve">Il-Liġi dwar l-Infurzar ta’ Networks tal-1 ta’ Settembru 2017 (Gazzetta tal-Liġi Federali</w:t>
      </w:r>
      <w:r>
        <w:t xml:space="preserve"> </w:t>
      </w:r>
      <w:r>
        <w:t xml:space="preserve">I p. 3352), li ġiet emendata l-aħħar permezz ... [l-Artikolu 1 tal-abbozz ta’ liġi li temenda l-Liġi dwar l-Infurzar ta’ Networks, dokument uffiċjali tal-Bundestag Ġermaniż 19/18792], se tiġi emendata kif ġej:</w:t>
      </w:r>
    </w:p>
    <w:p w14:paraId="32195031" w14:textId="0D6EA219" w:rsidR="00A1618A" w:rsidRPr="0018171E" w:rsidRDefault="00A1618A" w:rsidP="009C727B">
      <w:pPr>
        <w:pStyle w:val="RevisionNummerierungStufe1"/>
        <w:numPr>
          <w:ilvl w:val="3"/>
          <w:numId w:val="2"/>
        </w:numPr>
        <w:tabs>
          <w:tab w:val="clear" w:pos="425"/>
          <w:tab w:val="num" w:pos="850"/>
        </w:tabs>
        <w:ind w:left="850"/>
      </w:pPr>
      <w:r>
        <w:t xml:space="preserve">F’§ 1(2) is-sentenza </w:t>
      </w:r>
      <w:r>
        <w:rPr>
          <w:rStyle w:val="RevisionText"/>
        </w:rPr>
        <w:t xml:space="preserve">“§§ 2 sa 3b”</w:t>
      </w:r>
      <w:r>
        <w:t xml:space="preserve"> se tiġi sostitwita bil-kliem </w:t>
      </w:r>
      <w:r>
        <w:rPr>
          <w:rStyle w:val="RevisionText"/>
        </w:rPr>
        <w:t xml:space="preserve">“§§ 2 sa 3b u 5a”</w:t>
      </w:r>
      <w:r>
        <w:t xml:space="preserve">.</w:t>
      </w:r>
    </w:p>
    <w:p w14:paraId="10263F3F" w14:textId="0779D0EE" w:rsidR="00A1618A" w:rsidRPr="0018171E" w:rsidRDefault="00A1618A" w:rsidP="009C727B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F’§ 2(2)(2) wara l-kliem </w:t>
      </w:r>
      <w:r>
        <w:rPr>
          <w:rStyle w:val="RevisionText"/>
        </w:rPr>
        <w:t xml:space="preserve">“jiġu appoġġjati”</w:t>
      </w:r>
      <w:r>
        <w:t xml:space="preserve"> jiżdied il-kliem </w:t>
      </w:r>
      <w:r>
        <w:rPr>
          <w:rStyle w:val="RevisionText"/>
        </w:rPr>
        <w:t xml:space="preserve">“u għal dan il-għan dawn ingħataw aċċess għal informazzjoni tal-fornitur.</w:t>
      </w:r>
    </w:p>
    <w:p w14:paraId="26550664" w14:textId="0FE945BB" w:rsidR="00A1618A" w:rsidRPr="0018171E" w:rsidRDefault="00A1618A" w:rsidP="0018171E">
      <w:pPr>
        <w:pStyle w:val="RevisionNummerierungStufe1"/>
        <w:keepNext/>
        <w:tabs>
          <w:tab w:val="clear" w:pos="425"/>
          <w:tab w:val="num" w:pos="850"/>
        </w:tabs>
        <w:ind w:left="850"/>
      </w:pPr>
      <w:r>
        <w:t xml:space="preserve">Wara § 5 jiżdied § 5a li ġej:</w:t>
      </w:r>
    </w:p>
    <w:p w14:paraId="0324CC36" w14:textId="2F7FB129" w:rsidR="00D879BF" w:rsidRPr="0018171E" w:rsidRDefault="00D879BF" w:rsidP="009C727B">
      <w:pPr>
        <w:pStyle w:val="RevisionParagraphBezeichnermanuell"/>
        <w:ind w:left="850" w:hanging="90"/>
      </w:pPr>
      <w:r>
        <w:t xml:space="preserve">"§ 5a</w:t>
      </w:r>
    </w:p>
    <w:p w14:paraId="726DC658" w14:textId="39CB7E5F" w:rsidR="00D879BF" w:rsidRPr="0018171E" w:rsidRDefault="00D879BF" w:rsidP="009C727B">
      <w:pPr>
        <w:pStyle w:val="RevisionParagraphberschrift"/>
        <w:ind w:left="850"/>
      </w:pPr>
      <w:r>
        <w:t xml:space="preserve">Informazzjoni għar-riċerka xjentifika</w:t>
      </w:r>
    </w:p>
    <w:p w14:paraId="6AD69D50" w14:textId="4BFCD7E0" w:rsidR="003E7797" w:rsidRPr="0018171E" w:rsidRDefault="00792014" w:rsidP="009C727B">
      <w:pPr>
        <w:pStyle w:val="RevisionJuristischerAbsatz"/>
        <w:numPr>
          <w:ilvl w:val="2"/>
          <w:numId w:val="1"/>
        </w:numPr>
        <w:tabs>
          <w:tab w:val="clear" w:pos="850"/>
          <w:tab w:val="num" w:pos="1700"/>
        </w:tabs>
        <w:ind w:left="850"/>
      </w:pPr>
      <w:r>
        <w:t xml:space="preserve">Riċerkaturi fis-sens ta’ din id-dispożizzjoni huma kull persuna fiżika jew ġuridika li twettaq riċerka xjentifika.</w:t>
      </w:r>
    </w:p>
    <w:p w14:paraId="465DF5C8" w14:textId="2D2C57F4" w:rsidR="003E7797" w:rsidRPr="0018171E" w:rsidRDefault="003E7797" w:rsidP="0018171E">
      <w:pPr>
        <w:pStyle w:val="RevisionJuristischerAbsatz"/>
        <w:keepNext/>
        <w:tabs>
          <w:tab w:val="clear" w:pos="850"/>
          <w:tab w:val="num" w:pos="1700"/>
        </w:tabs>
        <w:ind w:left="850"/>
      </w:pPr>
      <w:r>
        <w:t xml:space="preserve">Riċerkatur jista’ jitlob informazzjoni kwalifikata minn fornitur ta’ network soċjali dwar:</w:t>
      </w:r>
    </w:p>
    <w:p w14:paraId="1DAACCE7" w14:textId="576C75C0" w:rsidR="003E7797" w:rsidRPr="0018171E" w:rsidRDefault="003E7797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l-użu u l-modalità ta’ operazzjoni korretta ta’ proċeduri għall-identifikazzjoni awtomatizzata ta’ kontenut, li għandu jitħassar jew jiġi mblukkat, b’mod partikolari, l-għamla u l-ambitu tat-teknoloġiji użati u l-għanijiet, il-kriterji u l-parametri għall-programmazzjoni tagħhom kif ukoll id-</w:t>
      </w:r>
      <w:r>
        <w:rPr>
          <w:i/>
          <w:iCs/>
        </w:rPr>
        <w:t xml:space="preserve">data</w:t>
      </w:r>
      <w:r>
        <w:t xml:space="preserve"> użata.</w:t>
      </w:r>
    </w:p>
    <w:p w14:paraId="3C838C31" w14:textId="1ACF9BED" w:rsidR="003E7797" w:rsidRPr="0018171E" w:rsidRDefault="003E7797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it-tixrid ta’ kontenut, li kien is-suġġett ta’ lmenti dwar kontenut illegali jew li tħassru jew ġew imblukkati mill-fornitur, b’mod partikolari, il-kontenut relevanti kif ukoll informazzjoni dwaru, liema utenti b’liema mod interaġixxu mal-kontenut.</w:t>
      </w:r>
    </w:p>
    <w:p w14:paraId="1DA5F836" w14:textId="37C638B4" w:rsidR="003E7797" w:rsidRPr="0018171E" w:rsidRDefault="003E7797" w:rsidP="009C727B">
      <w:pPr>
        <w:pStyle w:val="RevisionJuristischerAbsatz"/>
        <w:tabs>
          <w:tab w:val="clear" w:pos="850"/>
          <w:tab w:val="num" w:pos="1700"/>
        </w:tabs>
        <w:ind w:left="850"/>
      </w:pPr>
      <w:r>
        <w:t xml:space="preserve">Informazzjoni skont il-paragrafu 2 tista’ tintalab biss, sakemm din hija meħtieġa għal proġetti ta’ riċerka xjentifika fl-interess pubbliku dwar l-għamla, l-ambitu, il-kawżi u l-effetti tal-komunikazzjoni pubblika f’networks soċjali u kif il-fornituri jiġġestixxu dan.</w:t>
      </w:r>
    </w:p>
    <w:p w14:paraId="0D5D8322" w14:textId="0EC96F12" w:rsidR="003B0970" w:rsidRPr="0018171E" w:rsidRDefault="003B0970" w:rsidP="0018171E">
      <w:pPr>
        <w:pStyle w:val="RevisionJuristischerAbsatz"/>
        <w:keepNext/>
        <w:tabs>
          <w:tab w:val="clear" w:pos="850"/>
          <w:tab w:val="num" w:pos="1700"/>
        </w:tabs>
        <w:ind w:left="850"/>
      </w:pPr>
      <w:r>
        <w:t xml:space="preserve">L-informazzjoni tista’ tingħata biss, jekk ir-riċerkatur jipprovdi lill-fornituri tan-network soċjali b’kunċett ta’ protezzjoni.</w:t>
      </w:r>
      <w:r>
        <w:t xml:space="preserve"> </w:t>
      </w:r>
      <w:r>
        <w:t xml:space="preserve">Il-kunċett ta’ protezzjoni jinkludi</w:t>
      </w:r>
    </w:p>
    <w:p w14:paraId="577C67EC" w14:textId="60CDC11C" w:rsidR="003B0970" w:rsidRPr="0018171E" w:rsidRDefault="003B0970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deskrizzjoni tal-informazzjoni meħtieġa għall-iskopijiet ta’ riċerka skont il-paragrafu 3,</w:t>
      </w:r>
    </w:p>
    <w:p w14:paraId="5AABA7E4" w14:textId="3A66C314" w:rsidR="003B0970" w:rsidRPr="0018171E" w:rsidRDefault="003B0970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deskrizzjoni tal-użu maħsub tal-informazzjoni,</w:t>
      </w:r>
    </w:p>
    <w:p w14:paraId="0654C9E5" w14:textId="4D2A02B0" w:rsidR="003B0970" w:rsidRPr="0018171E" w:rsidRDefault="009A5C22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deskrizzjoni tal-prekawzjonijiet sabiex jiġi evitat użu ulterjuri tal-informazzjoni,</w:t>
      </w:r>
    </w:p>
    <w:p w14:paraId="7DD21787" w14:textId="65E2C567" w:rsidR="003B0970" w:rsidRPr="0018171E" w:rsidRDefault="009A5C22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deskrizzjoni tal-prekawzjonijiet sabiex jiġu protetti l-interessi tal-fornitur li jeħtieġu protezzjoni, u</w:t>
      </w:r>
    </w:p>
    <w:p w14:paraId="7FDD7EDD" w14:textId="6C7443DB" w:rsidR="003B0970" w:rsidRPr="0018171E" w:rsidRDefault="003B0970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deskrizzjoni tal-miżuri tekniċi u organizzattivi li jiżguraw il-protezzjoni tad-</w:t>
      </w:r>
      <w:r>
        <w:rPr>
          <w:i/>
          <w:iCs/>
        </w:rPr>
        <w:t xml:space="preserve">data</w:t>
      </w:r>
      <w:r>
        <w:t xml:space="preserve"> personali.</w:t>
      </w:r>
    </w:p>
    <w:p w14:paraId="6F58E8FB" w14:textId="7863B11B" w:rsidR="003B0970" w:rsidRPr="0018171E" w:rsidRDefault="003B0970" w:rsidP="009C727B">
      <w:pPr>
        <w:pStyle w:val="RevisionJuristischerAbsatzFolgeabsatz"/>
        <w:ind w:left="850"/>
      </w:pPr>
      <w:r>
        <w:t xml:space="preserve">Fl-istess ħin, il-kunċett ta’ protezzjoni għandu jiġi nnotifikat flimkien mat-talba għall-informazzjoni lill-awtorità ta’ sorveljanza ta’ protezzjoni tad-</w:t>
      </w:r>
      <w:r>
        <w:rPr>
          <w:i/>
          <w:iCs/>
        </w:rPr>
        <w:t xml:space="preserve">data</w:t>
      </w:r>
      <w:r>
        <w:t xml:space="preserve"> kompetenti.</w:t>
      </w:r>
    </w:p>
    <w:p w14:paraId="4D175D2B" w14:textId="0B4186A8" w:rsidR="009C0AFB" w:rsidRPr="0018171E" w:rsidRDefault="003E7797" w:rsidP="0018171E">
      <w:pPr>
        <w:pStyle w:val="RevisionJuristischerAbsatz"/>
        <w:keepNext/>
        <w:tabs>
          <w:tab w:val="clear" w:pos="850"/>
          <w:tab w:val="num" w:pos="1700"/>
        </w:tabs>
        <w:ind w:left="850"/>
      </w:pPr>
      <w:r>
        <w:t xml:space="preserve">Il-fornitur ta’ network soċjali jista’ jirrifjuta li jagħti informazzjoni, jekk</w:t>
      </w:r>
    </w:p>
    <w:p w14:paraId="20E7290B" w14:textId="1403DA61" w:rsidR="009C0AFB" w:rsidRPr="0018171E" w:rsidRDefault="003E7797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l-interessi tiegħu li jeħtieġu protezzjoni sostanzjalment jegħlbu l-interess pubbliku għar-riċerka, jew</w:t>
      </w:r>
    </w:p>
    <w:p w14:paraId="0330033E" w14:textId="544CB962" w:rsidR="003E7797" w:rsidRPr="0018171E" w:rsidRDefault="003E7797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l-interessi tal-persuni konċernati li jeħtieġu protezzjoni jiġu kompromessi u l-interess pubbliku għar-riċerka ma jegħlibx l-interess ta’ kunfidenzjalità tal-persuni konċernati.</w:t>
      </w:r>
    </w:p>
    <w:p w14:paraId="63F909E8" w14:textId="4478DA44" w:rsidR="00D969A6" w:rsidRPr="0018171E" w:rsidRDefault="00D969A6" w:rsidP="0018171E">
      <w:pPr>
        <w:pStyle w:val="RevisionJuristischerAbsatz"/>
        <w:keepNext/>
        <w:tabs>
          <w:tab w:val="clear" w:pos="850"/>
          <w:tab w:val="num" w:pos="1700"/>
        </w:tabs>
        <w:ind w:left="850"/>
      </w:pPr>
      <w:r>
        <w:t xml:space="preserve">Il-fornitur ta’ network soċjali jista’, għal għanijiet ta’ għoti ta’ informazzjoni skont il-paragrafu 2 jipprovdi d-</w:t>
      </w:r>
      <w:r>
        <w:rPr>
          <w:i/>
          <w:iCs/>
        </w:rPr>
        <w:t xml:space="preserve">data</w:t>
      </w:r>
      <w:r>
        <w:t xml:space="preserve"> personali li ġejja:</w:t>
      </w:r>
    </w:p>
    <w:p w14:paraId="63FE05D0" w14:textId="1ABFB4BC" w:rsidR="00D969A6" w:rsidRPr="0018171E" w:rsidRDefault="00D969A6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il-kontenut imxerred,</w:t>
      </w:r>
    </w:p>
    <w:p w14:paraId="2331E910" w14:textId="7E2B248A" w:rsidR="00D969A6" w:rsidRPr="0018171E" w:rsidRDefault="00D969A6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l-ilmenti dwar il-kontenut illegali,</w:t>
      </w:r>
    </w:p>
    <w:p w14:paraId="4CC6BEE3" w14:textId="48B4D2C4" w:rsidR="00D969A6" w:rsidRPr="0018171E" w:rsidRDefault="00D969A6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l-ismijiet tal-utent ta’ dawk involuti fit-tixrid,</w:t>
      </w:r>
    </w:p>
    <w:p w14:paraId="7F95ED84" w14:textId="6E103565" w:rsidR="00D969A6" w:rsidRPr="0018171E" w:rsidRDefault="00D969A6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t xml:space="preserve">iċ-ċirkostanzi dettaljati tal-interazzjoni ta’ dawk involuti fit-tixrid fir-rigward tal-kontenut rispettiv, kif ukoll</w:t>
      </w:r>
    </w:p>
    <w:p w14:paraId="35C5E61A" w14:textId="08449E2C" w:rsidR="00D969A6" w:rsidRPr="0018171E" w:rsidRDefault="00D969A6" w:rsidP="009C727B">
      <w:pPr>
        <w:pStyle w:val="RevisionNummerierungStufe1"/>
        <w:tabs>
          <w:tab w:val="clear" w:pos="425"/>
          <w:tab w:val="num" w:pos="1275"/>
        </w:tabs>
        <w:ind w:left="1275"/>
      </w:pPr>
      <w:r>
        <w:rPr>
          <w:i/>
          <w:iCs/>
        </w:rPr>
        <w:t xml:space="preserve">data</w:t>
      </w:r>
      <w:r>
        <w:t xml:space="preserve"> ta’ taħriġ dwar proċeduri għar-rikonoxximent awtomatizzat ta’ kontenut, li għandu jitħassar jew jiġi mblukkat, kif ukoll informazzjoni dwar il-modalità ta’ operazzjoni, l-għanijiet, il-kriterji u l-parametri għall-programmazzjoni ta’ dawn il-proċeduri.</w:t>
      </w:r>
    </w:p>
    <w:p w14:paraId="041944BF" w14:textId="44C7953A" w:rsidR="00D969A6" w:rsidRPr="0018171E" w:rsidRDefault="00D969A6" w:rsidP="009C727B">
      <w:pPr>
        <w:pStyle w:val="RevisionJuristischerAbsatzFolgeabsatz"/>
        <w:ind w:left="850"/>
      </w:pPr>
      <w:r>
        <w:t xml:space="preserve">Id-</w:t>
      </w:r>
      <w:r>
        <w:rPr>
          <w:i/>
          <w:iCs/>
        </w:rPr>
        <w:t xml:space="preserve">data</w:t>
      </w:r>
      <w:r>
        <w:t xml:space="preserve"> għandha tiġi pprovduta b’mod anonimu jew tal-inqas bi psewdonimu, sakemm dan ikun possibbli mingħajr periklu għall-għan tar-riċerka.</w:t>
      </w:r>
    </w:p>
    <w:p w14:paraId="586F09EF" w14:textId="3B2EB56C" w:rsidR="00D969A6" w:rsidRPr="0018171E" w:rsidRDefault="00D969A6" w:rsidP="009C727B">
      <w:pPr>
        <w:pStyle w:val="RevisionJuristischerAbsatz"/>
        <w:tabs>
          <w:tab w:val="clear" w:pos="850"/>
          <w:tab w:val="num" w:pos="1700"/>
        </w:tabs>
        <w:ind w:left="850"/>
      </w:pPr>
      <w:r>
        <w:t xml:space="preserve">Ir-riċerkatur jista’ jipproċessa d-</w:t>
      </w:r>
      <w:r>
        <w:rPr>
          <w:i/>
          <w:iCs/>
        </w:rPr>
        <w:t xml:space="preserve">data</w:t>
      </w:r>
      <w:r>
        <w:t xml:space="preserve"> għall-għanijiet tal-proġetti ta’ riċerka xjentifika skont il-paragrafu 3.</w:t>
      </w:r>
      <w:r>
        <w:t xml:space="preserve"> </w:t>
      </w:r>
      <w:r>
        <w:t xml:space="preserve">Sakemm jiġu proċessati kategoriji partikolari ta’ </w:t>
      </w:r>
      <w:r>
        <w:rPr>
          <w:i/>
          <w:iCs/>
        </w:rPr>
        <w:t xml:space="preserve">data</w:t>
      </w:r>
      <w:r>
        <w:t xml:space="preserve"> fis-sens tal-Artikolu 9(1) tar-Regolament (UE) 2016/679 tal-Parlament Ewropew u tal-Kunsill tas-27 ta’ April 2016 dwar il-protezzjoni tal-persuni fiżiċi fir-rigward tal-ipproċessar ta’ data personali u dwar il-moviment liberu ta’ tali data, u li jħassar id-Direttiva 95/46/KE (Regolament Ġenerali dwar il-Protezzjoni tad-Data) (ĠU L 119 tal-4/5/2016, p. 1; L 314 tat-22/11/2016, p. 72, L 127, tat-23/5/2018, p. 2) fil-verżjoni applikabbli, għal dan, ir-riċerkatur għandu jieħu miżuri xierqa u speċifiċi għall-protezzjoni tal-interessi tal-persuni konċernati skont § 22(2)(2) tal-Liġi Federali dwar il-Protezzjoni tad-</w:t>
      </w:r>
      <w:r>
        <w:rPr>
          <w:i/>
          <w:iCs/>
        </w:rPr>
        <w:t xml:space="preserve">data</w:t>
      </w:r>
      <w:r>
        <w:t xml:space="preserve">.</w:t>
      </w:r>
      <w:r>
        <w:t xml:space="preserve"> </w:t>
      </w:r>
      <w:r>
        <w:t xml:space="preserve">Barra mill-miżuri msemmija hemmhekk, id-</w:t>
      </w:r>
      <w:r>
        <w:rPr>
          <w:i/>
          <w:iCs/>
        </w:rPr>
        <w:t xml:space="preserve">data</w:t>
      </w:r>
      <w:r>
        <w:t xml:space="preserve"> għandha tiġi anonimizzata fis-sens tal-Artikolu 9(1) tar-Regolament (UE) 2016/679, ladarba dan ikun possibbli skont l-għan tar-riċerka.</w:t>
      </w:r>
      <w:r>
        <w:t xml:space="preserve"> </w:t>
      </w:r>
      <w:r>
        <w:t xml:space="preserve">Dispożizzjonijiet għall-protezzjoni tad-</w:t>
      </w:r>
      <w:r>
        <w:rPr>
          <w:i/>
          <w:iCs/>
        </w:rPr>
        <w:t xml:space="preserve">data</w:t>
      </w:r>
      <w:r>
        <w:t xml:space="preserve"> ulterjuri ma jiġux affettwati.</w:t>
      </w:r>
    </w:p>
    <w:p w14:paraId="1627C846" w14:textId="381758EE" w:rsidR="0063228E" w:rsidRPr="0018171E" w:rsidRDefault="00D969A6" w:rsidP="00301E30">
      <w:pPr>
        <w:pStyle w:val="RevisionJuristischerAbsatz"/>
        <w:tabs>
          <w:tab w:val="clear" w:pos="850"/>
          <w:tab w:val="num" w:pos="1700"/>
        </w:tabs>
        <w:ind w:left="850"/>
      </w:pPr>
      <w:r>
        <w:t xml:space="preserve">Il-fornitur ta’ network soċjali għandu jkun intitolat għal rimbors tal-ispejjeż imġarrba mill-għoti ta’ informazzjoni mir-riċerkatur skont il-paragrafu 2 f’ammont xieraq.</w:t>
      </w:r>
      <w:r>
        <w:t xml:space="preserve"> </w:t>
      </w:r>
      <w:r>
        <w:t xml:space="preserve">Meta jiġi determinat l-ammont xieraq għandu jiġi kkunsidrat li l-ispejjeż m’għandhomx joħolqu ostaklu sostanzjali għall-eżekuzzjoni tad-dritt għall-informazzjoni.</w:t>
      </w:r>
      <w:r>
        <w:t xml:space="preserve"> </w:t>
      </w:r>
      <w:r>
        <w:t xml:space="preserve">§ 287(1) tal-kodiċi ta’ proċedura ċivili għandu japplika </w:t>
      </w:r>
      <w:r>
        <w:rPr>
          <w:i/>
          <w:iCs/>
        </w:rPr>
        <w:t xml:space="preserve">mutatis mutandis.</w:t>
      </w:r>
      <w:r>
        <w:t xml:space="preserve"> </w:t>
      </w:r>
      <w:r>
        <w:t xml:space="preserve">L-ispejjeż eliġibbli m’għandhomx ikunu aktar minn EUR 5 000.</w:t>
      </w:r>
      <w:r>
        <w:t xml:space="preserve"> </w:t>
      </w:r>
      <w:r>
        <w:t xml:space="preserve">Dan l-ammont jista’ jinqabeż biss, jekk l-għoti ta’ informazzjoni jirriżulta fi spejjeż eċċezzjonalment għoljin.</w:t>
      </w:r>
      <w:r>
        <w:t xml:space="preserve"> </w:t>
      </w:r>
      <w:r>
        <w:t xml:space="preserve">Wara li jiġi pprovdut il-kunċett ta’ protezzjoni skont il-paragrafu 4, ir-riċerkatur jista’ jitlob lill-fornitur għal stima tal-ispejjeż mingħajr ħlas f’perijodu ta’ żmien raġonevoli.”</w:t>
      </w:r>
    </w:p>
    <w:p w14:paraId="36342A1E" w14:textId="099F92EE" w:rsidR="0063228E" w:rsidRPr="0018171E" w:rsidRDefault="00482E04" w:rsidP="0018171E">
      <w:pPr>
        <w:pStyle w:val="EmpfehlungNummerierungStufe1"/>
        <w:keepNext/>
      </w:pPr>
      <w:r>
        <w:t xml:space="preserve">L-Artikolu </w:t>
      </w:r>
      <w:r>
        <w:rPr>
          <w:rStyle w:val="Marker"/>
        </w:rPr>
        <w:t xml:space="preserve">[…]</w:t>
      </w:r>
      <w:r>
        <w:t xml:space="preserve"> għandu jaqra kif ġej:</w:t>
      </w:r>
    </w:p>
    <w:p w14:paraId="49D47905" w14:textId="31CE6EC1" w:rsidR="00173C16" w:rsidRPr="0018171E" w:rsidRDefault="00173C16" w:rsidP="009C727B">
      <w:pPr>
        <w:pStyle w:val="RevisionArtikelBezeichnermanuell"/>
        <w:ind w:left="425" w:hanging="90"/>
      </w:pPr>
      <w:r>
        <w:t xml:space="preserve">“L-Artikolu </w:t>
      </w:r>
      <w:r>
        <w:rPr>
          <w:rStyle w:val="Marker"/>
        </w:rPr>
        <w:t xml:space="preserve">[…]</w:t>
      </w:r>
    </w:p>
    <w:p w14:paraId="577BA21A" w14:textId="3EB5AE99" w:rsidR="00173C16" w:rsidRPr="0018171E" w:rsidRDefault="00173C16" w:rsidP="009C727B">
      <w:pPr>
        <w:pStyle w:val="RevisionArtikelberschrift"/>
        <w:ind w:left="425"/>
      </w:pPr>
      <w:r>
        <w:rPr>
          <w:rStyle w:val="Marker"/>
        </w:rPr>
        <w:t xml:space="preserve">[…]</w:t>
      </w:r>
    </w:p>
    <w:p w14:paraId="5AF7FB2C" w14:textId="090B4924" w:rsidR="00173C16" w:rsidRPr="0018171E" w:rsidRDefault="00173C16" w:rsidP="009C727B">
      <w:pPr>
        <w:pStyle w:val="RevisionJuristischerAbsatzmanuell"/>
        <w:tabs>
          <w:tab w:val="clear" w:pos="850"/>
          <w:tab w:val="left" w:pos="1275"/>
        </w:tabs>
        <w:ind w:left="425"/>
      </w:pPr>
      <w:r>
        <w:t xml:space="preserve">… </w:t>
      </w:r>
      <w:r>
        <w:rPr>
          <w:rStyle w:val="Marker"/>
        </w:rPr>
        <w:t xml:space="preserve">[jekk applikabbli regola għad-dħul fis-seħħ]</w:t>
      </w:r>
      <w:r>
        <w:t xml:space="preserve"> …“</w:t>
      </w:r>
      <w:r>
        <w:rPr>
          <w:color w:val="auto"/>
        </w:rPr>
        <w:t xml:space="preserve">.</w:t>
      </w:r>
    </w:p>
    <w:p w14:paraId="2CDAA614" w14:textId="1C885BBD" w:rsidR="00A1618A" w:rsidRPr="0018171E" w:rsidRDefault="00A1618A" w:rsidP="009F08C0">
      <w:pPr>
        <w:pStyle w:val="EinzelbegrndungTitel"/>
      </w:pPr>
      <w:r>
        <w:t xml:space="preserve">Raġuni</w:t>
      </w:r>
    </w:p>
    <w:p w14:paraId="5B2223BB" w14:textId="271DB07E" w:rsidR="009F08C0" w:rsidRPr="0018171E" w:rsidRDefault="009F08C0" w:rsidP="0018171E">
      <w:pPr>
        <w:pStyle w:val="Text"/>
        <w:keepNext/>
        <w:rPr>
          <w:rStyle w:val="Marker"/>
          <w:b/>
          <w:color w:val="auto"/>
        </w:rPr>
      </w:pPr>
      <w:r>
        <w:rPr>
          <w:rStyle w:val="Marker"/>
          <w:b/>
          <w:color w:val="auto"/>
        </w:rPr>
        <w:t xml:space="preserve">Dwar il-Punt 1</w:t>
      </w:r>
      <w:r>
        <w:rPr>
          <w:rStyle w:val="Marker"/>
          <w:b/>
          <w:color w:val="auto"/>
        </w:rPr>
        <w:t xml:space="preserve"> </w:t>
      </w:r>
    </w:p>
    <w:p w14:paraId="47C1AE4D" w14:textId="77777777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Dibattiti politiċi u proċessi ta’ formazzjoni tal-opinjoni qegħdin dejjem aktar iseħħu fl-ispazju diġitali u fil-midja soċjali.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Il-proċess ta’ komunikazzjoni li jseħħ hawnhekk huwa ta’ importanza konsiderevoli għall-formazzjoni tal-opinjoni pubblika.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Pereżempju, għat-tixrid ta’ programmi u ideat politiċi, l-aċċess għal midja soċjali partikolari, li minħabba l-importanza tagħhom jirrappreżentaw mezz li ma jistax jiġi faċilment sostitut, jista’ jkun ta’ importanza kbira (ara BVerfG, ordni temporanju tat-22 ta’ Mejju 2019 – 1 BvQ 42/19 –, punt 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19).</w:t>
      </w:r>
    </w:p>
    <w:p w14:paraId="6C4892FE" w14:textId="77777777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Minħabba f’hekk jeżisti interess pubbliku sostanzjali sabiex tiġi ffaċilitata aktar trasparenza dwar il-funzjonalità tal-pjattaformi rispettivi u l-proċess ta’ hawnhekk tat-tixrid tal-kontenut kif ukoll tal-għarfien tar-riċerka indipendenti.</w:t>
      </w:r>
    </w:p>
    <w:p w14:paraId="373BFE01" w14:textId="385D0837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Minn naħa, dan jikkonċerna l-mistoqsija dwar liema kriterji abbażi liema fornituri jiddeċiedu dwar il-possibbiltà tal-użu tal-pjattaforma tagħhom u li jawtorizzaw u jillimitaw il-possibbiltà tat-tixrid tal-kontenut fuq il-pjattaforma.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Il-mistoqsija dwar kif il-fornituri kbar importanti għad-diskors pubbliku pereżempju jiġġestixxu l-ilmenti dwar kontenut illegali u b’liema mod jieħdu deċiżjonijiet dwar il-limitazzjonijiet tat-tixrid ta’ kontenut, hija ta’ interess pubbliku sinifikanti minħabba l-importanza tal-fornituri kbar (ara: dokument uffiċjali tal-Bundestag Ġermaniż 19/18792, p. 42).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Dan peress li bi trasparenza rispettiva biss jista’ l-pubbliku ġenerali jifhem għaliex u b’liema mod kontenut partikolari jiġi limitat fit-tixrid tiegħu.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Hawnhekk għandu jiġi kkunsidrat, li deċiżjonijiet ta’ preżentazzjoni llum il-ġurnata jittieħdu bil-għajnuna ta’ proċeduri awtomatizzati kumplessi.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Pereżempju, Facebook jistqarr li l-maġġoranza tal-kontenut klassifikat bħala “hate speech” (diskors ta’ mibegħda) skont l-hekk imsejħa Community standards (standards tal-komunità) jinstab mill-fornitur stess bil-għajnuna ta’ soluzzjonijiet teknoloġiċi (ara: https://transparency.facebook.com/community-standards-enforcement#hate-speech; maħruġa fit-12 ta’ Ottubru 2020).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Sabiex tinkiseb trasparenza għall-pubbliku ġenerali dwar il-proċessi sottostanti - xi kultant teknikament kumplessi - huwa għaldaqstant importanti li r-riċerka u x-xjenza jkunu jistgħu jifhmu l-użu tal-proċeduri għar-rikonoxximent awtomatizzat tal-kontenut, sakemm dan għandu jitħassar jew jiġi mblukkat, jekk meħtieġ (ara: dokument uffiċjali tal-Bundestag Ġermaniż 19/18792, p. 43).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Sakemm ma jkunx suffiċjenti għax-xjenza u r-riċerka li jirrikorru għall-informazzjoni ġenerali fir-rapporti ta’ trasparenza skont § 2 NetzDG, li jservu biex jinfurmaw lill-pubbliku wiesgħa.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Għall-għanijiet tax-xjenza u r-riċerka mhijiex meħtieġa biss tali informazzjoni ġenerali jew aggregata, iżda wkoll informazzjoni aktar dettaljata u 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mhux ipproċessata (pereżempju l-kontenut espleċitament imsemmi fil-paragrafu 6, il-kuntest rispettiv tiegħu u 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ta’ taħriġ tal-proċedura awtomatizzata) sabiex jinkiseb għarfien xjentifiku sħiħ dwar ir-rikonoxximent tal-kontenut awtomatizzat.</w:t>
      </w:r>
    </w:p>
    <w:p w14:paraId="138C3D37" w14:textId="032BC65F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Mistoqsija importanti oħra tikkonċerna t-traċċabilità tat-tixrid tal-kontenut illegali.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L-immaniġġjar tal-ilmenti tan-NetzDG jirreferi għal kontenut illegali speċifiku li għalih sar l-ilment abbażi tas-sitwazzjoni legali attwali.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Madankollu, kontenut f’networks soċjali jista’ jinxtered fost utenti differenti b’veloċità sostanzjali u f’firxa sostanzjali.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Għaldaqstant, irregolaritajiet jistgħu jseħħu aktar minn darba u l-effetti tat-tixrid ta’ kontenut illegali jistgħu jissaħħu fl-intensità tagħhom.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Minħabba l-importanza sostanzjali għas-soċjetà sħiħa tal-proċessi ta’ komunikazzjoni li jsiru fuq in-networks soċjali kbar, għall-formazzjoni tal-opinjoni pubblika huwa importanti li jinftiehem kif kontenut finalment imħassar jew kontenut illegali li dwaru sar l-ilment lill-fornitur jinxtered jew ġie mxerred fuq in-networks soċjali, anke sabiex il-partijiet involuti jkunu kapaċi jieħdu azzjoni aktar effettiva kontra t-tixrid ta’ kontenut illegali abbażi ta’ fehim aktar profond tal-mekkaniżmi ta’ tixrid.</w:t>
      </w:r>
    </w:p>
    <w:p w14:paraId="06151A16" w14:textId="5B551E2D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§ 5a tan-NetzDG jiżgura li istituzzjonijiet ta’ riċerka u riċerkaturi jirċievu 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meħtieġa.</w:t>
      </w:r>
    </w:p>
    <w:p w14:paraId="72966CD2" w14:textId="29B9B32B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Mhux kulħadd huwa eliġibbli, iżda huma biss ir-riċerkaturi jew l-istituzzjonijiet ta’ riċerka li jwettqu proġetti ta’ riċerka xjentifika fl-interess pubbliku.</w:t>
      </w:r>
      <w:r>
        <w:rPr>
          <w:rStyle w:val="Marker"/>
          <w:color w:val="auto"/>
        </w:rPr>
        <w:t xml:space="preserve"> </w:t>
      </w:r>
      <w:r>
        <w:t xml:space="preserve">L-ipoteżi ta’ interess pubbliku għandha ġeneralment titqies għal proġetti ta’ riċerka minn universitajiet u istituzzjonijiet ta’ riċerka mhux universitarji fil-Ġermanja.</w:t>
      </w:r>
      <w:r>
        <w:t xml:space="preserve"> </w:t>
      </w:r>
      <w:r>
        <w:rPr>
          <w:rStyle w:val="Marker"/>
          <w:color w:val="auto"/>
        </w:rPr>
        <w:t xml:space="preserve">Hawnhekk, il-finanzjament predominanti minn fondi pubbliċi għandu effett indikattiv għall-ipoteżi ta’ interess pubbliku.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Inklużi huma l-istituzzjonijiet kollha skont it-test ta’ regolament, sakemm ikunu jridu jwettqu riċerka fl-interess pubbliku, irrelevanti mis-sjieda tagħhom.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Għall-ipoteżi ta’ interess pubbliku huwa regolarment meħtieġ li r-riżultati ta’ riċerka jkunu disponibbli għall-pubbliku u li jservu għall-ġid pubbliku.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Ll-ipoteżi ta’ interess pubbliku tista’ tiġi appoġġjata mill-fatt li r-riċerka tikkontribwixxi għall-ksib tal-objettivi legali.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Interess pubbliku ma jiġix appoġġjat, jekk abbażi tad-dipendenzi ta’ kuntrattur f’każ individwali konkret jidher li mhux qed titwettaq riċerka mingħajr preġudizzju.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Barra minn hekk, interess pubbliku ma jiġix appoġġjat, jekk jeżistu indikazzjonijiet li għandha titwettaq esplorazzjoni għal għanijiet ekonomiċi jew politiċi.</w:t>
      </w:r>
    </w:p>
    <w:p w14:paraId="3A166ADB" w14:textId="77777777" w:rsidR="00146FA3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Intitolati huma tali fornituri ta’ networks soċjali biss abbażi tal-lista ta’ § 5a tan-NetzDG f’§ 1(2) tan-NetzDG, irrelevanti mis-sjieda tagħhom li għandhom tal-inqas żewġ miljun utent reġistrat fit-territorju nazzjonali.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Tali fornituri huma obbligati għall-għoti ta’ informazzjoni, irrelevanti jekk għandhom is-sjieda tagħhom fit-territorju nazzjonali jew le.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Dan huwa konformi mad-dispożizzjonijiet legali Ewropej korrispondenti, b’mod partikolari l-prinċipju tal-pajjiż tal-oriġini tad-Direttiva 2000/31/KE (Direttiva dwar il-Kummerċ Elettroniku).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Anke jekk id-dritt għall-informazzjoni previst skont § 5a tan-NetzDG jaqa’ taħt l-hekk imsejjaħ qasam koordinat tad-Direttiva dwar il-Kummerċ Elettroniku u jekk jiġi jidher bħala limitazzjoni fundalment eskluża skont l-Artikolu 3(2) tad-Direttiva dwar il-Kummerċ Elettroniku, japplikaw il-kundizzjonijiet ta’ kontroeċċezzjoni skont l-Artikolu 3(4) tad-Direttiva dwar il-Kummerċ Elettroniku.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Dan peress li l-importanza sostanzjali tal-fornituri koperti, il-possibbiltajiet ta’ għarfien imtejba bid-dritt għall-informazzjoni huma għaldaqstant meħtieġa għall-prevenzjoni ta’ reati kriminali, kif ukoll il-ġlieda kontra d-diskors ta’ mibegħda, kif ukoll għall-protezzjoni tal-konsumaturi (ara: l-Artikolu 3(4a)(i)(1) u (4) tad-Direttiva dwar il-Kummerċ Elettroniku).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Fid-dawl tan-nuqqas ta’ informazzjoni sostanzjali fir-rigward tal-pjattaformi koperti, li dejjem qed jirrappreżentaw spazju pubbliku importanti sinifikanti għaċ-ċittadini, teżisti l-ħtieġa urġenti għal regolazzjoni (Artikolu 3(5) tad-Direttiva dwar il-Kummerċ Elettroniku).</w:t>
      </w:r>
    </w:p>
    <w:p w14:paraId="2B3396E0" w14:textId="22DFC019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Barra minn hekk, id-dritt previst għall-għoti ta’ informazzjoni huwa limitat ukoll għall-persuni intitolati f’diversi aspetti.</w:t>
      </w:r>
    </w:p>
    <w:p w14:paraId="7CD947D6" w14:textId="02AD6996" w:rsidR="00E97B1F" w:rsidRPr="0018171E" w:rsidRDefault="00E97B1F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B’hekk ir-riċerkaturi intitolati jkunu jistgħu jitolbu informazzjoni mill-fornituri ta’ networks soċjali biss.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Min-naħa l-oħra, § 5a ma jawtorizzax l-aċċess tekniku dirett għal bażijiet ta’ 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jew sistemi tekniċi tal-fornitur.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Madankollu, tista’ tintalab informazzjoni kwalifikata.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Din tinkludi 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mhux mittiefsa disponibbli għand il-fornitur, iżda wkoll informazzjoni proċessata disponibbli għand il-fornitur, bħal pereżempju riżultati minn valutazzjoni mwettqa mill-fornitur tad-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disponibbli għand il-fornitur.</w:t>
      </w:r>
    </w:p>
    <w:p w14:paraId="72C56E68" w14:textId="39D2C9CA" w:rsidR="00E97B1F" w:rsidRPr="0018171E" w:rsidRDefault="00E97B1F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Barra minn hekk, id-dritt għall-informazzjoni fir-rigward ta’ kontenut huwa limitat għal informazzjoni dwar l-użu u l-modalità ta’ operazzjoni ta’ proċeduri għar-rikonoxximent awtomatizzat ta’ kontenut, li għandu jitħassar jew jiġi mblukkat, kif ukoll l-għanijiet, il-kriterji u l-parametri tal-programmazzjoni.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Barra minn hekk, tista’ tintalab informazzjoni dwar it-tixrid ta’ kontenut, li kien is-suġġett ta’ lmenti dwar kontenut illegali jew li tħassar jew ġie mblukkat mill-fornitur.</w:t>
      </w:r>
      <w:r>
        <w:rPr>
          <w:rStyle w:val="Marker"/>
          <w:color w:val="auto"/>
        </w:rPr>
        <w:t xml:space="preserve"> </w:t>
      </w:r>
    </w:p>
    <w:p w14:paraId="752FC65F" w14:textId="4597FCAE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L-informazzjoni inkwistjoni hija xierqa u meħtieġa sabiex jinftiehmu aħjar ir-restrizzjonijiet ta’ kontenut mill-fornitur, kif ukoll it-tixrid ta’ kontenut fuq pjattaformi li jitqies bħala inammissibbli jew illegali mill-fornitur.</w:t>
      </w:r>
      <w:r>
        <w:rPr>
          <w:rStyle w:val="Marker"/>
          <w:color w:val="auto"/>
        </w:rPr>
        <w:t xml:space="preserve"> </w:t>
      </w:r>
    </w:p>
    <w:p w14:paraId="5D09F342" w14:textId="5F0FFD55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Barra minn hekk, id-dritt għall-informazzjoni huwa suġġett għall-kundizzjoni li l-informazzjoni hija meħtieġa f’każ speċifiku għal proġetti ta’ riċerka xjentifika fl-interess pubbliku.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Dan ifisser li l-informazzjoni mogħtija għandha tintuża biss għal għanijiet xjentifiċi.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Finalment, l-għanijiet ta’ riċerka eliġibbli huma limitati għal riċerka dwar l-għamla, l-ambitu, il-kawżi u l-effetti tal-komunikazzjoni pubblika f’networks soċjali u kif il-fornituri jiġġestixxu dan.</w:t>
      </w:r>
    </w:p>
    <w:p w14:paraId="588C65A9" w14:textId="3AAAB10E" w:rsidR="00C46490" w:rsidRPr="0018171E" w:rsidRDefault="00C46490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Il-proċedura prevista għall-preżentazzjoni ta’ kunċett ta’ protezzjoni, tiżgura li l-kwistjonijiet inklużi skont § 5a se jingħataw attenzjoni.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Il-fornitur ta’ networks soċjali jista’ jirrifjuta li jagħti informazzjoni sal-preżentazzjoni tal-kunċett ta’ protezzjoni.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Fl-istess ħin, il-kunċett ta’ protezzjoni għandu jiġi preżentat quddiem l-awtorità ta’ sorveljanza ta’ protezzjoni tad-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, li tista’ tniedi proċedimenti xierqa f’każ ta’ indizji ta’ ksur għall-protezzjoni tad-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Dan huwa ta’ importanza kbira, peress li l-għoti ta’ informazzjoni minn fornituri jista’ jaffettwa wkoll l-interessi ta’ partijiet terzi, bħal pereżempju l-utenti.</w:t>
      </w:r>
    </w:p>
    <w:p w14:paraId="61C60CE8" w14:textId="669418FB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Barra minn hekk, l-informazzjoni m’għandhiex tmur kontra l-interessi li jeħtieġu protezzjoni predominanti tal-fornitur ta’ network soċjali.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Interessi li jeħtieġu protezzjoni konfliġġenti jistgħu jitqiesu, jekk l-aċċess għad-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jaffettwa b’mod inaċċettabbli l-interessi ta’ kunfidenzjalità tal-fornitur.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Id-dritt għall-informazzjoni huwa wkoll prekluż jekk jaffettwa l-interessi li jeħtieġu protezzjoni tal-persuni konċernati u jekk l-interess pubbliku għar-riċerka ma jegħlibx l-interess għall-kunfidenzjalità tal-persuni konċernati.</w:t>
      </w:r>
    </w:p>
    <w:p w14:paraId="05EA09A2" w14:textId="77777777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Għall-għoti tal-informazzjoni tista’ tingħata wkoll 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personali, fejn sakemm ikun possibbli għandha tingħata b’mod anonimu jew bi psewdonimu.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Barra minn hekk, huma previsti miżuri ulterjuri għall-protezzjoni tad-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personali, sakemm jiġu proċessati kategoriji ta’ 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partikolari fis-sens tal-Artikolu 9(1) tar-Regolament (UE) 2016/679.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Id-dispożizzjonijiet għall-protezzjoni tad-</w:t>
      </w:r>
      <w:r>
        <w:rPr>
          <w:rStyle w:val="Marker"/>
          <w:color w:val="auto"/>
          <w:i/>
          <w:iCs/>
        </w:rPr>
        <w:t xml:space="preserve">data</w:t>
      </w:r>
      <w:r>
        <w:rPr>
          <w:rStyle w:val="Marker"/>
          <w:color w:val="auto"/>
        </w:rPr>
        <w:t xml:space="preserve"> l-oħrajn, b’mod partikolari skont § 27 tal-BDSG, ma jiġux affettwati.</w:t>
      </w:r>
      <w:r>
        <w:rPr>
          <w:rStyle w:val="Marker"/>
          <w:color w:val="auto"/>
        </w:rPr>
        <w:t xml:space="preserve"> </w:t>
      </w:r>
    </w:p>
    <w:p w14:paraId="67D27A76" w14:textId="0A74581F" w:rsidR="00A135B4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Il-fornitur għandu d-dritt li jitlob lir-riċerkatur għal rimbors tal-ispejjeż li rriżultaw u xierqa mill-għoti ta’ informazzjoni 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Il-limitazzjoni fuq id-dritt għar-rimbors ta’ spejjeż xierqa tiżgura li d-dritt għall-informazzjoni tar-riċerkaturi fil-prattika ma jitħassarx minħabba talbiet għal rimbors għoljin wisq.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Din isservi wkoll għall-istabbiliment ta’ limitu massimu tal-ispejjeż eliġibbli għal rimbors, li jista’ jinqabeż f’każijiet eċċezzjonali.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Dan jista’ jkun il-każ, jekk l-ispejjeż tal-għoti ta’ informazzjoni sostanzjalment jaqbżu l-ispejjeż tal-għoti ta’ informazzjoni għal proġetti ta’ riċerka koperti minn § 5a.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Il-fornitur ta’ network soċjali jġorr il-piż tal-preżentazzjoni u l-prova għal ċirkostanzi korrispondenti, kif diġà jagħmel għall-adegwatezza tal-ispejjeż.</w:t>
      </w:r>
    </w:p>
    <w:p w14:paraId="1B437195" w14:textId="47B203AC" w:rsidR="00D969A6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Permezz tal-applikazzjoni korrispondenti ta’ § 287(1) tal-kodiċi ta’ proċedura ċivili - ZPO jiġi żgurat li l-qorti kompetenti tkun tista’ tiddetermina l-ammont għat-talba tar-rimbors f’każ ta’ tilwim billi tqis iċ-ċirkostanzi kollha skont id-diskrezzjoni libera tagħha.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M’għandux jingħata kumpens ieħor lil hinn minn dan.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Sabiex tiġi ffaċilitata s-sigurtà tal-ippjanar tar-riċerkatur fir-rigward tal-ispejjeż imġarrba, dan jista’ jitlob stima mingħajr ħlas mingħand il-fornitur ta’ network soċjali fi żmien xieraq wara li jippreżenta l-kunċett ta’ protezzjoni.</w:t>
      </w:r>
    </w:p>
    <w:p w14:paraId="0569302F" w14:textId="40F9020F" w:rsidR="00E11559" w:rsidRPr="0018171E" w:rsidRDefault="00D969A6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Jekk ir-riċerkaturi u l-fornitur ta’ network soċjali jitlewmu dwar jekk humiex issodisfattir-rekwiżiti ta’ eliġibbiltà, il-qrati ordinarji għandhom jieħdu deċiżjoni dwar dan.</w:t>
      </w:r>
    </w:p>
    <w:p w14:paraId="1A7FF4A4" w14:textId="180DAC81" w:rsidR="00732338" w:rsidRPr="0018171E" w:rsidRDefault="00132D0E" w:rsidP="00132D0E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L-introduzzjoni tal-klawsola ta’ riċerka se tiġi supplimentata bi kjarifika dwar l-obbligi ta’ rapportar.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Skont § 2(2)(2) tan-NetzDG preċedentament previst għandu jiġi rrapportat ukoll, jekk u sa fejn il-persuni mill-qasam tax-xjenza u r-riċerka qed jingħataw informazzjoni għall-evalwazzjoni tal-proċeduri użati għar-rikonoxximent awtomatizzat ta’ kontenut (ara: dokument uffiċjali tal-Bundestag Ġermaniż 19/18792, p. 43).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Permezz tas-suppliment propost ta’ § 2(2)(2) tan-NetzDG qed jiġi kjarifikat, li dan jirrigwarda wkoll il-kwistjoni tal-għoti tal-aċċess għal informazzjoni tal-fornitur, kif ukoll tal-għoti ta’ informazzjoni skont § 5a tan-NetzDG.</w:t>
      </w:r>
    </w:p>
    <w:p w14:paraId="5F9F9891" w14:textId="5A8F43C7" w:rsidR="00E97B1F" w:rsidRPr="0018171E" w:rsidRDefault="00E97B1F" w:rsidP="00132D0E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§ 5a għandu jiġi evalwat tliet snin wara d-dħul fis-seħħ.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B’dan għandu jiġi determinat, jekk u sa fejn intlaħqu l-effetti maħsuba.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B’mod partikolari, dan jinkludi dikjarazzjonijiet, jekk l-informazzjoni mogħtija għenitx l-għanijiet ta’ riċerka sottostanti.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Għandhom jiġu determinati wkoll il-kapaċità ta' mmaniġġjar tar-regolamenti, b’mod paritkolari f’tilwim bejn ir-riċerkaturi u l-fornituri ta’ networks soċjali dwar l-obbligu għall-għoti ta’ informazzjoni.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F’dan ir-rigward għandhom isiru dikjarazzjonijiet, jekk l-involviment ta’ korp ta’ medjazzjoni għall-konċiljazzjoni ta’ differenzi tal-opinjoni dwar l-obbligu ta’ divulgazzjoni jew il-konkretizzazzjoni ta’ talba għall-informazzjoni jidhrux xierqa u kif tali korp ta’ medjazzjoni jista’ jiġi ffurmat.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Barra minn hekk, l-evalwazzjoni għandha tindirizza wkoll, jekk ir-regolament għar-rimbors fil-paragrafu 8 huwiex effettiv.</w:t>
      </w:r>
    </w:p>
    <w:p w14:paraId="2F6A2064" w14:textId="663911F1" w:rsidR="009F08C0" w:rsidRPr="0018171E" w:rsidRDefault="009F08C0" w:rsidP="0018171E">
      <w:pPr>
        <w:pStyle w:val="Text"/>
        <w:keepNext/>
        <w:rPr>
          <w:rStyle w:val="Marker"/>
          <w:b/>
          <w:color w:val="auto"/>
        </w:rPr>
      </w:pPr>
      <w:r>
        <w:rPr>
          <w:rStyle w:val="Marker"/>
          <w:b/>
          <w:color w:val="auto"/>
        </w:rPr>
        <w:t xml:space="preserve">Dwar il-Punt 2</w:t>
      </w:r>
    </w:p>
    <w:p w14:paraId="7D853F30" w14:textId="43DDA2F0" w:rsidR="00132D0E" w:rsidRPr="0018171E" w:rsidRDefault="00132D0E" w:rsidP="00D969A6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Ir-regolamenti dwar id-dħul fis-seħħ fl-Artikolu ... huma supplimentati abbażi l-emendi adottati tal-Liġi tal-Infurzar ta’ Networks.</w:t>
      </w:r>
    </w:p>
    <w:sectPr w:rsidR="00132D0E" w:rsidRPr="0018171E" w:rsidSect="00E851FA">
      <w:headerReference w:type="even" r:id="rId8"/>
      <w:headerReference w:type="default" r:id="rId9"/>
      <w:pgSz w:w="11907" w:h="16839"/>
      <w:pgMar w:top="1134" w:right="3883" w:bottom="1417" w:left="121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BDD25" w14:textId="77777777" w:rsidR="005D0EFB" w:rsidRDefault="005D0EFB" w:rsidP="00FF4465">
      <w:pPr>
        <w:spacing w:before="0" w:after="0"/>
      </w:pPr>
      <w:r>
        <w:separator/>
      </w:r>
    </w:p>
  </w:endnote>
  <w:endnote w:type="continuationSeparator" w:id="0">
    <w:p w14:paraId="2E69F933" w14:textId="77777777" w:rsidR="005D0EFB" w:rsidRDefault="005D0EFB" w:rsidP="00FF4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1392E" w14:textId="77777777" w:rsidR="005D0EFB" w:rsidRDefault="005D0EFB" w:rsidP="00FF4465">
      <w:pPr>
        <w:spacing w:before="0" w:after="0"/>
      </w:pPr>
      <w:r>
        <w:separator/>
      </w:r>
    </w:p>
  </w:footnote>
  <w:footnote w:type="continuationSeparator" w:id="0">
    <w:p w14:paraId="1E12B3E1" w14:textId="77777777" w:rsidR="005D0EFB" w:rsidRDefault="005D0EFB" w:rsidP="00FF4465">
      <w:pPr>
        <w:spacing w:before="0" w:after="0"/>
      </w:pPr>
      <w:r>
        <w:continuationSeparator/>
      </w:r>
    </w:p>
  </w:footnote>
  <w:footnote w:id="1">
    <w:p w14:paraId="5C6D240D" w14:textId="1F2EE70B" w:rsidR="00F87158" w:rsidRDefault="00F87158" w:rsidP="00F87158">
      <w:pPr>
        <w:pStyle w:val="RevisionFunotentext"/>
      </w:pPr>
      <w:r>
        <w:rPr>
          <w:rStyle w:val="FootnoteReference"/>
        </w:rPr>
        <w:t xml:space="preserve">*</w:t>
      </w:r>
      <w:r>
        <w:rPr>
          <w:rStyle w:val="FootnoteReference"/>
          <w:vertAlign w:val="baseline"/>
        </w:rPr>
        <w:t xml:space="preserve">)</w:t>
      </w:r>
      <w:r>
        <w:tab/>
        <w:t xml:space="preserve">Innotifikat skont id-Direttiva (UE) 2015/1535 tal-Parlament Ewropew u tal-Kunsill tad-9 ta’ Settembru 2015 li tistabbilixxi proċedura għall-għoti ta’ informazzjoni fil-qasam tar-regolamenti tekniċi u tar-regoli dwar is-servizzi tas-Soċjetà tal-Informatika (ĠU L 241 tas-17/09/2015, p. 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ACD9" w14:textId="16EB1E5D" w:rsidR="00E97B1F" w:rsidRPr="00E851FA" w:rsidRDefault="00E851FA" w:rsidP="00E851FA">
    <w:pPr>
      <w:pStyle w:val="Header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 –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1E50E" w14:textId="66737395" w:rsidR="00E97B1F" w:rsidRPr="00E851FA" w:rsidRDefault="00E851FA" w:rsidP="00E851FA">
    <w:pPr>
      <w:pStyle w:val="Header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 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595A094C"/>
    <w:multiLevelType w:val="multilevel"/>
    <w:tmpl w:val="A464103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14"/>
  </w:num>
  <w:num w:numId="16">
    <w:abstractNumId w:val="6"/>
  </w:num>
  <w:num w:numId="17">
    <w:abstractNumId w:val="8"/>
  </w:num>
  <w:num w:numId="18">
    <w:abstractNumId w:val="1"/>
  </w:num>
  <w:num w:numId="19">
    <w:abstractNumId w:val="1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12"/>
  </w:num>
  <w:num w:numId="24">
    <w:abstractNumId w:val="16"/>
  </w:num>
  <w:num w:numId="25">
    <w:abstractNumId w:val="11"/>
  </w:num>
  <w:num w:numId="26">
    <w:abstractNumId w:val="2"/>
  </w:num>
  <w:num w:numId="27">
    <w:abstractNumId w:val="0"/>
  </w:num>
  <w:num w:numId="28">
    <w:abstractNumId w:val="15"/>
  </w:num>
  <w:num w:numId="29">
    <w:abstractNumId w:val="10"/>
  </w:num>
  <w:num w:numId="30">
    <w:abstractNumId w:val="5"/>
  </w:num>
  <w:num w:numId="31">
    <w:abstractNumId w:val="4"/>
  </w:num>
  <w:num w:numId="32">
    <w:abstractNumId w:val="9"/>
  </w:num>
  <w:num w:numId="33">
    <w:abstractNumId w:val="14"/>
  </w:num>
  <w:num w:numId="34">
    <w:abstractNumId w:val="6"/>
  </w:num>
  <w:num w:numId="35">
    <w:abstractNumId w:val="8"/>
  </w:num>
  <w:num w:numId="36">
    <w:abstractNumId w:val="1"/>
  </w:num>
  <w:num w:numId="3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attachedTemplate r:id="rId1"/>
  <w:defaultTabStop w:val="720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fehlsHistorie_Befehl01" w:val="Zum ersten Platzhalter im Dokument navigieren [1530ms] [Main] [eNormCommandSeilegx::SEILEGX.Marker.GotoFirstMarkerInDocument]"/>
    <w:docVar w:name="BefehlsHistorie_Befehl02" w:val="Aktualisierung der Strukturanzeige [7093ms] [Main] [eNormCommandLocal::DynamicStructureCheck.UpdateStructure]"/>
    <w:docVar w:name="BefehlsHistorie_BefehlsZähler" w:val="2"/>
    <w:docVar w:name="BefehlsKontext_SpeichernOOXML_Maximum" w:val="809ms"/>
    <w:docVar w:name="BefehlsKontext_SpeichernOOXML_Schnitt" w:val="809ms"/>
    <w:docVar w:name="BT" w:val="True"/>
    <w:docVar w:name="DQCDateTime" w:val="19.10.2020 09:45:55"/>
    <w:docVar w:name="DQCHighlighting" w:val="100"/>
    <w:docVar w:name="DQCPart_Dokument" w:val="0"/>
    <w:docVar w:name="DQCResult_Aenderungsbefehl" w:val="0;0"/>
    <w:docVar w:name="DQCResult_Citations" w:val="0;4"/>
    <w:docVar w:name="DQCResult_EmbeddedObjects" w:val="0;0"/>
    <w:docVar w:name="DQCResult_Marker" w:val="5;0"/>
    <w:docVar w:name="DQCResult_ModifiedCharFormat" w:val="0;0"/>
    <w:docVar w:name="DQCResult_ModifiedMargins" w:val="0;0"/>
    <w:docVar w:name="DQCResult_ModifiedNumbering" w:val="0;0"/>
    <w:docVar w:name="DQCResult_StructureCheck" w:val="0;0"/>
    <w:docVar w:name="DQCResult_SuperfluousWhitespace" w:val="1;0"/>
    <w:docVar w:name="DQCWithWarnings" w:val="1"/>
    <w:docVar w:name="EN_DocFileDateTimeAtOpen" w:val="28.01.2021 13:32:10"/>
    <w:docVar w:name="LW_DocType" w:val="FORM"/>
    <w:docVar w:name="LWCons_Langue" w:val="DE"/>
  </w:docVars>
  <w:rsids>
    <w:rsidRoot w:val="00A1618A"/>
    <w:rsid w:val="000135E0"/>
    <w:rsid w:val="00071DF7"/>
    <w:rsid w:val="00080092"/>
    <w:rsid w:val="000C7EB4"/>
    <w:rsid w:val="000E03DB"/>
    <w:rsid w:val="001128A7"/>
    <w:rsid w:val="001135BC"/>
    <w:rsid w:val="00132D0E"/>
    <w:rsid w:val="00134F62"/>
    <w:rsid w:val="00146FA3"/>
    <w:rsid w:val="00146FE2"/>
    <w:rsid w:val="00154174"/>
    <w:rsid w:val="00173C16"/>
    <w:rsid w:val="0018171E"/>
    <w:rsid w:val="00183A92"/>
    <w:rsid w:val="001A1857"/>
    <w:rsid w:val="001F299B"/>
    <w:rsid w:val="002238CE"/>
    <w:rsid w:val="00226BE8"/>
    <w:rsid w:val="0027342B"/>
    <w:rsid w:val="0029069E"/>
    <w:rsid w:val="002A4508"/>
    <w:rsid w:val="002D5B22"/>
    <w:rsid w:val="00300E10"/>
    <w:rsid w:val="00301E30"/>
    <w:rsid w:val="00303B79"/>
    <w:rsid w:val="00322FED"/>
    <w:rsid w:val="00372E80"/>
    <w:rsid w:val="00375668"/>
    <w:rsid w:val="003B0970"/>
    <w:rsid w:val="003D00E3"/>
    <w:rsid w:val="003E7797"/>
    <w:rsid w:val="004603FB"/>
    <w:rsid w:val="00475F3C"/>
    <w:rsid w:val="0048061A"/>
    <w:rsid w:val="00482E04"/>
    <w:rsid w:val="00483A5C"/>
    <w:rsid w:val="004C2F0E"/>
    <w:rsid w:val="004D73A6"/>
    <w:rsid w:val="004E3669"/>
    <w:rsid w:val="00500832"/>
    <w:rsid w:val="00507548"/>
    <w:rsid w:val="005136D3"/>
    <w:rsid w:val="00522D35"/>
    <w:rsid w:val="0052467D"/>
    <w:rsid w:val="0056127E"/>
    <w:rsid w:val="00564F5C"/>
    <w:rsid w:val="00567E04"/>
    <w:rsid w:val="00575145"/>
    <w:rsid w:val="0059491E"/>
    <w:rsid w:val="005D0EFB"/>
    <w:rsid w:val="005D3CD6"/>
    <w:rsid w:val="0063228E"/>
    <w:rsid w:val="00641EBD"/>
    <w:rsid w:val="00653714"/>
    <w:rsid w:val="0065493F"/>
    <w:rsid w:val="006602F9"/>
    <w:rsid w:val="00671BC4"/>
    <w:rsid w:val="00697ADE"/>
    <w:rsid w:val="006D6868"/>
    <w:rsid w:val="006F4236"/>
    <w:rsid w:val="00732338"/>
    <w:rsid w:val="00740D37"/>
    <w:rsid w:val="007430E4"/>
    <w:rsid w:val="00781CAB"/>
    <w:rsid w:val="00781ED1"/>
    <w:rsid w:val="00792014"/>
    <w:rsid w:val="007C2BBC"/>
    <w:rsid w:val="007D4CD0"/>
    <w:rsid w:val="007E2045"/>
    <w:rsid w:val="007E7C79"/>
    <w:rsid w:val="008135B1"/>
    <w:rsid w:val="0081574B"/>
    <w:rsid w:val="00823118"/>
    <w:rsid w:val="00847B02"/>
    <w:rsid w:val="00885E82"/>
    <w:rsid w:val="008C1218"/>
    <w:rsid w:val="008D2AC5"/>
    <w:rsid w:val="008F1429"/>
    <w:rsid w:val="00917795"/>
    <w:rsid w:val="00917B9B"/>
    <w:rsid w:val="0095048E"/>
    <w:rsid w:val="009642AE"/>
    <w:rsid w:val="0098296B"/>
    <w:rsid w:val="00983E79"/>
    <w:rsid w:val="009A5C22"/>
    <w:rsid w:val="009C0AFB"/>
    <w:rsid w:val="009C727B"/>
    <w:rsid w:val="009F08C0"/>
    <w:rsid w:val="00A02364"/>
    <w:rsid w:val="00A0500F"/>
    <w:rsid w:val="00A135B4"/>
    <w:rsid w:val="00A1618A"/>
    <w:rsid w:val="00A9149E"/>
    <w:rsid w:val="00B07CE3"/>
    <w:rsid w:val="00B43B29"/>
    <w:rsid w:val="00B56BA7"/>
    <w:rsid w:val="00B57167"/>
    <w:rsid w:val="00B71D99"/>
    <w:rsid w:val="00B83323"/>
    <w:rsid w:val="00BA1801"/>
    <w:rsid w:val="00BA4521"/>
    <w:rsid w:val="00C2229D"/>
    <w:rsid w:val="00C43A3B"/>
    <w:rsid w:val="00C46490"/>
    <w:rsid w:val="00C4721A"/>
    <w:rsid w:val="00C547F3"/>
    <w:rsid w:val="00C56313"/>
    <w:rsid w:val="00C8625E"/>
    <w:rsid w:val="00CA5FE0"/>
    <w:rsid w:val="00CC24F9"/>
    <w:rsid w:val="00CC759B"/>
    <w:rsid w:val="00CF5BEA"/>
    <w:rsid w:val="00D22B44"/>
    <w:rsid w:val="00D43956"/>
    <w:rsid w:val="00D63854"/>
    <w:rsid w:val="00D65B30"/>
    <w:rsid w:val="00D72D91"/>
    <w:rsid w:val="00D879BF"/>
    <w:rsid w:val="00D969A6"/>
    <w:rsid w:val="00DA01B2"/>
    <w:rsid w:val="00DC4488"/>
    <w:rsid w:val="00DC478A"/>
    <w:rsid w:val="00DC6F26"/>
    <w:rsid w:val="00DE62FA"/>
    <w:rsid w:val="00E11559"/>
    <w:rsid w:val="00E14F7C"/>
    <w:rsid w:val="00E35B47"/>
    <w:rsid w:val="00E460EC"/>
    <w:rsid w:val="00E50B3B"/>
    <w:rsid w:val="00E558EE"/>
    <w:rsid w:val="00E56784"/>
    <w:rsid w:val="00E5776A"/>
    <w:rsid w:val="00E76696"/>
    <w:rsid w:val="00E76B14"/>
    <w:rsid w:val="00E851FA"/>
    <w:rsid w:val="00E97B1F"/>
    <w:rsid w:val="00EC1208"/>
    <w:rsid w:val="00F40398"/>
    <w:rsid w:val="00F417DD"/>
    <w:rsid w:val="00F43B6A"/>
    <w:rsid w:val="00F601E9"/>
    <w:rsid w:val="00F6471F"/>
    <w:rsid w:val="00F722DA"/>
    <w:rsid w:val="00F87158"/>
    <w:rsid w:val="00FD15D6"/>
    <w:rsid w:val="00FD3793"/>
    <w:rsid w:val="00FE3C75"/>
    <w:rsid w:val="00FE7C6A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C7F1C"/>
  <w15:docId w15:val="{D049CA59-B7A5-44F5-B3CB-68B37A63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Heading1">
    <w:name w:val="heading 1"/>
    <w:basedOn w:val="Normal"/>
    <w:next w:val="Text"/>
    <w:link w:val="Heading1Char"/>
    <w:uiPriority w:val="9"/>
    <w:qFormat/>
    <w:rsid w:val="0098296B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98296B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98296B"/>
    <w:pPr>
      <w:keepNext/>
      <w:spacing w:before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98296B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9A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A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A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17D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A4521"/>
    <w:pPr>
      <w:spacing w:after="0" w:line="240" w:lineRule="auto"/>
    </w:pPr>
    <w:rPr>
      <w:rFonts w:ascii="Times New Roman" w:hAnsi="Times New Roman" w:cs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98296B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96B"/>
    <w:pPr>
      <w:spacing w:before="0" w:after="0"/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96B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Normal"/>
    <w:rsid w:val="0098296B"/>
    <w:pPr>
      <w:numPr>
        <w:numId w:val="21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98296B"/>
    <w:pPr>
      <w:numPr>
        <w:ilvl w:val="1"/>
        <w:numId w:val="21"/>
      </w:numPr>
    </w:pPr>
  </w:style>
  <w:style w:type="paragraph" w:customStyle="1" w:styleId="ListeStufe2">
    <w:name w:val="Liste (Stufe 2)"/>
    <w:basedOn w:val="Normal"/>
    <w:rsid w:val="0098296B"/>
    <w:pPr>
      <w:numPr>
        <w:ilvl w:val="2"/>
        <w:numId w:val="21"/>
      </w:numPr>
    </w:pPr>
  </w:style>
  <w:style w:type="paragraph" w:customStyle="1" w:styleId="ListeFolgeabsatzStufe2">
    <w:name w:val="Liste Folgeabsatz (Stufe 2)"/>
    <w:basedOn w:val="Normal"/>
    <w:rsid w:val="0098296B"/>
    <w:pPr>
      <w:numPr>
        <w:ilvl w:val="3"/>
        <w:numId w:val="21"/>
      </w:numPr>
    </w:pPr>
  </w:style>
  <w:style w:type="paragraph" w:customStyle="1" w:styleId="ListeStufe3">
    <w:name w:val="Liste (Stufe 3)"/>
    <w:basedOn w:val="Normal"/>
    <w:rsid w:val="0098296B"/>
    <w:pPr>
      <w:numPr>
        <w:ilvl w:val="4"/>
        <w:numId w:val="21"/>
      </w:numPr>
    </w:pPr>
  </w:style>
  <w:style w:type="paragraph" w:customStyle="1" w:styleId="ListeFolgeabsatzStufe3">
    <w:name w:val="Liste Folgeabsatz (Stufe 3)"/>
    <w:basedOn w:val="Normal"/>
    <w:rsid w:val="0098296B"/>
    <w:pPr>
      <w:numPr>
        <w:ilvl w:val="5"/>
        <w:numId w:val="21"/>
      </w:numPr>
    </w:pPr>
  </w:style>
  <w:style w:type="paragraph" w:customStyle="1" w:styleId="ListeStufe4">
    <w:name w:val="Liste (Stufe 4)"/>
    <w:basedOn w:val="Normal"/>
    <w:rsid w:val="0098296B"/>
    <w:pPr>
      <w:numPr>
        <w:ilvl w:val="6"/>
        <w:numId w:val="21"/>
      </w:numPr>
    </w:pPr>
  </w:style>
  <w:style w:type="paragraph" w:customStyle="1" w:styleId="ListeFolgeabsatzStufe4">
    <w:name w:val="Liste Folgeabsatz (Stufe 4)"/>
    <w:basedOn w:val="Normal"/>
    <w:rsid w:val="0098296B"/>
    <w:pPr>
      <w:numPr>
        <w:ilvl w:val="7"/>
        <w:numId w:val="21"/>
      </w:numPr>
    </w:pPr>
  </w:style>
  <w:style w:type="paragraph" w:customStyle="1" w:styleId="ListeStufe1manuell">
    <w:name w:val="Liste (Stufe 1) (manuell)"/>
    <w:basedOn w:val="Normal"/>
    <w:rsid w:val="0098296B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98296B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98296B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98296B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98296B"/>
    <w:pPr>
      <w:numPr>
        <w:numId w:val="22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98296B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98296B"/>
    <w:pPr>
      <w:numPr>
        <w:numId w:val="23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98296B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98296B"/>
    <w:pPr>
      <w:numPr>
        <w:numId w:val="24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98296B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98296B"/>
    <w:pPr>
      <w:numPr>
        <w:numId w:val="25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98296B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98296B"/>
    <w:pPr>
      <w:numPr>
        <w:numId w:val="26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98296B"/>
    <w:pPr>
      <w:tabs>
        <w:tab w:val="left" w:pos="2126"/>
      </w:tabs>
      <w:ind w:left="2126"/>
    </w:pPr>
  </w:style>
  <w:style w:type="paragraph" w:customStyle="1" w:styleId="Formel">
    <w:name w:val="Formel"/>
    <w:basedOn w:val="Normal"/>
    <w:rsid w:val="0098296B"/>
    <w:pPr>
      <w:spacing w:before="240" w:after="240"/>
      <w:jc w:val="center"/>
    </w:pPr>
  </w:style>
  <w:style w:type="paragraph" w:customStyle="1" w:styleId="Grafik">
    <w:name w:val="Grafik"/>
    <w:basedOn w:val="Normal"/>
    <w:rsid w:val="0098296B"/>
    <w:pPr>
      <w:spacing w:before="240" w:after="240"/>
      <w:jc w:val="center"/>
    </w:pPr>
  </w:style>
  <w:style w:type="paragraph" w:customStyle="1" w:styleId="Text">
    <w:name w:val="Text"/>
    <w:basedOn w:val="Normal"/>
    <w:rsid w:val="0098296B"/>
  </w:style>
  <w:style w:type="paragraph" w:customStyle="1" w:styleId="TabelleTitel">
    <w:name w:val="Tabelle Titel"/>
    <w:basedOn w:val="Normal"/>
    <w:rsid w:val="0098296B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98296B"/>
    <w:rPr>
      <w:b/>
      <w:sz w:val="16"/>
    </w:rPr>
  </w:style>
  <w:style w:type="paragraph" w:customStyle="1" w:styleId="TabelleText">
    <w:name w:val="Tabelle Text"/>
    <w:basedOn w:val="Normal"/>
    <w:rsid w:val="0098296B"/>
    <w:rPr>
      <w:sz w:val="16"/>
    </w:rPr>
  </w:style>
  <w:style w:type="paragraph" w:customStyle="1" w:styleId="TabelleAufzhlung">
    <w:name w:val="Tabelle Aufzählung"/>
    <w:basedOn w:val="Normal"/>
    <w:rsid w:val="0098296B"/>
    <w:pPr>
      <w:numPr>
        <w:numId w:val="27"/>
      </w:numPr>
    </w:pPr>
    <w:rPr>
      <w:sz w:val="16"/>
    </w:rPr>
  </w:style>
  <w:style w:type="paragraph" w:customStyle="1" w:styleId="TabelleListe">
    <w:name w:val="Tabelle Liste"/>
    <w:basedOn w:val="Normal"/>
    <w:rsid w:val="0098296B"/>
    <w:pPr>
      <w:numPr>
        <w:numId w:val="28"/>
      </w:numPr>
    </w:pPr>
    <w:rPr>
      <w:sz w:val="16"/>
    </w:rPr>
  </w:style>
  <w:style w:type="character" w:customStyle="1" w:styleId="Binnenverweis">
    <w:name w:val="Binnenverweis"/>
    <w:basedOn w:val="DefaultParagraphFont"/>
    <w:rsid w:val="0098296B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98296B"/>
    <w:rPr>
      <w:shd w:val="clear" w:color="auto" w:fill="F3F3F3"/>
    </w:rPr>
  </w:style>
  <w:style w:type="character" w:customStyle="1" w:styleId="Verweis">
    <w:name w:val="Verweis"/>
    <w:basedOn w:val="DefaultParagraphFont"/>
    <w:rsid w:val="0098296B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98296B"/>
    <w:rPr>
      <w:color w:val="000080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98296B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HeaderChar">
    <w:name w:val="Header Char"/>
    <w:basedOn w:val="DefaultParagraphFont"/>
    <w:link w:val="Header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character" w:styleId="FootnoteReference">
    <w:name w:val="footnote reference"/>
    <w:basedOn w:val="DefaultParagraphFont"/>
    <w:uiPriority w:val="99"/>
    <w:unhideWhenUsed/>
    <w:rsid w:val="0098296B"/>
    <w:rPr>
      <w:shd w:val="clear" w:color="auto" w:fill="auto"/>
      <w:vertAlign w:val="superscript"/>
    </w:rPr>
  </w:style>
  <w:style w:type="character" w:customStyle="1" w:styleId="Marker">
    <w:name w:val="Marker"/>
    <w:basedOn w:val="DefaultParagraphFont"/>
    <w:rsid w:val="0098296B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8296B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8296B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98296B"/>
    <w:rPr>
      <w:color w:val="008000"/>
    </w:rPr>
  </w:style>
  <w:style w:type="character" w:customStyle="1" w:styleId="Heading1Char">
    <w:name w:val="Heading 1 Char"/>
    <w:basedOn w:val="DefaultParagraphFont"/>
    <w:link w:val="Heading1"/>
    <w:uiPriority w:val="9"/>
    <w:rsid w:val="0098296B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6B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Normal"/>
    <w:rsid w:val="0098296B"/>
    <w:pPr>
      <w:numPr>
        <w:ilvl w:val="2"/>
        <w:numId w:val="29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98296B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98296B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98296B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98296B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98296B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98296B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98296B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98296B"/>
    <w:pPr>
      <w:numPr>
        <w:ilvl w:val="3"/>
        <w:numId w:val="29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98296B"/>
    <w:pPr>
      <w:numPr>
        <w:ilvl w:val="4"/>
        <w:numId w:val="29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98296B"/>
    <w:pPr>
      <w:numPr>
        <w:ilvl w:val="5"/>
        <w:numId w:val="29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98296B"/>
    <w:pPr>
      <w:numPr>
        <w:ilvl w:val="6"/>
        <w:numId w:val="29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98296B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98296B"/>
    <w:pPr>
      <w:keepNext/>
      <w:numPr>
        <w:ilvl w:val="1"/>
        <w:numId w:val="29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98296B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Normal"/>
    <w:next w:val="RevisionTei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Normal"/>
    <w:next w:val="RevisionKapite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Normal"/>
    <w:next w:val="Revision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98296B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Normal"/>
    <w:next w:val="RevisionArtikelberschrift"/>
    <w:rsid w:val="0098296B"/>
    <w:pPr>
      <w:keepNext/>
      <w:numPr>
        <w:numId w:val="29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Normal"/>
    <w:next w:val="RevisionJuristischerAbsatz"/>
    <w:rsid w:val="0098296B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98296B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Normal"/>
    <w:rsid w:val="0098296B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Normal"/>
    <w:rsid w:val="0098296B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98296B"/>
    <w:pPr>
      <w:numPr>
        <w:numId w:val="36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98296B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98296B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Normal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Normal"/>
    <w:rsid w:val="0098296B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Normal"/>
    <w:next w:val="RevisionAnlageVerweis"/>
    <w:rsid w:val="0098296B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Normal"/>
    <w:next w:val="RevisionAnlageText"/>
    <w:rsid w:val="0098296B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98296B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Normal"/>
    <w:rsid w:val="0098296B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Normal"/>
    <w:rsid w:val="0098296B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Normal"/>
    <w:rsid w:val="0098296B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98296B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Normal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Normal"/>
    <w:rsid w:val="0098296B"/>
    <w:rPr>
      <w:color w:val="800000"/>
    </w:rPr>
  </w:style>
  <w:style w:type="paragraph" w:customStyle="1" w:styleId="RevisionListeStufe1">
    <w:name w:val="Revision Liste (Stufe 1)"/>
    <w:basedOn w:val="Normal"/>
    <w:rsid w:val="0098296B"/>
    <w:pPr>
      <w:numPr>
        <w:numId w:val="30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98296B"/>
    <w:pPr>
      <w:numPr>
        <w:ilvl w:val="1"/>
        <w:numId w:val="30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98296B"/>
    <w:pPr>
      <w:numPr>
        <w:ilvl w:val="2"/>
        <w:numId w:val="30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98296B"/>
    <w:pPr>
      <w:numPr>
        <w:ilvl w:val="3"/>
        <w:numId w:val="30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98296B"/>
    <w:pPr>
      <w:numPr>
        <w:ilvl w:val="4"/>
        <w:numId w:val="30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98296B"/>
    <w:pPr>
      <w:numPr>
        <w:ilvl w:val="5"/>
        <w:numId w:val="30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98296B"/>
    <w:pPr>
      <w:numPr>
        <w:ilvl w:val="6"/>
        <w:numId w:val="30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98296B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98296B"/>
    <w:pPr>
      <w:numPr>
        <w:ilvl w:val="7"/>
        <w:numId w:val="30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98296B"/>
    <w:pPr>
      <w:numPr>
        <w:numId w:val="31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98296B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98296B"/>
    <w:pPr>
      <w:numPr>
        <w:numId w:val="32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98296B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98296B"/>
    <w:pPr>
      <w:numPr>
        <w:numId w:val="33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98296B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98296B"/>
    <w:pPr>
      <w:numPr>
        <w:numId w:val="34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98296B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98296B"/>
    <w:pPr>
      <w:numPr>
        <w:numId w:val="35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98296B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98296B"/>
    <w:rPr>
      <w:color w:val="800000"/>
    </w:rPr>
  </w:style>
  <w:style w:type="paragraph" w:customStyle="1" w:styleId="RevisionFormel">
    <w:name w:val="Revision Formel"/>
    <w:basedOn w:val="Normal"/>
    <w:rsid w:val="0098296B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98296B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98296B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98296B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Normal"/>
    <w:rsid w:val="0098296B"/>
    <w:pPr>
      <w:numPr>
        <w:numId w:val="37"/>
      </w:numPr>
    </w:pPr>
  </w:style>
  <w:style w:type="paragraph" w:customStyle="1" w:styleId="EmpfehlungTextnichtnummeriert">
    <w:name w:val="Empfehlung Text (nicht nummeriert)"/>
    <w:basedOn w:val="Normal"/>
    <w:next w:val="EmpfehlungNummerierungStufe1"/>
    <w:rsid w:val="0098296B"/>
  </w:style>
  <w:style w:type="paragraph" w:customStyle="1" w:styleId="EmpfehlungNummerierungStufe1">
    <w:name w:val="Empfehlung Nummerierung (Stufe 1)"/>
    <w:basedOn w:val="Normal"/>
    <w:rsid w:val="0098296B"/>
    <w:pPr>
      <w:numPr>
        <w:ilvl w:val="1"/>
        <w:numId w:val="37"/>
      </w:numPr>
      <w:outlineLvl w:val="2"/>
    </w:pPr>
  </w:style>
  <w:style w:type="paragraph" w:customStyle="1" w:styleId="EmpfehlungNummerierungFolgeabsatzStufe1">
    <w:name w:val="Empfehlung Nummerierung Folgeabsatz (Stufe 1)"/>
    <w:basedOn w:val="Normal"/>
    <w:rsid w:val="0098296B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Normal"/>
    <w:rsid w:val="0098296B"/>
    <w:pPr>
      <w:numPr>
        <w:ilvl w:val="2"/>
        <w:numId w:val="37"/>
      </w:numPr>
      <w:outlineLvl w:val="3"/>
    </w:pPr>
  </w:style>
  <w:style w:type="paragraph" w:customStyle="1" w:styleId="EmpfehlungNummerierungFolgeabsatzStufe2">
    <w:name w:val="Empfehlung Nummerierung Folgeabsatz (Stufe 2)"/>
    <w:basedOn w:val="Normal"/>
    <w:rsid w:val="0098296B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Normal"/>
    <w:rsid w:val="0098296B"/>
    <w:pPr>
      <w:numPr>
        <w:ilvl w:val="3"/>
        <w:numId w:val="37"/>
      </w:numPr>
    </w:pPr>
  </w:style>
  <w:style w:type="paragraph" w:customStyle="1" w:styleId="EmpfehlungNummerierungFolgeabsatzStufe3">
    <w:name w:val="Empfehlung Nummerierung Folgeabsatz (Stufe 3)"/>
    <w:basedOn w:val="Normal"/>
    <w:rsid w:val="0098296B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Normal"/>
    <w:rsid w:val="0098296B"/>
    <w:pPr>
      <w:numPr>
        <w:ilvl w:val="4"/>
        <w:numId w:val="37"/>
      </w:numPr>
    </w:pPr>
  </w:style>
  <w:style w:type="paragraph" w:customStyle="1" w:styleId="EmpfehlungNummerierungFolgeabsatzStufe4">
    <w:name w:val="Empfehlung Nummerierung Folgeabsatz (Stufe 4)"/>
    <w:basedOn w:val="Normal"/>
    <w:rsid w:val="0098296B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Normal"/>
    <w:next w:val="Text"/>
    <w:rsid w:val="0098296B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Normal"/>
    <w:next w:val="Text"/>
    <w:rsid w:val="0098296B"/>
    <w:pPr>
      <w:spacing w:before="900" w:after="612"/>
      <w:ind w:right="-2665"/>
      <w:outlineLvl w:val="0"/>
    </w:pPr>
    <w:rPr>
      <w:rFonts w:ascii="Arial" w:hAnsi="Arial" w:cs="Arial"/>
      <w:b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15D6"/>
    <w:pPr>
      <w:spacing w:before="0" w:after="0"/>
      <w:jc w:val="left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5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41119-2A56-46B7-9B1E-59FE604F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FORM.dotm</Template>
  <TotalTime>3</TotalTime>
  <Pages>7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Holznagel, Daniel</dc:creator>
  <cp:keywords/>
  <dc:description/>
  <cp:lastModifiedBy>Liu, Lei</cp:lastModifiedBy>
  <cp:revision>3</cp:revision>
  <cp:lastPrinted>2020-12-08T16:22:00Z</cp:lastPrinted>
  <dcterms:created xsi:type="dcterms:W3CDTF">2021-01-28T12:34:00Z</dcterms:created>
  <dcterms:modified xsi:type="dcterms:W3CDTF">2021-01-28T13:55:00Z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FORM</vt:lpwstr>
  </property>
  <property fmtid="{D5CDD505-2E9C-101B-9397-08002B2CF9AE}" pid="3" name="Classification">
    <vt:lpwstr> </vt:lpwstr>
  </property>
  <property fmtid="{D5CDD505-2E9C-101B-9397-08002B2CF9AE}" pid="4" name="Version">
    <vt:lpwstr>4.1.4.0</vt:lpwstr>
  </property>
  <property fmtid="{D5CDD505-2E9C-101B-9397-08002B2CF9AE}" pid="5" name="Created using">
    <vt:lpwstr>LW 5.4, Build 20200526</vt:lpwstr>
  </property>
  <property fmtid="{D5CDD505-2E9C-101B-9397-08002B2CF9AE}" pid="6" name="Last edited using">
    <vt:lpwstr>LW 5.4, Build 20200526</vt:lpwstr>
  </property>
  <property fmtid="{D5CDD505-2E9C-101B-9397-08002B2CF9AE}" pid="7" name="eNorm-Version Erstellung">
    <vt:lpwstr>4.1.5, Bundesregierung, [20200526]</vt:lpwstr>
  </property>
  <property fmtid="{D5CDD505-2E9C-101B-9397-08002B2CF9AE}" pid="8" name="eNorm-Version letzte Bearbeitung">
    <vt:lpwstr>4.1.5 Bundesregierung [20200526]</vt:lpwstr>
  </property>
  <property fmtid="{D5CDD505-2E9C-101B-9397-08002B2CF9AE}" pid="9" name="eNorm-Version vorherige Bearbeitung">
    <vt:lpwstr>4.1.5 Bundesregierung [20200526]</vt:lpwstr>
  </property>
  <property fmtid="{D5CDD505-2E9C-101B-9397-08002B2CF9AE}" pid="10" name="DQP-Ergebnis für Version 4">
    <vt:lpwstr>6 Fehler, 4 Warnungen</vt:lpwstr>
  </property>
  <property fmtid="{D5CDD505-2E9C-101B-9397-08002B2CF9AE}" pid="11" name="eNorm-Version letzte DQP">
    <vt:lpwstr>4.1.5, Bundesregierung, [20200526]</vt:lpwstr>
  </property>
</Properties>
</file>