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Sotsiaalvõrgustikes õiguste teostamist käsitlev seadus</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3. juuni 2021</w:t>
      </w:r>
    </w:p>
    <w:p w14:paraId="3F51C4C2" w14:textId="77777777" w:rsidR="00E83886" w:rsidRDefault="00E83886">
      <w:pPr>
        <w:pStyle w:val="EingangsformelStandardnderungsdokument"/>
      </w:pPr>
      <w:r>
        <w:t>Liidupäev on vastu võtnud järgmise seaduse:</w:t>
      </w:r>
    </w:p>
    <w:p w14:paraId="3EF60F3B" w14:textId="51840A09" w:rsidR="00E83886" w:rsidRDefault="00B61AA0" w:rsidP="00B61AA0">
      <w:pPr>
        <w:pStyle w:val="ArtikelBezeichner"/>
        <w:numPr>
          <w:ilvl w:val="0"/>
          <w:numId w:val="0"/>
        </w:numPr>
      </w:pPr>
      <w:r>
        <w:t>Artikkel 1</w:t>
      </w:r>
    </w:p>
    <w:p w14:paraId="00B33297" w14:textId="77777777" w:rsidR="00E83886" w:rsidRDefault="00BC2E28">
      <w:pPr>
        <w:pStyle w:val="Artikelberschrift"/>
      </w:pPr>
      <w:r>
        <w:t>S</w:t>
      </w:r>
      <w:bookmarkStart w:id="1" w:name="eNV_02766DCDDD0C451696CD2CA9BA8F5F05_1"/>
      <w:bookmarkEnd w:id="1"/>
      <w:r>
        <w:t>otsiaalvõrgustikes õiguste teostamist käsitleva seaduse muutmine</w:t>
      </w:r>
    </w:p>
    <w:p w14:paraId="75A86A66" w14:textId="77777777" w:rsidR="00E83886" w:rsidRPr="00B43644" w:rsidRDefault="00BC2E28">
      <w:pPr>
        <w:pStyle w:val="JuristischerAbsatznichtnummeriert"/>
      </w:pPr>
      <w:r>
        <w:t>1. septembri 2017. aasta sotsiaalvõrgustikes õiguste teostamist käsitlevat seadust (Saksamaa ametlik väljaanne, I osa, lk 3352), mida on viimati muudetud 30. märtsi 2021. aasta seaduse (Saksamaa ametlik väljaanne, I osa, lk 441) artikliga 7 ja 30. märtsi 2021. aasta seaduse (Saksamaa ametlik väljaanne, I osa, lk 448) artikliga 15, muudetakse järgmiselt:</w:t>
      </w:r>
    </w:p>
    <w:p w14:paraId="5906B6F4" w14:textId="77777777" w:rsidR="009C3C3B" w:rsidRDefault="009C3C3B" w:rsidP="00FD2509">
      <w:pPr>
        <w:pStyle w:val="NummerierungStufe1"/>
      </w:pPr>
      <w:bookmarkStart w:id="2" w:name="eNV_6C01AF3269F54A25937775F5B1921A82_1"/>
      <w:bookmarkEnd w:id="2"/>
      <w:r>
        <w:t xml:space="preserve">§ 1 lõikes 2 asendatakse viide </w:t>
      </w:r>
      <w:r>
        <w:rPr>
          <w:rStyle w:val="RevisionText"/>
        </w:rPr>
        <w:t>„§-d 2 ja 3“</w:t>
      </w:r>
      <w:r>
        <w:t xml:space="preserve"> viitega </w:t>
      </w:r>
      <w:r>
        <w:rPr>
          <w:rStyle w:val="RevisionText"/>
        </w:rPr>
        <w:t>„§-d 2 kuni 3b ja 5a“</w:t>
      </w:r>
      <w:r>
        <w:t>.</w:t>
      </w:r>
    </w:p>
    <w:p w14:paraId="71A5833B" w14:textId="77777777" w:rsidR="00FD2509" w:rsidRDefault="00D563DB" w:rsidP="00FD2509">
      <w:pPr>
        <w:pStyle w:val="NummerierungStufe1"/>
      </w:pPr>
      <w:r>
        <w:t>§</w:t>
      </w:r>
      <w:bookmarkStart w:id="3" w:name="eNV_F184275CB3ED43BBAC3DB3FE735A86E0_1"/>
      <w:bookmarkEnd w:id="3"/>
      <w:r>
        <w:t> 2 lõiget 2 muudetakse järgmiselt:</w:t>
      </w:r>
    </w:p>
    <w:p w14:paraId="75A87168" w14:textId="77777777" w:rsidR="00D563DB" w:rsidRPr="001355C5" w:rsidRDefault="00D563DB" w:rsidP="00D563DB">
      <w:pPr>
        <w:pStyle w:val="NummerierungStufe2"/>
      </w:pPr>
      <w:bookmarkStart w:id="4" w:name="eNV_C4D4FB87EB23484289627BC27807BCE5_1"/>
      <w:bookmarkEnd w:id="4"/>
      <w:r>
        <w:t>Punkt 2 asendatakse järgmiste punktidega 2 ja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eemaldatava või blokeeritava sisu automaatseks tuvastamiseks kasutatavate meetodite olemus, toimimise ja ulatuse põhijooned, sealhulgas üldine teave kasutatud koolitusandmete kohta ja nende menetluste tulemuste kontrollimise kohta teenuseosutaja poolt, samuti teave selle kohta, mil määral toetatakse teadus- ja uurimisringkondi kõnealuste menetluste hindamisel ja neile on antud sel eesmärgil juurdepääs teenuseosutaja teabele,</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ebaseaduslikku sisu käsitlevate kaebuste edastamise mehhanismide kirjeldus, ebaseadusliku sisu eemaldamise ja blokeerimise otsustamiskriteeriumide kirjeldus ning läbivaatamismenetluse kirjeldus, sealhulgas läbivaatamise järjekord selle kohta, kas tegemist on ebaseadusliku sisuga või kas rikutakse teenuseosutaja ja kasutaja vahelisi lepingutingimusi,“.</w:t>
      </w:r>
    </w:p>
    <w:p w14:paraId="074A3429" w14:textId="77777777" w:rsidR="00E43EFE" w:rsidRPr="001355C5" w:rsidRDefault="00E43EFE" w:rsidP="003764C3">
      <w:pPr>
        <w:pStyle w:val="NummerierungStufe2"/>
      </w:pPr>
      <w:bookmarkStart w:id="6" w:name="DQPErrorScopeAA164204E61A4B6863D92987321"/>
      <w:r>
        <w:t>Senised punktid 3–6 muutuvad punktideks 4–7.</w:t>
      </w:r>
      <w:bookmarkEnd w:id="6"/>
    </w:p>
    <w:p w14:paraId="44BFC151" w14:textId="29827472" w:rsidR="00DE0035" w:rsidRPr="001355C5" w:rsidRDefault="00E43EFE" w:rsidP="003764C3">
      <w:pPr>
        <w:pStyle w:val="NummerierungStufe2"/>
      </w:pPr>
      <w:r>
        <w:t xml:space="preserve">Senine punkt 7 muutub punktiks 8 ning sõna </w:t>
      </w:r>
      <w:r>
        <w:rPr>
          <w:rStyle w:val="RevisionText"/>
          <w:color w:val="auto"/>
        </w:rPr>
        <w:t>„blokeerimiseni“</w:t>
      </w:r>
      <w:r>
        <w:t xml:space="preserve"> ja koma järele lisatakse sõnad </w:t>
      </w:r>
      <w:r>
        <w:rPr>
          <w:rStyle w:val="RevisionText"/>
          <w:color w:val="auto"/>
        </w:rPr>
        <w:t>„vastavalt koguarvule ja“</w:t>
      </w:r>
      <w:r>
        <w:t xml:space="preserve"> ning sõnade </w:t>
      </w:r>
      <w:r>
        <w:rPr>
          <w:rStyle w:val="RevisionText"/>
          <w:color w:val="auto"/>
        </w:rPr>
        <w:t>„kasutajale edasisuunamine“</w:t>
      </w:r>
      <w:r>
        <w:t xml:space="preserve"> järele lisatakse sõnad </w:t>
      </w:r>
      <w:r>
        <w:rPr>
          <w:rStyle w:val="RevisionText"/>
          <w:color w:val="auto"/>
        </w:rPr>
        <w:t>„milline samm punkti 3 kohases katseseerias viis eemaldamise või blokeerimiseni“</w:t>
      </w:r>
      <w:r>
        <w:t>.</w:t>
      </w:r>
    </w:p>
    <w:p w14:paraId="0B6811A7" w14:textId="77777777" w:rsidR="008D6E45" w:rsidRPr="001355C5" w:rsidRDefault="00E43EFE" w:rsidP="003764C3">
      <w:pPr>
        <w:pStyle w:val="NummerierungStufe2"/>
      </w:pPr>
      <w:r>
        <w:t>Senine p</w:t>
      </w:r>
      <w:bookmarkStart w:id="7" w:name="eNV_3CAAC48361F44D8E911B82392C79CDB9_1"/>
      <w:bookmarkEnd w:id="7"/>
      <w:r>
        <w:t>unkt 8 muutub punktiks 9 ja sõnastatakse järgmiselt:</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lastRenderedPageBreak/>
        <w:t>„9.</w:t>
      </w:r>
      <w:r>
        <w:rPr>
          <w:color w:val="auto"/>
        </w:rPr>
        <w:tab/>
        <w:t>ebaseaduslikku sisu käsitlevate kaebuste arv, mille tulemusena eemaldati või blokeeriti ebaseaduslik sisu 24 tunni jooksul, 48 tunni jooksul või nädala jooksul alates kaebuste kättesaamisest või hilisemal ajal, jaotatuna kaebusi menetlevate asutuste ja kasutajate kaebuste kaupa, samuti kaebuse põhjuse alusel,“.</w:t>
      </w:r>
      <w:bookmarkEnd w:id="8"/>
    </w:p>
    <w:p w14:paraId="090FCED8" w14:textId="77777777" w:rsidR="003764C3" w:rsidRPr="001355C5" w:rsidRDefault="00E43EFE" w:rsidP="003764C3">
      <w:pPr>
        <w:pStyle w:val="NummerierungStufe2"/>
      </w:pPr>
      <w:r>
        <w:t>Senisest punktist 9 saab punkt 10 ja selle lõpus olev punkt asendatakse komaga.</w:t>
      </w:r>
    </w:p>
    <w:p w14:paraId="3E7ED79C" w14:textId="77777777" w:rsidR="003764C3" w:rsidRPr="001355C5" w:rsidRDefault="002C5C85" w:rsidP="002C5C85">
      <w:pPr>
        <w:pStyle w:val="NummerierungStufe2"/>
      </w:pPr>
      <w:r>
        <w:t>Lisatakse punktid 11–17: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aruandeperioodil vastavalt § 3b lõike 1 teisele lausele laekunud vaiete koguarv, jaotatuna vaiete arvu järgi kaebuse esitajate ja kasutajate kaupa, kelle vaidlusalust sisu on salvestatud, koos üksikasjadega nende juhtumite arvu kohta, mille korral vaie rahuldati,</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aruandeperioodil vastavalt § 3b lõike 3 esimesele lausele laekunud vaiete arv koos üksikasjadega nende juhtumite arvu kohta, mille puhul on loobutud § 3b lõike 3 kolmanda lause kohasest läbivaatamisest, ja juhtumite arvu kohta, mille korral vaie rahuldati,</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teave selle kohta, kas ja mil määral anti teadus- ja uurimisringkondadele aruandeperioodil juurdepääs teenuseosutaja teabele, et nad saaksid anonüümselt hinnata, kas</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eemaldatud või blokeeritud ebaseaduslik sisu on seotud 14. augusti 2006. aasta üldise võrdse kohtlemise seaduse (Saksamaa ametlik väljaanne, I osa, lk 1897) [viimati muudetud 3. aprilli 2013. aasta seaduse (Saksamaa ametlik väljaanne, I osa, lk 610) artikliga 8)] § 1 osutatud omadustega,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kas ebaseadusliku sisu levitamine mõjutab eriliselt teatud kasutajarühmi ja</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kas levitamise taga on organiseeritud struktuurid või kooskõlastatud tegevus,</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teenuseosutaja muud meetmed ebaseaduslikust sisust mõjutatud isikute kaitsmiseks ja toetamiseks,</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kokkuvõte koos tabeli kujul esitatud ülevaatega, milles on näidatud ebaseadusliku sisu kohta saadud kaebuste koguarv, nende kaebuste tõttu eemaldatud või blokeeritud sisu protsent, vastavalt § 3b lõike 1 teisele lausele ja lõike 3 esimesele lausele esitatud vaiete arv ning nende vaiete alusel muudetud otsuste protsent võrreldes kahe eelmise aruandeperioodi vastavate arvudega, samuti selgitus oluliste erinevuste ja nende võimalike põhjuste kohta,</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selgitus teenuseosutaja üldtingimuste sätete kohta, mis käsitlevad sisu levitamise lubatavust sotsiaalvõrgustikus, mida teenuseosutaja kasutab tarbijalepingute sõlmimiseks,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selgitus selle kohta, mil määral on punkti 16 kohased lepingutingimused kooskõlas tsiviilseadustiku §§ 307–309 ja muudes õigusaktides sätestatud nõuetega.“</w:t>
      </w:r>
    </w:p>
    <w:p w14:paraId="268633E7" w14:textId="77777777" w:rsidR="00BE13DB" w:rsidRPr="001355C5" w:rsidRDefault="00BE13DB" w:rsidP="00BE13DB">
      <w:pPr>
        <w:pStyle w:val="NummerierungStufe1"/>
      </w:pPr>
      <w:r>
        <w:t>§</w:t>
      </w:r>
      <w:bookmarkStart w:id="10" w:name="eNV_1071D66C7A3A4E78904AD55041E5495E_1"/>
      <w:bookmarkEnd w:id="10"/>
      <w:r>
        <w:t> 3 muudetakse järgmiselt:</w:t>
      </w:r>
    </w:p>
    <w:p w14:paraId="0581E3DD" w14:textId="77777777" w:rsidR="00BE13DB" w:rsidRPr="001355C5" w:rsidRDefault="00BE13DB" w:rsidP="00BE13DB">
      <w:pPr>
        <w:pStyle w:val="NummerierungStufe2"/>
      </w:pPr>
      <w:bookmarkStart w:id="11" w:name="eNV_014D67E831A54E84AE69F682494D2210_1"/>
      <w:bookmarkEnd w:id="11"/>
      <w:r>
        <w:lastRenderedPageBreak/>
        <w:t xml:space="preserve">§ 1 teises lauses lisatakse sõna </w:t>
      </w:r>
      <w:r>
        <w:rPr>
          <w:rStyle w:val="RevisionText"/>
          <w:color w:val="auto"/>
        </w:rPr>
        <w:t>„kasutajatele“</w:t>
      </w:r>
      <w:r>
        <w:t xml:space="preserve"> järele sõnad </w:t>
      </w:r>
      <w:r>
        <w:rPr>
          <w:rStyle w:val="RevisionText"/>
          <w:color w:val="auto"/>
        </w:rPr>
        <w:t>„sisu tarbimisel“</w:t>
      </w:r>
      <w:r>
        <w:t xml:space="preserve"> ning sõna </w:t>
      </w:r>
      <w:r>
        <w:rPr>
          <w:rStyle w:val="RevisionText"/>
          <w:color w:val="auto"/>
        </w:rPr>
        <w:t>„kättesaadav“</w:t>
      </w:r>
      <w:r>
        <w:t xml:space="preserve"> järele lisatakse sõnad </w:t>
      </w:r>
      <w:r>
        <w:rPr>
          <w:rStyle w:val="RevisionText"/>
          <w:color w:val="auto"/>
        </w:rPr>
        <w:t>„lihtsalt kasutatav“</w:t>
      </w:r>
      <w:r>
        <w:t>.</w:t>
      </w:r>
    </w:p>
    <w:p w14:paraId="630F3893" w14:textId="77777777" w:rsidR="00BE13DB" w:rsidRPr="001355C5" w:rsidRDefault="00BE13DB" w:rsidP="00BE13DB">
      <w:pPr>
        <w:pStyle w:val="NummerierungStufe2"/>
      </w:pPr>
      <w:r>
        <w:t>L</w:t>
      </w:r>
      <w:bookmarkStart w:id="12" w:name="eNV_29BA89EA1BB2430697A4687983AABC93_1"/>
      <w:bookmarkEnd w:id="12"/>
      <w:r>
        <w:t>õiget 2 muudetakse järgmiselt:</w:t>
      </w:r>
    </w:p>
    <w:p w14:paraId="59FA4E72" w14:textId="77777777" w:rsidR="001B5632" w:rsidRPr="001355C5" w:rsidRDefault="001B5632" w:rsidP="001B5632">
      <w:pPr>
        <w:pStyle w:val="NummerierungStufe3"/>
      </w:pPr>
      <w:r>
        <w:t>I</w:t>
      </w:r>
      <w:bookmarkStart w:id="13" w:name="eNV_EEB47693F91D4F2B9784901065243950_1"/>
      <w:bookmarkEnd w:id="13"/>
      <w:r>
        <w:t xml:space="preserve">punkti 3 alapunktis b asendatakse sõna </w:t>
      </w:r>
      <w:r>
        <w:rPr>
          <w:rStyle w:val="RevisionText"/>
          <w:color w:val="auto"/>
        </w:rPr>
        <w:t>„sotsiaalvõrgustik“</w:t>
      </w:r>
      <w:r>
        <w:t xml:space="preserve"> sõnadega </w:t>
      </w:r>
      <w:r>
        <w:rPr>
          <w:rStyle w:val="RevisionText"/>
          <w:color w:val="auto"/>
        </w:rPr>
        <w:t>„sotsiaalvõrgustiku pakkuja“</w:t>
      </w:r>
      <w:r>
        <w:t>.</w:t>
      </w:r>
    </w:p>
    <w:p w14:paraId="72A04C98" w14:textId="77777777" w:rsidR="00AE356F" w:rsidRPr="001355C5" w:rsidRDefault="00CE245D" w:rsidP="001B5632">
      <w:pPr>
        <w:pStyle w:val="NummerierungStufe3"/>
      </w:pPr>
      <w:r>
        <w:t>Punktid 4 ja 5 sõnastatakse järgmiselt:</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eemaldamise korral hoiab sisu tõendusmaterjalina alles ning säilitab seda kõnealusel eesmärgil kümne nädala jooksul kooskõlas Euroopa Parlamendi ja nõukogu 8. juuni 2000. aasta direktiiviga 2000/31/EÜ infoühiskonna teenuste teatavate õiguslike aspektide, eriti elektroonilise kaubanduse kohta siseturul [</w:t>
      </w:r>
      <w:bookmarkStart w:id="15" w:name="DQPErrorScope2646C3C49F191982EE73F3F98FA"/>
      <w:r>
        <w:rPr>
          <w:color w:val="auto"/>
        </w:rPr>
        <w:t>‘</w:t>
      </w:r>
      <w:bookmarkEnd w:id="15"/>
      <w:r>
        <w:rPr>
          <w:color w:val="auto"/>
        </w:rPr>
        <w:t>direktiiv elektroonilise kaubanduse kohta) (ELT L 178, 17.7.2000, lk 1)] ning Euroopa Parlamendi ja nõukogu 10. märtsi 2010. aasta direktiiviga 2010/13/EL audiovisuaalmeedia teenuste osutamist käsitlevate liikmesriikide teatavate õigus- ja haldusnormide koordineerimise kohta [audiovisuaalmeedia teenuste direktiiv (ELT L 95, 15.4.2010, lk 1; L 263, 6.10.2010, lk 15), mida on muudetud direktiiviga (EL) 2018/1808 (ELT L 303, 28.11.2018, lk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teavitab igast otsusest viivitamata kaebuse esitajat ja kasutajat, kelle vaidlusalust sisu on salvestatud, ja seda tehes</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põhjendab oma otsust,</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osutab § 3b lõike 1 teise lause kohasele vaide esitamise võimalusele, selleks § 3b lõike 1 kolmandas lauses sätestatud menetlusele, § 3b lõike 1 teises lauses sätestatud tähtajale ja sellele, et vaide sisu võidakse menetluse käigus edastada vastavalt § 3b lõike 2 punktile 1, ja</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teatab kaebuse esitajale, et ta võib esitada kuriteoteate ja vajaduse korral karistusenõude selle kasutaja vastu, kelle vaidlusalust sisu on salvestatud, ning osutab veebisaitidele, kust ta saab selle kohta lisateavet.“</w:t>
      </w:r>
    </w:p>
    <w:p w14:paraId="7A752ABA" w14:textId="77777777" w:rsidR="00D31A36" w:rsidRPr="001355C5" w:rsidRDefault="00E94ACD" w:rsidP="00D31A36">
      <w:pPr>
        <w:pStyle w:val="NummerierungStufe3"/>
      </w:pPr>
      <w:r>
        <w:t>Lisatakse järgmised laused:</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„Esimese lause punkti 3 alapunktis b osutatud juhtudel võib sotsiaalvõrgustiku pakkuja avaldada vaidlusaluse sisu, teabe sisu jagamise või kättesaadavaks tegemise aja ja selle levitamise ulatuse kohta, samuti sisuga otseselt seotud muu sisu tunnustatud enesekontrolliasutusele, kui see on vajalik otsuse tegemiseks. Enesekontrolliasutusel on õigus töödelda asjaomaseid isikuandmeid kontrollimiseks vajalikus ulatuses. Kui esimese lause lõike 3 punktis b osutatud juhtudel tehtav enesekontrolliasutuse otsus osutub valeks, ei kujuta see endast lõike 1 esimeses lauses sätestatud nõude rikkumist.“</w:t>
      </w:r>
    </w:p>
    <w:p w14:paraId="05710271" w14:textId="77777777" w:rsidR="008331B2" w:rsidRPr="001355C5" w:rsidRDefault="008331B2" w:rsidP="008331B2">
      <w:pPr>
        <w:pStyle w:val="NummerierungStufe2"/>
      </w:pPr>
      <w:r>
        <w:t>L</w:t>
      </w:r>
      <w:bookmarkStart w:id="17" w:name="eNV_1BD0FCD066BB4ADDA24D31C7AFEE9D76_1"/>
      <w:bookmarkEnd w:id="17"/>
      <w:r>
        <w:t>õiget 6 muudetakse järgmiselt:</w:t>
      </w:r>
    </w:p>
    <w:p w14:paraId="5B774DD7" w14:textId="77777777" w:rsidR="009E7D6E" w:rsidRPr="001355C5" w:rsidRDefault="002F6D0D" w:rsidP="008331B2">
      <w:pPr>
        <w:pStyle w:val="NummerierungStufe3"/>
      </w:pPr>
      <w:r>
        <w:t xml:space="preserve">Punktis 3 asendatakse sõnad </w:t>
      </w:r>
      <w:r>
        <w:rPr>
          <w:rStyle w:val="RevisionText"/>
          <w:color w:val="auto"/>
        </w:rPr>
        <w:t>„nähakse ette“</w:t>
      </w:r>
      <w:r>
        <w:t xml:space="preserve"> sõnadega </w:t>
      </w:r>
      <w:r>
        <w:rPr>
          <w:rStyle w:val="RevisionText"/>
          <w:color w:val="auto"/>
        </w:rPr>
        <w:t>„nähakse kaebuse esitaja taotlusel ja selle kasutaja taotlusel, kelle vaidlusalust sisu on salvestatud, taotlusel ette“</w:t>
      </w:r>
      <w:r>
        <w:t xml:space="preserve">. </w:t>
      </w:r>
    </w:p>
    <w:p w14:paraId="0AF21211" w14:textId="77777777" w:rsidR="008331B2" w:rsidRPr="001355C5" w:rsidRDefault="008331B2" w:rsidP="008331B2">
      <w:pPr>
        <w:pStyle w:val="NummerierungStufe3"/>
      </w:pPr>
      <w:bookmarkStart w:id="18" w:name="eNV_C577E052D4584A18A8AFB1A777664717_1"/>
      <w:bookmarkEnd w:id="18"/>
      <w:r>
        <w:t>P</w:t>
      </w:r>
      <w:bookmarkStart w:id="19" w:name="eNV_95D0B1FF82E643548E19CDBF244405BA_1"/>
      <w:bookmarkEnd w:id="19"/>
      <w:r>
        <w:t>unkt 4 tunnistatakse kehtetuks.</w:t>
      </w:r>
    </w:p>
    <w:p w14:paraId="03ABCB4E" w14:textId="77777777" w:rsidR="002F6D0D" w:rsidRPr="001355C5" w:rsidRDefault="002F6D0D" w:rsidP="008331B2">
      <w:pPr>
        <w:pStyle w:val="NummerierungStufe3"/>
      </w:pPr>
      <w:bookmarkStart w:id="20" w:name="DQPErrorScopeE4F4EA840838595339EED4986C9"/>
      <w:r>
        <w:t>Punktist 5 saab punkt 4.</w:t>
      </w:r>
      <w:bookmarkEnd w:id="20"/>
    </w:p>
    <w:p w14:paraId="70A31A7E" w14:textId="77777777" w:rsidR="002C5C85" w:rsidRPr="001355C5" w:rsidRDefault="002C5C85" w:rsidP="002C5C85">
      <w:pPr>
        <w:pStyle w:val="NummerierungStufe2"/>
      </w:pPr>
      <w:r>
        <w:lastRenderedPageBreak/>
        <w:t>Lõikele 7 lisatakse järgmised laused:</w:t>
      </w:r>
    </w:p>
    <w:p w14:paraId="3C3C4597" w14:textId="77777777" w:rsidR="002C5C85" w:rsidRPr="001355C5" w:rsidRDefault="002C5C85" w:rsidP="00E53355">
      <w:pPr>
        <w:pStyle w:val="RevisionJuristischerAbsatzFolgeabsatz"/>
        <w:ind w:left="850"/>
        <w:rPr>
          <w:color w:val="auto"/>
        </w:rPr>
      </w:pPr>
      <w:r>
        <w:rPr>
          <w:color w:val="auto"/>
        </w:rPr>
        <w:t>„Enne tunnustamisotsuse tegemist annab ta võimaluse oma seisukohtade esitamiseks Saksamaa Liitvabariigi alaealiste meediakaitse järelevalve keskasutusele. Otsuse võib teha lisatingimustega. Kehtivusaeg ei tohiks olla lühem kui viis aastat.“</w:t>
      </w:r>
    </w:p>
    <w:p w14:paraId="6F468865" w14:textId="77777777" w:rsidR="00654A16" w:rsidRPr="001355C5" w:rsidRDefault="00654A16" w:rsidP="00654A16">
      <w:pPr>
        <w:pStyle w:val="NummerierungStufe2"/>
      </w:pPr>
      <w:r>
        <w:t>Lõike 7 järele lisatakse lõiked 8 ja 9 j</w:t>
      </w:r>
      <w:bookmarkStart w:id="21" w:name="eNV_C9F4E65DC72A4A318587B7B03101C3D9_1"/>
      <w:bookmarkEnd w:id="21"/>
      <w:r>
        <w:t>ärgmises sõnastuses:</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Tunnustatud enesekontrolliasutus peab § 4 nimetatud haldusasutusele viivitamata teatama tunnustamisega seotud asjaolude ja tunnustamistaotluses esitatud muude andmete muutumisest.</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Tunnustatud enesekontrolliasutus peab iga aasta 31. juuliks avaldama oma veebisaidil eelmise kalendriaasta tegevusaruande ja edastama selle § 4 nimetatud haldusasutusele.“</w:t>
      </w:r>
    </w:p>
    <w:p w14:paraId="0A4EFCFA" w14:textId="77777777" w:rsidR="00E43EFE" w:rsidRPr="001355C5" w:rsidRDefault="00E43EFE" w:rsidP="00E43EFE">
      <w:pPr>
        <w:pStyle w:val="NummerierungStufe2"/>
      </w:pPr>
      <w:bookmarkStart w:id="22" w:name="DQPErrorScope5756FCF4B74B2F1C86E686CCCF8"/>
      <w:r>
        <w:t>Senised lõiked 8 ja 9 muutuvad uuteks lõigeteks 10 ja 11.</w:t>
      </w:r>
      <w:bookmarkEnd w:id="22"/>
    </w:p>
    <w:p w14:paraId="134BA870" w14:textId="77777777" w:rsidR="002C5C85" w:rsidRPr="001355C5" w:rsidRDefault="002C5C85" w:rsidP="007068D4">
      <w:pPr>
        <w:pStyle w:val="NummerierungStufe1"/>
      </w:pPr>
      <w:r>
        <w:t>§ 3a muudetakse järgmiselt.</w:t>
      </w:r>
    </w:p>
    <w:p w14:paraId="58898B35" w14:textId="77777777" w:rsidR="002C5C85" w:rsidRPr="001355C5" w:rsidRDefault="002C5C85" w:rsidP="008A1C13">
      <w:pPr>
        <w:pStyle w:val="NummerierungStufe2"/>
      </w:pPr>
      <w:r>
        <w:t>Lõige 4 sõnastatakse järgmiselt:</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Kriminaalpolitseiametile esitatav teave peab sisaldama järgmist:</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sisu ja võimaluse korral aeg, mil sisu jagati või üldsusele kättesaadavaks tehti, koos vastava ajavööndi märkimisega,</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järgmine teave kasutaja kohta, kes jagas sisu teiste kasutajatega või tegi selle üldsusele kättesaadavaks:</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kasutajanimi ja</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võimaluse korral sotsiaalvõrgustiku pakkujaga seoses kasutatud viimane IP-aadress, sealhulgas pordinumber ja viimase juurdepääsu aeg koos vastava ajavööndi märkimisega.“</w:t>
      </w:r>
    </w:p>
    <w:p w14:paraId="60139EDD" w14:textId="77777777" w:rsidR="002C5C85" w:rsidRPr="001355C5" w:rsidRDefault="006945A0" w:rsidP="008A1C13">
      <w:pPr>
        <w:pStyle w:val="NummerierungStufe2"/>
      </w:pPr>
      <w:r>
        <w:t>Lisatakse järgmine lõige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Õiguskaitseasutused võivad sotsiaalvõrgustike pakkujatega lõigete 1–7 kohaldamise üle peetava üldise arutelu eesmärgil töödelda selleks vajalikke isikuandmeid pseudonüümitud kujul.“</w:t>
      </w:r>
    </w:p>
    <w:p w14:paraId="1EC0B3D6" w14:textId="77777777" w:rsidR="007068D4" w:rsidRPr="001355C5" w:rsidRDefault="003A6658" w:rsidP="007068D4">
      <w:pPr>
        <w:pStyle w:val="NummerierungStufe1"/>
      </w:pPr>
      <w:r>
        <w:t>§ 4 ette lisatakse järgmised paragrahvid 3b–3f:</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Vaidemenetlus</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Sotsiaalvõrgustiku pakkuja kasutab lõike 2 kohast tõhusat ja läbipaistvat menetlust, mis võimaldab nii kaebuse esitajal kui ka kasutajal, kelle vaidlusalust sisu on salvestatud, taotleda ebaseadusliku sisu kohta esitatud kaebuse alusel sisu eemaldamise või sellele juurdepääsu blokeerimise kohta tehtud otsuse (algne otsus) kontrollimist, välja arvatud § 3 lõike 2 esimese lause punkti 3 alapunktis b osutatud juhtudel.</w:t>
      </w:r>
      <w:bookmarkStart w:id="24" w:name="DQPErrorScope07558994FA2BBF877D1F8241434"/>
      <w:bookmarkEnd w:id="23"/>
      <w:r>
        <w:rPr>
          <w:color w:val="auto"/>
        </w:rPr>
        <w:t xml:space="preserve">Kontrollimine on nõutav ainult juhul, kui kaebuse esitaja või kasutaja, kelle vaidlusalust sisu on salvestatud, esitab kahe nädala jooksul pärast algse otsuse kohta teabe saamist põhjendatud kontrollimistaotluse (vaide). Selleks peab </w:t>
      </w:r>
      <w:r>
        <w:rPr>
          <w:color w:val="auto"/>
        </w:rPr>
        <w:lastRenderedPageBreak/>
        <w:t xml:space="preserve">sotsiaalvõrgustiku pakkuja tagama kergesti äratuntava menetluse, mis võimaldab lihtsat elektroonilist kontakti ja otsesuhtlust temaga. </w:t>
      </w:r>
      <w:bookmarkEnd w:id="24"/>
      <w:r>
        <w:rPr>
          <w:color w:val="auto"/>
        </w:rPr>
        <w:t>Kontakti saamise võimalused tuleb esitada ka § 3 lõike 2 esimese lause punkti 5 alapunkti b kohaselt esitatavas teabes.</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Lõike 1 esimeses lauses osutatud menetlusega tagatakse, et sotsiaalvõrgustiku pakkuja,</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kui ta soovib vaiet rahuldada, teavitab ta kaebuse esitaja vaide korral kasutajat ja kasutaja vaide korral kaebuse esitajat viivitamatult vaide sisust ning annab esimesel juhul kasutajale ja teisel juhul kaebuse esitajale võimaluse esitada mõistliku aja jooksul oma seisukoht,</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juhib tähelepanu sellele, et kasutaja seisukoha sisu võidakse edastada kaebuse esitajale ja kaebuse esitaja seisukoha sisu võidakse edastada kasutajale,</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esitab oma algse otsuse viivitamata kontrollimiseks isikule, kes ei olnud algse otsusega seotud,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edastab otsuse kontrolli tulemuse kohta viivitamata kaebuse esitajale ja kasutajale ning põhjendab seda igal üksikjuhul eraldi, kuid vaide rahuldamata jätmise korral üksnes määral, mille ulatuses kaebuse esitaja ja kasutaja olid juba vaidemenetlusse kaasatud, ja</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tagab, et menetluse käigus ei avaldata kaebuse esitaja ja kasutaja isikut.</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Kui sisu eemaldamise või sellele juurdepääsu blokeerimise aluseks ei ole kaebus ebaseadusliku sisu kohta, kohaldatakse lõikeid 1 ja 2 mutatis mutandis. Kui otsus põhineb kolmanda isiku kaebusel sisu kohta, käsitatakse kaebuse esitajana isikut, kes edastas kaebuse sotsiaalvõrgustiku pakkujale. Erandina lõike 2 punktist 3 ei pea kontrolli tegema isik, kes ei olnud seotud algse otsusega. </w:t>
      </w:r>
      <w:bookmarkStart w:id="25" w:name="DQPErrorScopeE57447843F5BAB62D772EAE93DA"/>
      <w:r>
        <w:rPr>
          <w:color w:val="auto"/>
        </w:rPr>
        <w:t>Erandina lõike 1 teisest lausest ei ole esimese lause kohane kontroll nõutav, kui sisu on äratuntavalt soovimatu kommertsteadaanne või pakkuja üldtingimustega vastuolus olev kommertsteadaanne, mida kasutaja on korduvalt teiste kasutajatega jaganud või üldsusele kättesaadavaks teinud, ning vaide rahuldamine ei ole ilmselgelt tõenäoline.</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See ei mõjuta kohtusse pöördumise õigust.</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Vahekohtumenetlus</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 4 osutatud haldusasutus võib tunnustada eraõiguslikke organisatsioone vahekohtuorganitena § 3 lõike 2 esimese lause punktide 1–3 kohaselt tehtud otsuste üle peetavate vaidluste kohtuväliseks lahendamiseks kaebuse esitajate või salvestatud vaidlusalust sisu avaldanud kasutajate ja sotsiaalvõrgustiku pakkujate vahel.</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Eraõiguslikku organisatsiooni tunnustatakse lõike 1 kohaselt vahekohtuorganina, kui</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tema õigussubjekt on juriidiline isik,</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kes asub Euroopa Liidu liikmesriigis või muus Euroopa Majanduspiirkonna lepingu osalisriigis, mille suhtes kohaldatakse direktiivi 2010/13/EL,</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kes tegutseb pidevalt ja</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lastRenderedPageBreak/>
        <w:t>kelle rahastamine on tagatud,</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tagatakse vahekohtumenetlusse kaasatud isikute sõltumatus, erapooletus ja asjatundlikkus,</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tagatakse vahekohtumenetluse nõuetekohane korraldus ja õigeaegne läbiviimine,</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tal on vahekohtueeskirjad, mis reguleerivad vahekohtumenetluse üksikasju ja pädevust ning võimaldavad lihtsat, kulutõhusat, mittesiduvat ja õiglast vahekohtumenetlust, milles saavad osaleda sotsiaalvõrgustiku pakkuja, kaebuse esitaja ja kasutaja, kelle vaidlusalust sisu on salvestatud,</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on tagatud, et üldsust teavitatakse pidevalt vahekohtuorgani olemasolust ja pädevusest ning vahekohtumenetluse käigust, sealhulgas vahekohtumenetluse eeskirjadest.</w:t>
      </w:r>
    </w:p>
    <w:p w14:paraId="4D53200C" w14:textId="77777777" w:rsidR="006432C7" w:rsidRPr="001355C5" w:rsidRDefault="006432C7" w:rsidP="00E53355">
      <w:pPr>
        <w:pStyle w:val="RevisionJuristischerAbsatzFolgeabsatz"/>
        <w:ind w:left="425"/>
        <w:rPr>
          <w:color w:val="auto"/>
        </w:rPr>
      </w:pPr>
      <w:r>
        <w:rPr>
          <w:color w:val="auto"/>
        </w:rPr>
        <w:t>§ 3 lõike 7 teist ja kolmandat lauset ning lõikeid 8–10 kohaldatakse mutatis mutandis.</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Kaebuse esitajad ja kasutajad, kelle vaidlusalust sisu on salvestatud, võivad pöörduda pädevust omava vahekohtuorgani poole, kui eelnevalt on läbi viidud § 3b kohane vaidemenetlus või kui otsust on § 3 lõike 6 punkti 3 kohaselt kontrollitud ning sotsiaalvõrgustiku pakkuja osaleb selle vahekohtuorgani töös üldiselt või üksikjuhtudel. </w:t>
      </w:r>
      <w:bookmarkStart w:id="27" w:name="DQPErrorScopeFF0F7104CBD94FC2C8D85EC1C4F"/>
      <w:bookmarkEnd w:id="26"/>
      <w:r>
        <w:rPr>
          <w:color w:val="auto"/>
        </w:rPr>
        <w:t xml:space="preserve">Kui pakkuja osaleb vahekohtumenetluses, võib ta saata vahekohtuorganile vaidlustatud sisu, teabe </w:t>
      </w:r>
      <w:r>
        <w:rPr>
          <w:rStyle w:val="RevisionText"/>
          <w:color w:val="auto"/>
        </w:rPr>
        <w:t xml:space="preserve"> sisu jagamise või edastamise aja ja levitamise ulatuse kohta</w:t>
      </w:r>
      <w:r>
        <w:rPr>
          <w:color w:val="auto"/>
        </w:rPr>
        <w:t xml:space="preserve">, samuti sisuga otseselt seotud muud sisu, kui see on vahekohtumenetluse jaoks vajalik; kui vahekohtu poole pöördub kaebuse esitaja, võib edastada ka selle kasutaja kontaktandmed, kelle vaidlusalust sisu on salvestatud, ning kui vahekohtu poolt pöördub kasutaja, kelle vaidlusalust sisu on salvestatud, võib edastada kaebuse esitaja kontaktandmed. </w:t>
      </w:r>
      <w:bookmarkEnd w:id="27"/>
      <w:r>
        <w:rPr>
          <w:rStyle w:val="RevisionText"/>
          <w:color w:val="auto"/>
        </w:rPr>
        <w:t>Vahekohtuorganil on õigus töödelda asjakohaseid isikuandmeid, kui see on vahekohtumenetluse jaoks vajalik; kaebuse esitaja ja salvestatud vaidlusalust sisu avaldanud kasutaja isikuandmete avalikustamine on keelatud.</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Vahekohtumenetluses osalemine on vabatahtlik. See ei mõjuta kohtusse pöördumise õigust. Tarbijavaidluste </w:t>
      </w:r>
      <w:bookmarkStart w:id="28" w:name="DQPErrorScopeCA95913401EB617EF752D152E14"/>
      <w:r>
        <w:rPr>
          <w:color w:val="auto"/>
        </w:rPr>
        <w:t>lahendamise seadus</w:t>
      </w:r>
      <w:bookmarkEnd w:id="28"/>
      <w:r>
        <w:rPr>
          <w:color w:val="auto"/>
        </w:rPr>
        <w:t xml:space="preserve"> (Saksamaa ametlik väljaanne, I osa, lk 254, 1039), mida on muudetud 30. novembri 2019. aasta seaduse (Saksamaa ametlik väljaanne, I osa, lk 1942) artikliga 1, ei ole kohaldatav.</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Videojagamisplatvormi teenuste määratlused</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Käesolevas seaduses kasutatakse järgmisi mõisteid järgmises tähenduses:</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videojagamisplatvormi teenused on</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kaugmeedia, mille peamine eesmärk või oluline funktsioon on teha üldsusele kättesaadavaks saateid või kasutaja loodud videoid, mille sisu teenuseosutaja ei toimeta ja mille puhul teenuseosutaja määrab kindlaks saadete või kasutaja loodud videote esitusviisi, sealhulgas automaatsete vahendite abil,</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kaugmeedia eraldatavad osad, kui eraldataval osal on punktis a nimetatud peamine eesmärk,</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kasutaja loodud video on heliga või helita liikuvate kujutiste jada, mille on loonud kasutaja, mis moodustab ühtse terviku, olenemata selle pikkusest, ja mille see või mõni teine kasutaja laadib üles videojagamisplatvormi teenusesse,</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lastRenderedPageBreak/>
        <w:t>saade on heliga või helita liikuvate piltide jada, mis olenemata selle pikkusest on teenuseosutaja loodud ringhäälingukava või kataloogi lahutamatu osa,</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liikmesriik on Euroopa Liidu liikmesriik ja mis tahes muu Euroopa Majanduspiirkonna lepingu osalisriik, mille suhtes kohaldatakse direktiivi 2010/13/EL,</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emaettevõtja on äriühing, mis kontrollib üht või mitut tütarettevõtjat,</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tütarettevõtja on emaettevõtja otsese või kaudse kontrolli all olev äriühing,</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kontsern on emaettevõtja, kõik tema tütarettevõtjad ja kõik teised emaettevõtja ja tema tütarettevõtjatega majanduslikult ja õiguslikult seotud äriühingud.</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Videojagamisplatvormi teenuse osutaja asukoht käesoleva seaduse tähenduses on liikmesriik, mille territooriumil teenuseosutaja on asutatud. Kui videojagamisplatvormi teenuste osutaja ei ole asutatud liikmesriigi territooriumil, on liikmesriik asukohariik, mille territooriumil on asutatud</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teenuseosutaja emaettevõtja või tütarettevõtja või</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muu ettevõte kontsernis, millesse teenuseosutaja kuulub.</w:t>
      </w:r>
    </w:p>
    <w:p w14:paraId="3AC701E4" w14:textId="77777777" w:rsidR="00494DCB" w:rsidRPr="001355C5" w:rsidRDefault="00A76F3C" w:rsidP="00E53355">
      <w:pPr>
        <w:pStyle w:val="RevisionJuristischerAbsatzFolgeabsatz"/>
        <w:ind w:left="425"/>
        <w:rPr>
          <w:color w:val="auto"/>
        </w:rPr>
      </w:pPr>
      <w:r>
        <w:rPr>
          <w:color w:val="auto"/>
        </w:rPr>
        <w:t xml:space="preserve"> </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Kui lõike 2 teises lauses osutatud juhtudel on emaettevõtja, tütarettevõtja või teised kontserni äriühingud asutatud eri liikmesriikides, siis loetakse teenuseosutaja asutatuks liikmesriigis, kus asub tema emaettevõtja, või sellise tegevuskoha puudumisel loetakse ta asutatuks liikmesriigis, kus on asutatud tema tütarettevõtja, või sellise tegevuskoha puudumisel liikmesriigis, kus on asutatud kontserni kuuluv muu äriühing. </w:t>
      </w:r>
      <w:bookmarkEnd w:id="29"/>
      <w:r>
        <w:rPr>
          <w:color w:val="auto"/>
        </w:rPr>
        <w:t>Kui tütarettevõtjaid on mitu ja iga tütarettevõtja on asutatud erinevas liikmesriigis, loetakse teenuseosutaja asutatuks liikmesriigis, kus üks tütarettevõtja alustas tegevust esimesena, tingimusel et tütarettevõtja on püsivalt ja faktiliselt seotud selle liikmesriigi majandusega. Kui kontserni kuulub veel mitu äriühingut, millest igaüks on asutatud erinevas liikmesriigis, loetakse teenuseosutaja asutatuks liikmesriigis, kus üks neist äriühingutest esimeena tegevust alustas, tingimusel et on olemas püsiv ja faktiline seos selle liikmesriigi majandusega.</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Kui § 4 nimetatud haldusasutuse ja teise liikmesriigi ametiasutuse vahel tekib vaidlus selle üle, millist liikmesriiki peetakse videojagamisplatvormi teenuste osutaja alaliseks asukohaks, teavitab § 4 nimetatud haldusasutus sellest viivitamata Euroopa Komisjoni.</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Videojagamisplatvormi teenuste suhtes kohaldatavad nõuded</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Käesolevat seadust kohaldatakse videojagamisplatvormi teenuse osutajatele, kui lõigetes 2 ja 3 ei ole sätestatud teisiti.</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 xml:space="preserve">Videojagamisplatvormi teenuste osutajate suhtes, kellel on Saksamaal vähem kui kaks miljonit registreeritud kasutajat, kohaldatakse käesolevat seadust üksnes juhul, kui Saksamaa Liitvabariik on nende asukohariik või seda loetakse asukohariigiks vastavalt § 3d lõigetele 2 ja 3. Käesolevat seadust kohaldatakse nende suhtes üksnes seoses kasutaja loodud videote ja saadetega, millele on osutatud § 3d lõike 1 punktides 2 ja 3 ning mille sisu vastab karistusseadustiku § 111, § 130 lõikes 1 või 2, </w:t>
      </w:r>
      <w:r>
        <w:rPr>
          <w:color w:val="auto"/>
        </w:rPr>
        <w:lastRenderedPageBreak/>
        <w:t>§§ 131, 140, 166 või 184b määratletud kuriteo tunnustele ja mille avaldamine ei ole põhjendatud. Erandina § 1 lõikest 2 on need videojagamisplatvormi teenuse osutajad vabastatud § 2, § 3 lõike 2 esimese lause punktides 3 ja 4 ning lõikes 4, samuti § 3a sätestatud kohustustest.</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Selliste videojagamisplatvormi teenuse osutajate puhul, kelle asukohariik või asukohariigiks loetav riik on § 3d lõigete 2 ja 3 kohaselt mõni muu liikmesriik peale Saksamaa Liitvabariigi, kohaldatakse §§ 2, 3 ja 3b sätestatud kohustusi seoses lõike 2 teises lauses osutatud kasutaja loodud videote ja saadetega üksnes lõikes 4 nimetatud asutuse korralduse alusel ja ulatuses. </w:t>
      </w:r>
      <w:bookmarkStart w:id="31" w:name="DQPErrorScopeBDF1949485EA6F0E446600D58EB"/>
      <w:bookmarkEnd w:id="30"/>
      <w:r>
        <w:rPr>
          <w:color w:val="auto"/>
        </w:rPr>
        <w:t xml:space="preserve">Korralduse võib teha ainult siis, kui 26. veebruari 2007. aasta kaugmeediaseaduse (Saksamaa ametlik väljaanne, I osa, lk 179), mida on viimati muudetud 30. märtsi 2021. aasta seaduse (Saksamaa ametlik väljaanne, I osa, lk 448) artikliga 12, kehtiva redaktsiooni § 3 lõikes 5 sätestatud tingimused on täidetud, ja nõutavaid menetlustoiminguid järgides. </w:t>
      </w:r>
      <w:bookmarkEnd w:id="31"/>
      <w:r>
        <w:rPr>
          <w:color w:val="auto"/>
        </w:rPr>
        <w:t>§ 4 nimetatud haldusasutus võib volitada organit kontrollima, kas kaugmeediaseaduse § 3 lõike 5 esimese lause tingimused on täidetud.</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Kui käesolevat seadust kohaldatakse videojagamisplatvormi teenuse osutaja suhtes vastavalt lõigetele 1–3 seoses lõike 2 teises lauses osutatud kasutaja loodud videote ja saadetega, on ta kohustatud sõlmima oma kasutajatega toimiva kokkuleppe, et lõike 2 teises lauses osutatud kasutaja loodud videote ja saadete levitamine on keelatud.</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Ametlik vahekohtumenetlus videojagamisplatvormi teenustega seotud vaidluste lahendamiseks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 4 nimetatud haldusasutuse juurde moodustatakse ametlik vahekohus. </w:t>
      </w:r>
      <w:bookmarkStart w:id="33" w:name="DQPErrorScopeE92CF804F62B9CE832E9F29632C"/>
      <w:r>
        <w:rPr>
          <w:color w:val="auto"/>
        </w:rPr>
        <w:t xml:space="preserve">Ametliku vahekohtu ülesanne on lahendada kohtuväliselt vaidlusi videojagamisplatvormi teenuste osutajatega seoses § 3 lõike 2 esimese lause punktide 1–3 kohaste otsustega, mis käsitlevad selliseid kasutaja loodud videoid ja saateid olemasolu, mille sisu vastab § 3e lõike 2 teises lauses osutatud kuriteo tunnustele. </w:t>
      </w:r>
      <w:bookmarkStart w:id="34" w:name="DQPErrorScope36716444AD4BE67878A909DAB58"/>
      <w:bookmarkEnd w:id="33"/>
      <w:r>
        <w:rPr>
          <w:color w:val="auto"/>
        </w:rPr>
        <w:t>Ametlik vahekohus tegeleb vaidluste lahendamisega üksnes selliste videojagamisplatvormi teenuste osutajate puhul, kelle asukohariik või asukohariigiks loetav riik on § 3d lõike 2 kohaselt Saksamaa Liitvabariik, ja ainult juhul, kui teenuseosutaja ei osale § 3c lõike 1 kohaselt tunnustatud vahekohtuorgani vahekohtumenetluses või kui ühtki eraõiguslikku organisatsiooni ei ole § 3c lõike 1 kohaselt vahekohtuorganina tunnustatud.</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 3c lõike 2 esimese lause punktides 2–5, § 3 lõikes 9 ning § 3c lõigetes 3 ja 4 sätestatud nõudeid kohaldatakse vastavalt ametliku vahekohtu suhtes.</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Ametlik vahekohus võib võtta vahekohtumenetluse läbiviimise eest tasu, mis peab olema täpsustatud tema vahekohtueeskirjades.“</w:t>
      </w:r>
    </w:p>
    <w:p w14:paraId="1C58FB43" w14:textId="77777777" w:rsidR="007068D4" w:rsidRPr="001355C5" w:rsidRDefault="009545A0" w:rsidP="007068D4">
      <w:pPr>
        <w:pStyle w:val="NummerierungStufe1"/>
      </w:pPr>
      <w:r>
        <w:t>§</w:t>
      </w:r>
      <w:bookmarkStart w:id="35" w:name="eNV_C9F55B4BE97741478F2249B607AE3168_1"/>
      <w:bookmarkEnd w:id="35"/>
      <w:r>
        <w:t> 4 muudetakse järgmiselt.</w:t>
      </w:r>
    </w:p>
    <w:p w14:paraId="1CAC0552" w14:textId="77777777" w:rsidR="005468C2" w:rsidRPr="001355C5" w:rsidRDefault="005468C2" w:rsidP="009545A0">
      <w:pPr>
        <w:pStyle w:val="NummerierungStufe2"/>
      </w:pPr>
      <w:r>
        <w:t>Lõiget 1 muudetakse järgmiselt:</w:t>
      </w:r>
    </w:p>
    <w:p w14:paraId="0E54D550" w14:textId="77777777" w:rsidR="00CA1C39" w:rsidRPr="001355C5" w:rsidRDefault="00CA1C39" w:rsidP="00CA1C39">
      <w:pPr>
        <w:pStyle w:val="NummerierungStufe3"/>
      </w:pPr>
      <w:r>
        <w:t xml:space="preserve">Punktis 2 lisatakse sõnade </w:t>
      </w:r>
      <w:r>
        <w:rPr>
          <w:rStyle w:val="RevisionText"/>
          <w:color w:val="auto"/>
        </w:rPr>
        <w:t>„esimese lause“</w:t>
      </w:r>
      <w:r>
        <w:t xml:space="preserve"> järele sõnad </w:t>
      </w:r>
      <w:r>
        <w:rPr>
          <w:rStyle w:val="RevisionText"/>
          <w:color w:val="auto"/>
        </w:rPr>
        <w:t>„või § 3b lõike 1 esimese lause“</w:t>
      </w:r>
      <w:r>
        <w:t xml:space="preserve"> ja sõna </w:t>
      </w:r>
      <w:r>
        <w:rPr>
          <w:rStyle w:val="RevisionText"/>
          <w:color w:val="auto"/>
        </w:rPr>
        <w:t>„asuvad“</w:t>
      </w:r>
      <w:r>
        <w:t xml:space="preserve"> järele lisatakse sõnad </w:t>
      </w:r>
      <w:r>
        <w:rPr>
          <w:rStyle w:val="RevisionText"/>
          <w:color w:val="auto"/>
        </w:rPr>
        <w:t>„või otsuse kontrollimiseks“</w:t>
      </w:r>
      <w:r>
        <w:t>.</w:t>
      </w:r>
    </w:p>
    <w:p w14:paraId="67880C37" w14:textId="77777777" w:rsidR="00E94ACD" w:rsidRPr="001355C5" w:rsidRDefault="00E94ACD" w:rsidP="00092488">
      <w:pPr>
        <w:pStyle w:val="NummerierungStufe3"/>
      </w:pPr>
      <w:r>
        <w:t xml:space="preserve">Punktis 3, lisatakse sõnade </w:t>
      </w:r>
      <w:r>
        <w:rPr>
          <w:rStyle w:val="RevisionText"/>
          <w:color w:val="auto"/>
        </w:rPr>
        <w:t>„teise lause“</w:t>
      </w:r>
      <w:r>
        <w:t xml:space="preserve"> järele sõnad </w:t>
      </w:r>
      <w:r>
        <w:rPr>
          <w:rStyle w:val="RevisionText"/>
          <w:color w:val="auto"/>
        </w:rPr>
        <w:t>„või § 3b lõike 1 kolmanda lause“</w:t>
      </w:r>
      <w:r>
        <w:t>.</w:t>
      </w:r>
    </w:p>
    <w:p w14:paraId="694995FC" w14:textId="77777777" w:rsidR="005468C2" w:rsidRPr="001355C5" w:rsidRDefault="005468C2" w:rsidP="00092488">
      <w:pPr>
        <w:pStyle w:val="NummerierungStufe3"/>
      </w:pPr>
      <w:bookmarkStart w:id="36" w:name="DQPErrorScopeE72DC994AA48B802F2C16A30F0D"/>
      <w:r>
        <w:lastRenderedPageBreak/>
        <w:t>Punkt 6a muudetakse punktiks 7.</w:t>
      </w:r>
      <w:bookmarkEnd w:id="36"/>
    </w:p>
    <w:p w14:paraId="470BD5FD" w14:textId="77777777" w:rsidR="005468C2" w:rsidRPr="001355C5" w:rsidRDefault="005468C2" w:rsidP="00092488">
      <w:pPr>
        <w:pStyle w:val="NummerierungStufe3"/>
      </w:pPr>
      <w:bookmarkStart w:id="37" w:name="DQPErrorScopeCB774C2457AB3DE6B781A62FB20"/>
      <w:r>
        <w:t>Senised punktid 7 ja 8 muutuvad punktideks 8 ja 9.</w:t>
      </w:r>
      <w:bookmarkEnd w:id="37"/>
    </w:p>
    <w:p w14:paraId="2C1D24E7" w14:textId="77777777" w:rsidR="000E1AD4" w:rsidRPr="001355C5" w:rsidRDefault="000E1AD4" w:rsidP="009545A0">
      <w:pPr>
        <w:pStyle w:val="NummerierungStufe2"/>
      </w:pPr>
      <w:r>
        <w:t xml:space="preserve">Lõike 2 esimeses lauses asendatakse sõnad </w:t>
      </w:r>
      <w:r>
        <w:rPr>
          <w:rStyle w:val="RevisionText"/>
          <w:color w:val="auto"/>
        </w:rPr>
        <w:t>„punktid 7 ja 8“</w:t>
      </w:r>
      <w:r>
        <w:t xml:space="preserve"> sõnadega </w:t>
      </w:r>
      <w:r>
        <w:rPr>
          <w:rStyle w:val="RevisionText"/>
          <w:color w:val="auto"/>
        </w:rPr>
        <w:t>„punktid 8 ja 9“</w:t>
      </w:r>
      <w:r>
        <w:t>.</w:t>
      </w:r>
    </w:p>
    <w:p w14:paraId="751D6B29" w14:textId="77777777" w:rsidR="00AD2CA4" w:rsidRPr="001355C5" w:rsidRDefault="00AD2CA4" w:rsidP="00AD2CA4">
      <w:pPr>
        <w:pStyle w:val="NummerierungStufe1"/>
      </w:pPr>
      <w:r>
        <w:t>§</w:t>
      </w:r>
      <w:bookmarkStart w:id="38" w:name="eNV_E6DE02647D4D48EA8EC2D351BB8C0943_1"/>
      <w:bookmarkEnd w:id="38"/>
      <w:r>
        <w:t> 4 järele lisatakse järgmine § 4a:</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Järelevalve</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Käesoleva seaduse nõuete täitmist jälgib § 4 nimetatud haldusasutus.</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Kui § 4 nimetatud haldusasutus tuvastab, et sotsiaalvõrgustiku pakkuja on rikkunud või rikub käesoleva seaduse nõudeid, võtab ta pakkuja suhtes vajalikud meetmed. Eelkõige võib ta nõuda teenuseosutajalt rikkumise lõpetamist. § 4 lõiget 5 kohaldatakse mutatis mutandis tingimusel, et kohus, kes teeks otsuse haldustrahvi vaide kohta, on pädev.</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Lõike 2 kohases haldusmenetluses esitab sotsiaalvõrgustiku pakkuja § 4 nimetatud haldusasutusele tema nõudmisel teabe käesoleva seaduse rakendamiseks võetud meetmete, Saksamaal registreeritud kasutajate arvu ja eelmisel kalendriaastal ebaseadusliku sisu kohta saadud kaebuste kohta; pakkuja esindajad ning juriidiliste isikute, äriühingute ja juriidilise isiku õigusteta ühenduste puhul seaduse või põhikirjaga määratud isikud on kohustatud avaldama nõutud teabe äriühingu nimel. </w:t>
      </w:r>
      <w:bookmarkEnd w:id="39"/>
      <w:r>
        <w:rPr>
          <w:color w:val="auto"/>
        </w:rPr>
        <w:t>Teabenõue peab olema proportsionaalne. Kui vastavalt esimesele lausele on koostööd tegema kohustatud füüsilised isikud, peavad nad avalikustama ka asjaolud, mis võivad kaasa tuua süüdistuse esitamise kuriteo või väärteo eest, kui muul viisil teabe saamine on raske või ebatõenäoline. Füüsilise isiku poolt vastavalt esimesele lausele esitatud teavet võib kriminaalmenetluses või haldusrikkumiste seadustiku kohases menetluses nimetatud isiku või tema tsiviilkohtumenetluse seadustiku § 383 lõike 1 punktides 1–3 osutatud sugulase vastu kasutada siiski vaid nimetatud isiku nõusolekul. Esimese lause kohaselt esitatud teavet võib haldusrikkumiste seadustiku § 30 kohases rahatrahvi määramise menetluses pakkuja vastu kasutada üksnes pakkuja või selle isiku nõusolekul, kes andis teavet esimesest lausest tuleneva kohustuse tõttu.</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Tunnistajad on kohustatud andma ütlusi lõike 2 kohases haldusmenetluses. Tunnistaja võib keelduda teabe avaldamisest küsimuste puhul, millele vastamise korral võib tekkida oht, et tunnistaja enda või tema tsiviilkohtumenetluse seadustiku § 383 lõike 1 punktides 1–3 osutatud sugulase suhtes algatatakse kriminaalmenetlus või haldusmenetluse seadustiku kohane menetlus. Muus osas kohaldatakse vastavalt tsiviilkohtumenetluse seadustiku sätteid, mis käsitlevad tunnistajana ütluste andmise kohustust. § 4 nimetatud haldusasutus peab enne istungit teavitama tunnistajat tema õigusest keelduda ütluste andmisest.“</w:t>
      </w:r>
    </w:p>
    <w:p w14:paraId="4340EFAD" w14:textId="77777777" w:rsidR="00AD2CA4" w:rsidRPr="001355C5" w:rsidRDefault="00AD2CA4" w:rsidP="006945A0">
      <w:pPr>
        <w:pStyle w:val="NummerierungStufe1"/>
      </w:pPr>
      <w:r>
        <w:t>§ </w:t>
      </w:r>
      <w:bookmarkStart w:id="40" w:name="eNV_04FF9BB8F8AA4AA7A9BF1B042E4A5062_1"/>
      <w:bookmarkEnd w:id="40"/>
      <w:r>
        <w:t>5 muudetakse järgmiselt.</w:t>
      </w:r>
    </w:p>
    <w:p w14:paraId="2D379F88" w14:textId="77777777" w:rsidR="00AD2CA4" w:rsidRPr="001355C5" w:rsidRDefault="00AD2CA4" w:rsidP="00AD2CA4">
      <w:pPr>
        <w:pStyle w:val="NummerierungStufe2"/>
      </w:pPr>
      <w:r>
        <w:t>E</w:t>
      </w:r>
      <w:bookmarkStart w:id="41" w:name="eNV_FE6D31F203874E4C8EEC616DEBA99F3C_1"/>
      <w:bookmarkEnd w:id="41"/>
      <w:r>
        <w:t>simese lõigu teine ja kolmas lause sõnastatakse järgmiselt:</w:t>
      </w:r>
    </w:p>
    <w:p w14:paraId="49EFFC86" w14:textId="77777777" w:rsidR="00AA3DB5" w:rsidRPr="001355C5" w:rsidRDefault="00AA3DB5" w:rsidP="00E53355">
      <w:pPr>
        <w:pStyle w:val="RevisionJuristischerAbsatzFolgeabsatz"/>
        <w:ind w:left="850"/>
        <w:rPr>
          <w:bCs/>
          <w:color w:val="auto"/>
        </w:rPr>
      </w:pPr>
      <w:r>
        <w:rPr>
          <w:color w:val="auto"/>
        </w:rPr>
        <w:t xml:space="preserve">„Neile võidakse edastada teateid trahvimenetluses ja järelevalvemenetluses vastavalt §§ 4 ja 4a või kohtumenetluses Saksa kohtutes ebaseadusliku sisu levitamise või põhjendamatu aktsepteerimise alusel, eelkõige juhul, kui taotletakse eemaldatud või blokeeritud sisu taastamist. See kehtib ka sellise menetluse </w:t>
      </w:r>
      <w:r>
        <w:rPr>
          <w:color w:val="auto"/>
        </w:rPr>
        <w:lastRenderedPageBreak/>
        <w:t>algatamist käsitlevate dokumentide edastamise, lõplike kohtuotsuste edastamise ning täite- või täitemenetluse raames kättetoimetamise kohta.“</w:t>
      </w:r>
    </w:p>
    <w:p w14:paraId="16B76B89" w14:textId="77777777" w:rsidR="00AA3DB5" w:rsidRPr="001355C5" w:rsidRDefault="00AA3DB5" w:rsidP="00AA3DB5">
      <w:pPr>
        <w:pStyle w:val="NummerierungStufe2"/>
      </w:pPr>
      <w:r>
        <w:t>L</w:t>
      </w:r>
      <w:bookmarkStart w:id="42" w:name="eNV_9291AE4B799844E98739D68DE9F55F7C_1"/>
      <w:bookmarkEnd w:id="42"/>
      <w:r>
        <w:t>õiget 2 muudetakse järgmiselt:</w:t>
      </w:r>
    </w:p>
    <w:p w14:paraId="15A52BDB" w14:textId="77777777" w:rsidR="00AA3DB5" w:rsidRPr="001355C5" w:rsidRDefault="00AA3DB5" w:rsidP="00AA3DB5">
      <w:pPr>
        <w:pStyle w:val="NummerierungStufe3"/>
      </w:pPr>
      <w:r>
        <w:t>E</w:t>
      </w:r>
      <w:bookmarkStart w:id="43" w:name="eNV_C9EC0596544E46D7A0B4712CAE7C00B0_1"/>
      <w:bookmarkEnd w:id="43"/>
      <w:r>
        <w:t xml:space="preserve">simeses lauses lisatakse sõnade </w:t>
      </w:r>
      <w:r>
        <w:rPr>
          <w:rStyle w:val="RevisionText"/>
          <w:color w:val="auto"/>
        </w:rPr>
        <w:t>„riigisisene isik“</w:t>
      </w:r>
      <w:r>
        <w:t xml:space="preserve"> järele sõnad </w:t>
      </w:r>
      <w:r>
        <w:rPr>
          <w:rStyle w:val="RevisionText"/>
          <w:color w:val="auto"/>
        </w:rPr>
        <w:t>„suhetes § 4 nimetatud haldusasutusega“</w:t>
      </w:r>
      <w:r>
        <w:t>.</w:t>
      </w:r>
    </w:p>
    <w:p w14:paraId="7C90362A" w14:textId="77777777" w:rsidR="00AA3DB5" w:rsidRPr="001355C5" w:rsidRDefault="00CE291E" w:rsidP="00AA3DB5">
      <w:pPr>
        <w:pStyle w:val="NummerierungStufe3"/>
      </w:pPr>
      <w:r>
        <w:t xml:space="preserve">Lisatakse </w:t>
      </w:r>
      <w:bookmarkStart w:id="44" w:name="eNV_CD5A7E96D5134342A11A35189CB5E6D5_1"/>
      <w:bookmarkEnd w:id="44"/>
      <w:r>
        <w:t>järgmised laused:</w:t>
      </w:r>
    </w:p>
    <w:p w14:paraId="437ADFA5" w14:textId="77777777" w:rsidR="00F86A78" w:rsidRPr="001355C5" w:rsidRDefault="00AA3DB5" w:rsidP="00E53355">
      <w:pPr>
        <w:pStyle w:val="RevisionJuristischerAbsatzFolgeabsatz"/>
        <w:ind w:left="1276"/>
        <w:rPr>
          <w:bCs/>
          <w:color w:val="auto"/>
        </w:rPr>
      </w:pPr>
      <w:r>
        <w:rPr>
          <w:color w:val="auto"/>
        </w:rPr>
        <w:t>„§ 4 nimetatud haldusasutus peab volitatud teabesaajate nimekirja. Taotluse korral annab ta selle kohta teavet siseriiklikele õiguskaitseasutustele.“</w:t>
      </w:r>
    </w:p>
    <w:p w14:paraId="5BE2967B" w14:textId="77777777" w:rsidR="000235A5" w:rsidRPr="001355C5" w:rsidRDefault="000235A5" w:rsidP="008A1C13">
      <w:pPr>
        <w:pStyle w:val="NummerierungStufe1"/>
      </w:pPr>
      <w:r>
        <w:t>§ 5 järele lisatakse järgmine § 5a:</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Teaduslike uuringute jaoks kasutatav teave</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Teadlane käesoleva määruse tähenduses on iga füüsiline või juriidiline isik, kes viib läbi teaduslikke uuringuid.</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Teadlane võib sotsiaalvõrgustiku teenuste pakkujalt nõuda kvalifitseeritud teavet järgmise kohta:</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eemaldatava või blokeeritava sisu automatiseeritud tuvastamise protseduuride kasutamine ja konkreetne toimimisviis, eelkõige kasutatavate tehnoloogiate tüüp ja ulatus ning nende programmeerimise eesmärgid, kriteeriumid ja parameetrid, samuti kasutatud andmed,</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sellise sisu levitamine, mille kohta on esitatud kaebusi ebaseadusliku sisu osas või mille teenusepakkuja on eemaldanud või blokeerinud, eelkõige vastav sisu ja teave selle kohta, millised kasutajad ja mil viisil on sisuga kokku puutunud.</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Lõike 2 kohast teavet saab nõuda ainult siis, kui see on vajalik avalikes huvides toimuvate teaduslike uuringute projektide jaoks, mis käsitlevad sotsiaalvõrgustike avaliku kommunikatsiooni tüüpi, ulatust, põhjuseid ja tagajärgesid ning seda, kuidas pakkujad nendega tegelevad.</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Teavet tohib esitada ainult siis, kui teadlane esitab sotsiaalvõrgustiku teenuste pakkujale kaitsekontseptsiooni. Kaitse mõiste hõlmab</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lõikes 3 osutatud uurimistööks vajaliku teabe kirjeldust,</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teabe kavandatud kasutamise kirjeldust,</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teabe mis tahes muuks otstarbeks kasutamise vältimiseks võetud meetmete kirjeldust,</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teenusepakkuja õigustatud huvide kaitsmiseks võetud ettevaatusabinõude kirjeldust ja</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isikuandmete kaitse tagamiseks võetud tehniliste ja organisatsiooniliste meetmete kirjeldust.</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Sotsiaalvõrgustiku teenuse pakkuja võib teabe andmisest keelduda, kui</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lastRenderedPageBreak/>
        <w:t xml:space="preserve">kui tema kaitset vajavad huvid kaaluvad märkimisväärselt üles avalikkuse huvi teadusuuringute vastu või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andmesubjektide kaitset vajavaid huve kahjustatakse ja avalik huvi uuringute vastu ei kaalu üles andmesubjektide huvi konfidentsiaalsuse säilitamise vastu.</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Sotsiaalvõrgustiku teenuse pakkuja võib lõike 2 kohaselt teabe edastamiseks edastada järgmisi isikuandmeid:</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levitatav sisu,</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kaebused ebaseadusliku sisu kohta,</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sisu levitamisega seotud isikute kasutajanimed,</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üksikasjalikumalt konkreetse sisu levitamisega seotud isikute suhtlemise asjaolud ning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andmed, mida kasutatakse eemaldatava või blokeeritava sisu automatiseeritud tuvastamise protseduuride koolitamiseks, samuti teave nende protseduuride programmeerimise toimimisviisi, eesmärkide, kriteeriumide ja parameetrite kohta.</w:t>
      </w:r>
    </w:p>
    <w:p w14:paraId="101C9DCB" w14:textId="77777777" w:rsidR="000235A5" w:rsidRPr="001355C5" w:rsidRDefault="000235A5" w:rsidP="000235A5">
      <w:pPr>
        <w:pStyle w:val="RevisionJuristischerAbsatzFolgeabsatz"/>
        <w:ind w:left="425"/>
        <w:rPr>
          <w:color w:val="auto"/>
        </w:rPr>
      </w:pPr>
      <w:r>
        <w:rPr>
          <w:color w:val="auto"/>
        </w:rPr>
        <w:t>Andmed tuleb edastada anonüümselt või vähemalt pseudonüümselt, kui seda on võimalik teha uuringu eesmärki ohtu seadmata.</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Teadlane võib andmeid töödelda üksnes lõike 3 osutatud teaduslike uuringute eesmärgil. Kui isikuandmete eriliike töödeldakse Euroopa Parlamendi ja nõukogu 27. aprilli 2016. aasta määruse (EL) 2016/679 (füüsiliste isikute kaitse kohta isikuandmete töötlemisel ja selliste andmete vaba liikumise ning direktiivi 95/46/EÜ kehtetuks tunnistamise kohta (isikuandmete kaitse üldmäärus)) artikli 9 lõike 1 tähenduses (ELT L 119, 04.05.2016, lk 1; L 314, 22.11.2016, lk 72; L 127, 23.05.2018, lk 2) praegu kohaldatavas redaktsioonis, peab teadlane vastavalt Saksamaa andmekaitseseaduse § 22 lõike 2 teisele lausele võtma asjakohased ja konkreetsed meetmed andmesubjekti huvide kaitsmiseks. Lisaks seal nimetatud meetmetele tuleb määruse (EL) 2016/679 artikli 9 lõike 1 tähenduses andmed anonüümseks muuta kohe, kui see on sõltuvalt uuringu eesmärgist võimalik. </w:t>
      </w:r>
      <w:bookmarkEnd w:id="46"/>
      <w:r>
        <w:rPr>
          <w:color w:val="auto"/>
        </w:rPr>
        <w:t xml:space="preserve"> Kõik muud andmekaitsenõuded jäävad muutmata.</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Sotsiaalvõrgustiku teenuse pakkujal on õigus saada teadlaselt lõike 2 kohase teabe esitamisel tekkinud kulude eest hüvitist mõistliku summa ulatuses. Mõistliku summa määramisel tuleb arvestada, et need ei tohi olla nii kõrged, et kujutaksid endast olulist takistust teabe saamise õiguse kasutamisele. Vastavalt rakendatakse tsiviilkohtumenetluse seadustiku § 287 lõiget 1. Hüvitatavad kulud võivad olla kuni 5000 eurot, välja arvatud viiendas lauses osutatud juhul. Seda summat võib ületada ainult siis, kui teabe esitamine toob kaasa erakordselt suured kulud. Pärast kaitsekontseptsiooni esitamist vastavalt lõikele 4 võib teadlane nõuda teenusepakkujalt mõistliku aja jooksul tasuta kulude kalkulatsiooni esitamist.“‘</w:t>
      </w:r>
      <w:bookmarkEnd w:id="48"/>
    </w:p>
    <w:p w14:paraId="2077EF98" w14:textId="77777777" w:rsidR="006945A0" w:rsidRPr="001355C5" w:rsidRDefault="006945A0" w:rsidP="008A1C13">
      <w:pPr>
        <w:pStyle w:val="NummerierungStufe1"/>
      </w:pPr>
      <w:r>
        <w:t>§ 6 lisatakse järgmised lõiked 3–6: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Aruannete suhtes, mis hõlmavad ajavahemikku kuni 31. detsembrini 2021 (kaasa arvatud), kohaldatakse 1. septembri 2017. aasta sotsiaalvõrgustikes õiguste teostamise seaduse (Saksamaa ametlik väljaanne, I osa, lk 3352) § 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Esimene § 3 lõike 9 kohane aruanne tuleb esitada 31. juuliks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 xml:space="preserve">28. juuni 2021. aasta seisuga juba tunnustatud enesekontrolliasutuste suhtes kohaldatakse kuni 2022. aasta lõpuni § 3 lõike 6 punkti 3, mida on muudetud </w:t>
      </w:r>
      <w:r>
        <w:rPr>
          <w:color w:val="auto"/>
        </w:rPr>
        <w:lastRenderedPageBreak/>
        <w:t>1. septembri 2017. aasta seadusega sotsiaalvõrgustikes õiguste teostamise kohta (Saksamaa ametlik väljaanne, I osa, lk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Pakkujate suhtes, kes ei ole videojagamisplatvormi teenuste osutajad, kohaldatakse § 3b alles alates 1. oktoobrist 2021. Videojagamisplatvormi teenuste osutajate suhtes kohaldatakse § 3b alates 1. oktoobrist 2021 seoses sisuga, mis ei ole kasutaja loodud videod või saated.“</w:t>
      </w:r>
    </w:p>
    <w:p w14:paraId="2118C079" w14:textId="440D3807" w:rsidR="00455A86" w:rsidRPr="001355C5" w:rsidRDefault="00B61AA0" w:rsidP="00B61AA0">
      <w:pPr>
        <w:pStyle w:val="ArtikelBezeichner"/>
        <w:numPr>
          <w:ilvl w:val="0"/>
          <w:numId w:val="0"/>
        </w:numPr>
      </w:pPr>
      <w:r>
        <w:t>Artikkel 2</w:t>
      </w:r>
    </w:p>
    <w:p w14:paraId="4D9CB7F9" w14:textId="77777777" w:rsidR="00455A86" w:rsidRPr="001355C5" w:rsidRDefault="00455A86" w:rsidP="00455A86">
      <w:pPr>
        <w:pStyle w:val="Artikelberschrift"/>
      </w:pPr>
      <w:r>
        <w:t>K</w:t>
      </w:r>
      <w:bookmarkStart w:id="51" w:name="eNV_75EECEE39F6042299F02C89BB83ABA93_1"/>
      <w:bookmarkEnd w:id="51"/>
      <w:r>
        <w:t>augmeediaseaduse muutmine</w:t>
      </w:r>
    </w:p>
    <w:p w14:paraId="104AB961" w14:textId="56887D9A" w:rsidR="00455A86" w:rsidRPr="001355C5" w:rsidRDefault="00AC2CB9" w:rsidP="00FA30F0">
      <w:pPr>
        <w:pStyle w:val="JuristischerAbsatznichtnummeriert"/>
      </w:pPr>
      <w:r>
        <w:t>26. veebruari 2007. aasta kaugmeediaseaduse (Saksamaa ametlik väljaanne, I osa, lk 179), mida on viimati muudetud 30. märtsi 2021. aasta seaduse (Saksamaa ametlik väljaanne, I osa, lk 448,1380) artikliga 12, § 14 muudetakse järgmiselt.</w:t>
      </w:r>
    </w:p>
    <w:p w14:paraId="1DB683A0" w14:textId="77777777" w:rsidR="00FF2EC1" w:rsidRPr="001355C5" w:rsidRDefault="00FF2EC1" w:rsidP="00FF2EC1">
      <w:pPr>
        <w:pStyle w:val="NummerierungStufe1"/>
      </w:pPr>
      <w:r>
        <w:t>Lõikele 3 lisatakse järgmine lause:</w:t>
      </w:r>
    </w:p>
    <w:p w14:paraId="7DE44C3D" w14:textId="77777777" w:rsidR="00FF2EC1" w:rsidRPr="001355C5" w:rsidRDefault="00FF2EC1" w:rsidP="00065020">
      <w:pPr>
        <w:pStyle w:val="RevisionJuristischerAbsatzFolgeabsatz"/>
        <w:ind w:left="425"/>
        <w:rPr>
          <w:color w:val="auto"/>
        </w:rPr>
      </w:pPr>
      <w:r>
        <w:rPr>
          <w:color w:val="auto"/>
        </w:rPr>
        <w:t>„Selles ulatuses on ta kohustatud andma kannatanud poolele teavet.“</w:t>
      </w:r>
    </w:p>
    <w:p w14:paraId="3A4DCC6D" w14:textId="77777777" w:rsidR="00FF2EC1" w:rsidRPr="001355C5" w:rsidRDefault="00FF2EC1" w:rsidP="005D706D">
      <w:pPr>
        <w:pStyle w:val="NummerierungStufe1"/>
      </w:pPr>
      <w:r>
        <w:t>Lõike 4 esimese lause järele lisatakse järgmine lause:</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Kohus otsustab ka teabe esitamise kohustuse üle, välja arvatud juhul, kui taotlus piirdub selgesõnaliselt teabe vastuvõetavuse määramisega.</w:t>
      </w:r>
      <w:r>
        <w:rPr>
          <w:rStyle w:val="RevisionText"/>
          <w:color w:val="auto"/>
        </w:rPr>
        <w:t>“</w:t>
      </w:r>
    </w:p>
    <w:p w14:paraId="3490D74B" w14:textId="1817ADD9" w:rsidR="008157F4" w:rsidRDefault="00B61AA0" w:rsidP="00B61AA0">
      <w:pPr>
        <w:pStyle w:val="ArtikelBezeichner"/>
        <w:numPr>
          <w:ilvl w:val="0"/>
          <w:numId w:val="0"/>
        </w:numPr>
      </w:pPr>
      <w:r>
        <w:t>Artikkel 3</w:t>
      </w:r>
    </w:p>
    <w:p w14:paraId="33A01610" w14:textId="77777777" w:rsidR="008157F4" w:rsidRDefault="008157F4" w:rsidP="008157F4">
      <w:pPr>
        <w:pStyle w:val="Artikelberschrift"/>
      </w:pPr>
      <w:r>
        <w:t>Paremäärmusluse ja vaenukuritegude vastu võitlemise seaduse muutmine</w:t>
      </w:r>
    </w:p>
    <w:p w14:paraId="1F7B3809" w14:textId="77777777" w:rsidR="008157F4" w:rsidRDefault="008157F4" w:rsidP="008157F4">
      <w:pPr>
        <w:pStyle w:val="JuristischerAbsatznichtnummeriert"/>
      </w:pPr>
      <w:r>
        <w:t>30. märtsi 2021. aasta paremäärmusluse ja vaenukuritegude vastu võitlemise seaduse (Saksamaa ametlik väljaanne, I osa, lk 441), mida on muudetud 30. märtsi 2021. aasta seaduse (Saksamaa ametlik väljaanne, I osa, lk 448) artikliga 15, artikli 7 lõike 1 punkt b ja lõige 2 tunnistatakse kehtetuks.</w:t>
      </w:r>
    </w:p>
    <w:p w14:paraId="55216B0A" w14:textId="14079E9E" w:rsidR="006945A0" w:rsidRPr="006945A0" w:rsidRDefault="00B61AA0" w:rsidP="00B61AA0">
      <w:pPr>
        <w:pStyle w:val="ArtikelBezeichner"/>
        <w:numPr>
          <w:ilvl w:val="0"/>
          <w:numId w:val="0"/>
        </w:numPr>
      </w:pPr>
      <w:r>
        <w:t>Artikkel 4</w:t>
      </w:r>
    </w:p>
    <w:p w14:paraId="7E143A31" w14:textId="77777777" w:rsidR="006945A0" w:rsidRPr="006945A0" w:rsidRDefault="006945A0" w:rsidP="008A1C13">
      <w:pPr>
        <w:pStyle w:val="Artikelberschrift"/>
      </w:pPr>
      <w:r>
        <w:t>Jõustumine</w:t>
      </w:r>
    </w:p>
    <w:p w14:paraId="690968A7" w14:textId="29B2BF15" w:rsidR="006945A0" w:rsidRDefault="00065020" w:rsidP="0040116B">
      <w:pPr>
        <w:pStyle w:val="JuristischerAbsatznummeriert"/>
      </w:pPr>
      <w:r>
        <w:t>Käesolev seadus jõustub 28. juunil 2021. aastal, kui lõigetest 2 ja 3 ei tulene teisiti.</w:t>
      </w:r>
    </w:p>
    <w:p w14:paraId="2900BC71" w14:textId="228CA322" w:rsidR="008157F4" w:rsidRPr="006945A0" w:rsidRDefault="00065020" w:rsidP="0040116B">
      <w:pPr>
        <w:pStyle w:val="JuristischerAbsatznummeriert"/>
      </w:pPr>
      <w:r>
        <w:t>Artikli 1 lõike 3 punkti b alapunkti bb kohane sotsiaalvõrgustikes õiguste teostamist käsitleva seaduse § 3 lõike 2 punkt 5 jõustub 1. oktoobril 2021.</w:t>
      </w:r>
    </w:p>
    <w:p w14:paraId="1C49F280" w14:textId="77777777" w:rsidR="006945A0" w:rsidRPr="006945A0" w:rsidRDefault="006945A0" w:rsidP="0040116B">
      <w:pPr>
        <w:pStyle w:val="JuristischerAbsatznummeriert"/>
      </w:pPr>
      <w:r>
        <w:t>1. veebruaril 2022 jõustuvad järgmised sätted:</w:t>
      </w:r>
    </w:p>
    <w:p w14:paraId="5BE8DBDC" w14:textId="77777777" w:rsidR="006945A0" w:rsidRDefault="00065020" w:rsidP="0040116B">
      <w:pPr>
        <w:pStyle w:val="NummerierungStufe1"/>
      </w:pPr>
      <w:r>
        <w:t>artikli 1 lõige 4;</w:t>
      </w:r>
    </w:p>
    <w:p w14:paraId="0F476C14" w14:textId="77777777" w:rsidR="00065020" w:rsidRPr="006945A0" w:rsidRDefault="00065020" w:rsidP="0040116B">
      <w:pPr>
        <w:pStyle w:val="NummerierungStufe1"/>
      </w:pPr>
      <w:r>
        <w:t>artikli 1 lõike 6 punkti a, alapunktid cc ja dd ning punkt b;</w:t>
      </w:r>
    </w:p>
    <w:p w14:paraId="1354F279" w14:textId="496FF371" w:rsidR="006945A0" w:rsidRDefault="00065020" w:rsidP="008A1C13">
      <w:pPr>
        <w:pStyle w:val="NummerierungStufe1"/>
      </w:pPr>
      <w:r>
        <w:lastRenderedPageBreak/>
        <w:t>artikli 1 lõige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Liidunõukogu põhiseadusest tulenevad õigused säilivad.</w:t>
      </w:r>
    </w:p>
    <w:p w14:paraId="6630C8D5" w14:textId="21074584" w:rsidR="00524B83" w:rsidRPr="00524B83" w:rsidRDefault="00524B83" w:rsidP="00524B83">
      <w:pPr>
        <w:pStyle w:val="JuristischerAbsatzFolgeabsatz"/>
      </w:pPr>
      <w:r>
        <w:t>Käesolevaga on eespool nimetatud seadus vastu võetud. See avaldatakse Saksamaa ametlikus väljaandes.</w:t>
      </w:r>
    </w:p>
    <w:p w14:paraId="789581D2" w14:textId="77777777" w:rsidR="00524B83" w:rsidRPr="00B61AA0" w:rsidRDefault="00524B83" w:rsidP="00524B83">
      <w:pPr>
        <w:pStyle w:val="JuristischerAbsatzFolgeabsatz"/>
      </w:pPr>
      <w:r>
        <w:t>Berliin, 3. juuni 2021</w:t>
      </w:r>
    </w:p>
    <w:p w14:paraId="1AA24B74" w14:textId="77777777" w:rsidR="00524B83" w:rsidRPr="00B83A89" w:rsidRDefault="00524B83" w:rsidP="00524B83">
      <w:pPr>
        <w:pStyle w:val="JuristischerAbsatzFolgeabsatz"/>
        <w:jc w:val="center"/>
        <w:rPr>
          <w:spacing w:val="50"/>
        </w:rPr>
      </w:pPr>
      <w:r w:rsidRPr="00B83A89">
        <w:rPr>
          <w:spacing w:val="50"/>
        </w:rPr>
        <w:t>Saksamaa Liitvabariigi president</w:t>
      </w:r>
    </w:p>
    <w:p w14:paraId="5F3565D9" w14:textId="77777777" w:rsidR="00524B83" w:rsidRPr="00B83A89" w:rsidRDefault="00524B83" w:rsidP="00524B83">
      <w:pPr>
        <w:pStyle w:val="JuristischerAbsatzFolgeabsatz"/>
        <w:jc w:val="center"/>
        <w:rPr>
          <w:spacing w:val="50"/>
        </w:rPr>
      </w:pPr>
      <w:r w:rsidRPr="00B83A89">
        <w:rPr>
          <w:spacing w:val="50"/>
        </w:rPr>
        <w:t>Steinmeier</w:t>
      </w:r>
    </w:p>
    <w:p w14:paraId="1E912554" w14:textId="77777777" w:rsidR="00524B83" w:rsidRPr="00B83A89" w:rsidRDefault="00524B83" w:rsidP="00524B83">
      <w:pPr>
        <w:pStyle w:val="JuristischerAbsatzFolgeabsatz"/>
        <w:jc w:val="center"/>
        <w:rPr>
          <w:spacing w:val="50"/>
        </w:rPr>
      </w:pPr>
      <w:r w:rsidRPr="00B83A89">
        <w:rPr>
          <w:spacing w:val="50"/>
        </w:rPr>
        <w:t>Liidukantsler</w:t>
      </w:r>
    </w:p>
    <w:p w14:paraId="4151C5C8" w14:textId="77777777" w:rsidR="00524B83" w:rsidRPr="00B83A89" w:rsidRDefault="00524B83" w:rsidP="00524B83">
      <w:pPr>
        <w:pStyle w:val="JuristischerAbsatzFolgeabsatz"/>
        <w:jc w:val="center"/>
        <w:rPr>
          <w:spacing w:val="50"/>
        </w:rPr>
      </w:pPr>
      <w:r w:rsidRPr="00B83A89">
        <w:rPr>
          <w:spacing w:val="50"/>
        </w:rPr>
        <w:t>Dr Angela Merkel</w:t>
      </w:r>
    </w:p>
    <w:p w14:paraId="791D6152" w14:textId="77777777" w:rsidR="00524B83" w:rsidRPr="00B83A89" w:rsidRDefault="00524B83" w:rsidP="00524B83">
      <w:pPr>
        <w:pStyle w:val="JuristischerAbsatzFolgeabsatz"/>
        <w:jc w:val="center"/>
        <w:rPr>
          <w:spacing w:val="50"/>
        </w:rPr>
      </w:pPr>
      <w:r w:rsidRPr="00B83A89">
        <w:rPr>
          <w:spacing w:val="50"/>
        </w:rPr>
        <w:t>Liitvabariigi</w:t>
      </w:r>
    </w:p>
    <w:p w14:paraId="772B748E" w14:textId="77777777" w:rsidR="00524B83" w:rsidRPr="00B83A89" w:rsidRDefault="00524B83" w:rsidP="00524B83">
      <w:pPr>
        <w:pStyle w:val="JuristischerAbsatzFolgeabsatz"/>
        <w:jc w:val="center"/>
        <w:rPr>
          <w:spacing w:val="50"/>
        </w:rPr>
      </w:pPr>
      <w:r w:rsidRPr="00B83A89">
        <w:rPr>
          <w:spacing w:val="50"/>
        </w:rPr>
        <w:t>justiits- ja tarbijakaitseminister</w:t>
      </w:r>
    </w:p>
    <w:p w14:paraId="4D3A1799" w14:textId="59236FD5" w:rsidR="00524B83" w:rsidRPr="00B61AA0" w:rsidRDefault="00524B83" w:rsidP="00524B83">
      <w:pPr>
        <w:pStyle w:val="JuristischerAbsatzFolgeabsatz"/>
        <w:jc w:val="center"/>
      </w:pPr>
      <w:r w:rsidRPr="00B83A89">
        <w:rPr>
          <w:spacing w:val="50"/>
        </w:rPr>
        <w:t>Christine Lambrecht</w:t>
      </w:r>
    </w:p>
    <w:sectPr w:rsidR="00524B83" w:rsidRPr="00B61AA0"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EA8D" w14:textId="77777777" w:rsidR="00A77B50" w:rsidRDefault="00A77B50" w:rsidP="005D1540">
      <w:pPr>
        <w:spacing w:before="0" w:after="0"/>
      </w:pPr>
      <w:r>
        <w:separator/>
      </w:r>
    </w:p>
  </w:endnote>
  <w:endnote w:type="continuationSeparator" w:id="0">
    <w:p w14:paraId="067E24A0" w14:textId="77777777" w:rsidR="00A77B50" w:rsidRDefault="00A77B50"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4C7E" w14:textId="77777777" w:rsidR="00A77B50" w:rsidRDefault="00A77B50" w:rsidP="005D1540">
      <w:pPr>
        <w:spacing w:before="0" w:after="0"/>
      </w:pPr>
      <w:r>
        <w:separator/>
      </w:r>
    </w:p>
  </w:footnote>
  <w:footnote w:type="continuationSeparator" w:id="0">
    <w:p w14:paraId="06C1BA95" w14:textId="77777777" w:rsidR="00A77B50" w:rsidRDefault="00A77B50"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 xml:space="preserve"> Käesoleva õigusaktiga rakendatakse Euroopa Parlamendi ja nõukogu 14. novembri 2018. aasta direktiivi (EL) 2018/1808, millega muudetakse direktiivi 2010/13/EL audiovisuaalmeedia teenuste osutamist käsitlevate liikmesriikide teatavate õigus- ja haldusnormide koordineerimise kohta (audiovisuaalmeedia teenuste direktiiv), et võtta arvesse muutuvat turuolukorda (ELT L 303, 28.11.2018, lk 69).</w:t>
      </w:r>
    </w:p>
  </w:footnote>
  <w:footnote w:id="2">
    <w:p w14:paraId="50BC2B1B" w14:textId="77777777" w:rsidR="00861858" w:rsidRDefault="00861858">
      <w:pPr>
        <w:pStyle w:val="Fotnotstext"/>
      </w:pPr>
      <w:r>
        <w:rPr>
          <w:rStyle w:val="Fotnotsreferens"/>
        </w:rPr>
        <w:footnoteRef/>
      </w:r>
      <w:r>
        <w:t xml:space="preserve"> </w:t>
      </w:r>
      <w:r>
        <w:t xml:space="preserve">Teatis </w:t>
      </w:r>
      <w:r>
        <w:t>esitatud Euroopa Parlamendi ja nõukogu 9. septembri 2015. aasta direktiivi (EL) 2015/1535 kohaselt, millega nähakse ette tehnilistest eeskirjadest ning infoühiskonna teenuste eeskirjadest teatamise kord (ELT L 241, 17.9.2015,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Viimati uuendatud: 17.06.2021 kell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Versioon: </w:t>
    </w:r>
    <w:r>
      <w:rPr>
        <w:sz w:val="18"/>
      </w:rPr>
      <w:t>17.06.2021 kell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77B50"/>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3A8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13</Pages>
  <Words>4879</Words>
  <Characters>25860</Characters>
  <Application>Microsoft Office Word</Application>
  <DocSecurity>0</DocSecurity>
  <Lines>215</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