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Legge che modifica la legge sul miglioramento dell'applicazione della legge nelle reti sociali</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Redatto il 3 giugno 2021</w:t>
      </w:r>
    </w:p>
    <w:p w14:paraId="3F51C4C2" w14:textId="77777777" w:rsidR="00E83886" w:rsidRDefault="00E83886">
      <w:pPr>
        <w:pStyle w:val="EingangsformelStandardnderungsdokument"/>
      </w:pPr>
      <w:r>
        <w:t>Il Bundestag ha adottato la seguente legge</w:t>
      </w:r>
    </w:p>
    <w:p w14:paraId="3EF60F3B" w14:textId="51840A09" w:rsidR="00E83886" w:rsidRDefault="00B61AA0" w:rsidP="00B61AA0">
      <w:pPr>
        <w:pStyle w:val="ArtikelBezeichner"/>
        <w:numPr>
          <w:ilvl w:val="0"/>
          <w:numId w:val="0"/>
        </w:numPr>
      </w:pPr>
      <w:r>
        <w:t>Articolo 1</w:t>
      </w:r>
    </w:p>
    <w:p w14:paraId="00B33297" w14:textId="77777777" w:rsidR="00E83886" w:rsidRDefault="00BC2E28">
      <w:pPr>
        <w:pStyle w:val="Artikelberschrift"/>
      </w:pPr>
      <w:r>
        <w:t>M</w:t>
      </w:r>
      <w:bookmarkStart w:id="1" w:name="eNV_02766DCDDD0C451696CD2CA9BA8F5F05_1"/>
      <w:bookmarkEnd w:id="1"/>
      <w:r>
        <w:t>odifica della legge sul miglioramento dell'applicazione della legge nelle reti sociali</w:t>
      </w:r>
    </w:p>
    <w:p w14:paraId="75A86A66" w14:textId="77777777" w:rsidR="00E83886" w:rsidRPr="00B43644" w:rsidRDefault="00BC2E28">
      <w:pPr>
        <w:pStyle w:val="JuristischerAbsatznichtnummeriert"/>
      </w:pPr>
      <w:r>
        <w:t>La legge sul miglioramento dell'applicazione della legge nelle reti sociali del 1° settembre 2017 (Gazzetta ufficiale federale I pag. 3352), da ultimo modificata dall’articolo 7 della legge del 30 marzo 2021 (Gazzetta ufficiale federale I pag. 441), come ulteriormente modificata dall'articolo 15 della legge del 30 marzo 2021 (Gazzetta ufficiale federale I pag 448), è modificata come segue:</w:t>
      </w:r>
    </w:p>
    <w:p w14:paraId="5906B6F4" w14:textId="77777777" w:rsidR="009C3C3B" w:rsidRDefault="009C3C3B" w:rsidP="00FD2509">
      <w:pPr>
        <w:pStyle w:val="NummerierungStufe1"/>
      </w:pPr>
      <w:r>
        <w:t>A</w:t>
      </w:r>
      <w:bookmarkStart w:id="2" w:name="eNV_6C01AF3269F54A25937775F5B1921A82_1"/>
      <w:bookmarkEnd w:id="2"/>
      <w:r>
        <w:t xml:space="preserve">ll'articolo 1, paragrafo 2, l'indicazione </w:t>
      </w:r>
      <w:r>
        <w:rPr>
          <w:rStyle w:val="RevisionText"/>
        </w:rPr>
        <w:t>"articoli da 2 a 3"</w:t>
      </w:r>
      <w:r>
        <w:t xml:space="preserve"> è sostituita dall’indicazione </w:t>
      </w:r>
      <w:r>
        <w:rPr>
          <w:rStyle w:val="RevisionText"/>
        </w:rPr>
        <w:t>"articoli da 2 a 3b e 5a"</w:t>
      </w:r>
      <w:r>
        <w:t>.</w:t>
      </w:r>
    </w:p>
    <w:p w14:paraId="71A5833B" w14:textId="77777777" w:rsidR="00FD2509" w:rsidRDefault="00D563DB" w:rsidP="00FD2509">
      <w:pPr>
        <w:pStyle w:val="NummerierungStufe1"/>
      </w:pPr>
      <w:r>
        <w:t>L’articolo</w:t>
      </w:r>
      <w:bookmarkStart w:id="3" w:name="eNV_F184275CB3ED43BBAC3DB3FE735A86E0_1"/>
      <w:bookmarkEnd w:id="3"/>
      <w:r>
        <w:t xml:space="preserve"> 2, paragrafo 2 viene modificato come segue:</w:t>
      </w:r>
    </w:p>
    <w:p w14:paraId="75A87168" w14:textId="77777777" w:rsidR="00D563DB" w:rsidRPr="001355C5" w:rsidRDefault="00D563DB" w:rsidP="00D563DB">
      <w:pPr>
        <w:pStyle w:val="NummerierungStufe2"/>
      </w:pPr>
      <w:bookmarkStart w:id="4" w:name="eNV_C4D4FB87EB23484289627BC27807BCE5_1"/>
      <w:bookmarkEnd w:id="4"/>
      <w:r>
        <w:t>Il punto 2 è sostituito dai seguenti punti 2 e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La natura, le linee generali del funzionamento e la portata di eventuali metodi utilizzati per il rilevamento automatizzato di contenuti da rimuovere o bloccare, comprese le informazioni generali sui dati di formazione utilizzati e la verifica da parte del fornitore dei risultati di tali procedure, nonché informazioni sulla misura in cui gli ambienti scientifici e di ricerca sono supportati nella valutazione di tali procedure e hanno avuto accesso alle informazioni fornite dal fornitore a tal fine,</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Descrizione dei meccanismi di trasmissione delle denunce relative a contenuti illeciti, descrizione dei criteri decisionali per la rimozione e il blocco dei contenuti illeciti e descrizione della procedura di riesame, compresa la sequenza del riesame relativa all'esistenza di contenuti illeciti o alla violazione delle disposizioni contrattuali tra fornitore e utente,".</w:t>
      </w:r>
    </w:p>
    <w:p w14:paraId="074A3429" w14:textId="77777777" w:rsidR="00E43EFE" w:rsidRPr="001355C5" w:rsidRDefault="00E43EFE" w:rsidP="003764C3">
      <w:pPr>
        <w:pStyle w:val="NummerierungStufe2"/>
      </w:pPr>
      <w:bookmarkStart w:id="6" w:name="DQPErrorScopeAA164204E61A4B6863D92987321"/>
      <w:r>
        <w:t>I precedenti punti da 3 a 6 diventano punti da 4 a 7.</w:t>
      </w:r>
      <w:bookmarkEnd w:id="6"/>
    </w:p>
    <w:p w14:paraId="44BFC151" w14:textId="29827472" w:rsidR="00DE0035" w:rsidRPr="001355C5" w:rsidRDefault="00E43EFE" w:rsidP="003764C3">
      <w:pPr>
        <w:pStyle w:val="NummerierungStufe2"/>
      </w:pPr>
      <w:r>
        <w:t xml:space="preserve">Il precedente punto 7 diventa punto 8 e le parole </w:t>
      </w:r>
      <w:r>
        <w:rPr>
          <w:rStyle w:val="RevisionText"/>
          <w:color w:val="auto"/>
        </w:rPr>
        <w:t>‘secondo il numero totale nonché'</w:t>
      </w:r>
      <w:r>
        <w:t xml:space="preserve"> sono inserite dopo la parola </w:t>
      </w:r>
      <w:r>
        <w:rPr>
          <w:rStyle w:val="RevisionText"/>
          <w:color w:val="auto"/>
        </w:rPr>
        <w:t>‘led,'</w:t>
      </w:r>
      <w:r>
        <w:t xml:space="preserve"> e una virgola e le parole </w:t>
      </w:r>
      <w:r>
        <w:rPr>
          <w:rStyle w:val="RevisionText"/>
          <w:color w:val="auto"/>
        </w:rPr>
        <w:t xml:space="preserve">‘quale passaggio nella </w:t>
      </w:r>
      <w:r>
        <w:rPr>
          <w:rStyle w:val="RevisionText"/>
          <w:color w:val="auto"/>
        </w:rPr>
        <w:lastRenderedPageBreak/>
        <w:t>sequenza di prova ai sensi del punto 3 ha portato alla rimozione o al blocco”</w:t>
      </w:r>
      <w:r>
        <w:t xml:space="preserve"> sono inserite dopo che le parole </w:t>
      </w:r>
      <w:r>
        <w:rPr>
          <w:rStyle w:val="RevisionText"/>
          <w:color w:val="auto"/>
        </w:rPr>
        <w:t>“utenti si è svolta”</w:t>
      </w:r>
      <w:r>
        <w:t>.</w:t>
      </w:r>
    </w:p>
    <w:p w14:paraId="0B6811A7" w14:textId="77777777" w:rsidR="008D6E45" w:rsidRPr="001355C5" w:rsidRDefault="00E43EFE" w:rsidP="003764C3">
      <w:pPr>
        <w:pStyle w:val="NummerierungStufe2"/>
      </w:pPr>
      <w:r>
        <w:t>Il precedente p</w:t>
      </w:r>
      <w:bookmarkStart w:id="7" w:name="eNV_3CAAC48361F44D8E911B82392C79CDB9_1"/>
      <w:bookmarkEnd w:id="7"/>
      <w:r>
        <w:t>unto 8 diventa punto 9 ed è così formulato:</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il rispettivo numero di reclami relativi a contenuti illeciti che hanno comportato la rimozione o il blocco dei contenuti illeciti entro 24 ore, entro 48 ore o entro una settimana dal ricevimento, o in un momento successivo, ulteriormente suddivisi per reclami degli uffici reclami e degli utenti nonché ripartiti in base alla motivazione del reclamo,".</w:t>
      </w:r>
      <w:bookmarkEnd w:id="8"/>
    </w:p>
    <w:p w14:paraId="090FCED8" w14:textId="77777777" w:rsidR="003764C3" w:rsidRPr="001355C5" w:rsidRDefault="00E43EFE" w:rsidP="003764C3">
      <w:pPr>
        <w:pStyle w:val="NummerierungStufe2"/>
      </w:pPr>
      <w:r>
        <w:t>Il precedente punto 9 diventa punto 10 e il punto alla fine è sostituito da una virgola.</w:t>
      </w:r>
    </w:p>
    <w:p w14:paraId="3E7ED79C" w14:textId="77777777" w:rsidR="003764C3" w:rsidRPr="001355C5" w:rsidRDefault="002C5C85" w:rsidP="002C5C85">
      <w:pPr>
        <w:pStyle w:val="NummerierungStufe2"/>
      </w:pPr>
      <w:r>
        <w:t>Sono aggiunti i seguenti punti 11 e 17:</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Numero di ricorsi ricevuti nel periodo di riferimento ai sensi dell'articolo 3b, paragrafo 1, frase 2, in base al numero totale e ripartito in base ai ricorsi da parte dei ricorrenti e degli utenti per i quali è stato salvato il contenuto contestato, ciascuno con dettagli sul numero di casi in cui il ricorso è stato accolto,</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Numero di ricorsi ricevuti nel periodo di riferimento ai sensi dell'articolo 3b, paragrafo 3, frase 1, ciascuno con dettagli sul numero di casi in cui è stato dispensato un riesame ai sensi dell'articolo 3br, paragrafo 3, frase 3, e sul numero di casi in cui il ricorso è stato risolto,</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Informazioni su se e in quale misura i gruppi scientifici e di ricerca hanno ottenuto l'accesso alle informazioni fornite dal fornitore nel periodo di riferimento, al fine di consentirne la valutazione anonima se</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i contenuti illegali rimossi o bloccati riguardano le caratteristiche di cui all'articolo 1 della legge generale sulla parità di trattamento del 14 agosto 2006 (Gazzetta ufficiale federale I, pag. 1897), modificata da ultimo dall'articolo 8 della legge del 3 aprile 2013 (Gazzetta ufficiale federale I, pag. 610), nella sua versione attuale,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se la diffusione di contenuti illeciti abbia un impatto specifico su determinati gruppi di utenti, e</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se le strutture organizzate o i comportamenti coordinati costituiscono la base della diffusione,</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altre misure adottate dal fornitore per proteggere e sostenere quelle colpite da contenuti illeciti,</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Un riepilogo con una panoramica in formato tabellare che indichi il numero totale di reclami ricevuti in merito a contenuti illeciti, la percentuale di contenuti rimossi o bloccati in risposta a tali reclami, il numero di ricorsi ai sensi rispettivamente dell'articolo 3b, paragrafo 1, seconda frase e articolo 3b, paragrafo 3, frase 1, e la percentuale di decisioni cambiata in base a tali ricorsi rispetto ai numeri corrispondenti dei due periodi di riferimento precedenti, nonché una spiegazione delle differenze significative e delle possibili motivazioni delle stesse;</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Spiegazione delle disposizioni contenute nelle condizioni generali del fornitore relative all'ammissibilità della diffusione di contenuti sul social network utilizzato dal fornitore per i contratti con i consumatori,</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lastRenderedPageBreak/>
        <w:t>17.</w:t>
      </w:r>
      <w:r>
        <w:rPr>
          <w:color w:val="auto"/>
        </w:rPr>
        <w:tab/>
        <w:t>Presentazione della misura in cui l'accordo sulle disposizioni di cui al paragrafo 16 è conforme ai requisiti di cui agli articoli da 307 a 309 del Codice civile e ad altre disposizioni legislative".</w:t>
      </w:r>
    </w:p>
    <w:p w14:paraId="268633E7" w14:textId="77777777" w:rsidR="00BE13DB" w:rsidRPr="001355C5" w:rsidRDefault="00BE13DB" w:rsidP="00BE13DB">
      <w:pPr>
        <w:pStyle w:val="NummerierungStufe1"/>
      </w:pPr>
      <w:r>
        <w:t>L'articolo</w:t>
      </w:r>
      <w:bookmarkStart w:id="10" w:name="eNV_1071D66C7A3A4E78904AD55041E5495E_1"/>
      <w:bookmarkEnd w:id="10"/>
      <w:r>
        <w:t> 3 è modificato come segue:</w:t>
      </w:r>
    </w:p>
    <w:p w14:paraId="0581E3DD" w14:textId="77777777" w:rsidR="00BE13DB" w:rsidRPr="001355C5" w:rsidRDefault="00BE13DB" w:rsidP="00BE13DB">
      <w:pPr>
        <w:pStyle w:val="NummerierungStufe2"/>
      </w:pPr>
      <w:r>
        <w:t>A</w:t>
      </w:r>
      <w:bookmarkStart w:id="11" w:name="eNV_014D67E831A54E84AE69F682494D2210_1"/>
      <w:bookmarkEnd w:id="11"/>
      <w:r>
        <w:t xml:space="preserve">l paragrafo 1 frase 2, le parole </w:t>
      </w:r>
      <w:r>
        <w:rPr>
          <w:rStyle w:val="RevisionText"/>
          <w:color w:val="auto"/>
        </w:rPr>
        <w:t>"quando percepiscono il contenuto"</w:t>
      </w:r>
      <w:r>
        <w:t xml:space="preserve"> sono inserite dopo la parola </w:t>
      </w:r>
      <w:r>
        <w:rPr>
          <w:rStyle w:val="RevisionText"/>
          <w:color w:val="auto"/>
        </w:rPr>
        <w:t>"un"</w:t>
      </w:r>
      <w:r>
        <w:t xml:space="preserve"> e una virgola e le parole </w:t>
      </w:r>
      <w:r>
        <w:rPr>
          <w:rStyle w:val="RevisionText"/>
          <w:color w:val="auto"/>
        </w:rPr>
        <w:t>"facile da usare"</w:t>
      </w:r>
      <w:r>
        <w:t xml:space="preserve"> sono inserite dopo la parola </w:t>
      </w:r>
      <w:r>
        <w:rPr>
          <w:rStyle w:val="RevisionText"/>
          <w:color w:val="auto"/>
        </w:rPr>
        <w:t>"raggiungibile"</w:t>
      </w:r>
      <w:r>
        <w:t>.</w:t>
      </w:r>
    </w:p>
    <w:p w14:paraId="630F3893" w14:textId="77777777" w:rsidR="00BE13DB" w:rsidRPr="001355C5" w:rsidRDefault="00BE13DB" w:rsidP="00BE13DB">
      <w:pPr>
        <w:pStyle w:val="NummerierungStufe2"/>
      </w:pPr>
      <w:r>
        <w:t>I</w:t>
      </w:r>
      <w:bookmarkStart w:id="12" w:name="eNV_29BA89EA1BB2430697A4687983AABC93_1"/>
      <w:bookmarkEnd w:id="12"/>
      <w:r>
        <w:t>l paragrafo 2 è modificato come segue:</w:t>
      </w:r>
    </w:p>
    <w:p w14:paraId="59FA4E72" w14:textId="77777777" w:rsidR="001B5632" w:rsidRPr="001355C5" w:rsidRDefault="001B5632" w:rsidP="001B5632">
      <w:pPr>
        <w:pStyle w:val="NummerierungStufe3"/>
      </w:pPr>
      <w:r>
        <w:t>A</w:t>
      </w:r>
      <w:bookmarkStart w:id="13" w:name="eNV_EEB47693F91D4F2B9784901065243950_1"/>
      <w:bookmarkEnd w:id="13"/>
      <w:r>
        <w:t xml:space="preserve">l punto 3, lettera b), le parole </w:t>
      </w:r>
      <w:r>
        <w:rPr>
          <w:rStyle w:val="RevisionText"/>
          <w:color w:val="auto"/>
        </w:rPr>
        <w:t>"il social network"</w:t>
      </w:r>
      <w:r>
        <w:t xml:space="preserve"> sono sostituite dalle parole </w:t>
      </w:r>
      <w:r>
        <w:rPr>
          <w:rStyle w:val="RevisionText"/>
          <w:color w:val="auto"/>
        </w:rPr>
        <w:t>"il fornitore di social network"</w:t>
      </w:r>
      <w:r>
        <w:t>.</w:t>
      </w:r>
    </w:p>
    <w:p w14:paraId="72A04C98" w14:textId="77777777" w:rsidR="00AE356F" w:rsidRPr="001355C5" w:rsidRDefault="00CE245D" w:rsidP="001B5632">
      <w:pPr>
        <w:pStyle w:val="NummerierungStufe3"/>
      </w:pPr>
      <w:r>
        <w:t>I punti 4 e 5 sono così formulati:</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in caso di rimozione, assicura il contenuto come prova e lo conserva a tal fine per un periodo di dieci settimane nell'ambito di applicazione della direttiva 2000/31/CE del Parlamento europeo e del Consiglio, dell'8 giugno 2000, relativa a taluni aspetti giuridici dei servizi della società dell'informazione, in particolare il commercio elettronico, nel mercato interno (</w:t>
      </w:r>
      <w:bookmarkStart w:id="15" w:name="DQPErrorScope2646C3C49F191982EE73F3F98FA"/>
      <w:r>
        <w:rPr>
          <w:color w:val="auto"/>
        </w:rPr>
        <w:t>'</w:t>
      </w:r>
      <w:bookmarkEnd w:id="15"/>
      <w:r>
        <w:rPr>
          <w:color w:val="auto"/>
        </w:rPr>
        <w:t>direttiva sul commercio elettronico (GU L 178 del 17.7.2000, pag. 1) e direttiva 2010/13/UE del Parlamento europeo e del Consiglio, del 10 marzo 2010, relativa al coordinamento di determinate disposizioni legislative, regolamentari o amministrative degli Stati membri concernenti la fornitura di servizi di media audiovisivi (direttiva sui servizi di media audiovisivi) (GU L 95 del 15.4.2010, pag. 1; L 263 del 6.10.2010, pag. 15), modificata dalla direttiva (UE) 2018/1808 (GU L 303 del 28.11.2018, pag.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informa senza indugio il ricorrente e l'utente per il quale il contenuto contestato è stato archiviato in merito a ciascuna decisione, e così facendo</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giustifica la sua decisione,</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indica la possibilità di un ricorso ai sensi dell'articolo 3b, paragrafo 1, frase 2, la procedura prevista dall'articolo 3b, paragrafo 1, punto 3, il termine di cui all'articolo 3b, paragrafo 1, frase 2, e che il contenuto del ricorso può essere trasmesso nell'ambito della procedura di cui all'articolo 3br, paragrafo 2, comma 1, e</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informa il ricorrente che può presentare una notifica di reato e, se necessario, una domanda di azione penale nei confronti dell'utente per il quale sono stati salvati i contenuti contestati, nonché del sito web su cui possono ricevere ulteriori informazioni al riguardo".</w:t>
      </w:r>
    </w:p>
    <w:p w14:paraId="7A752ABA" w14:textId="77777777" w:rsidR="00D31A36" w:rsidRPr="001355C5" w:rsidRDefault="00E94ACD" w:rsidP="00D31A36">
      <w:pPr>
        <w:pStyle w:val="NummerierungStufe3"/>
      </w:pPr>
      <w:r>
        <w:t>Sono aggiunte le seguenti frasi:</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 xml:space="preserve">"Nei casi di cui alla frase 1, punto 3, lettera b), il fornitore di reti sociali può divulgare i contenuti contestati, le informazioni sul momento della condivisione o della messa a disposizione dei contenuti e sulla portata della loro diffusione, nonché i contenuti in un contesto riconoscibile (se necessario ai fini della decisione) all'organismo di autoregolamentazione riconosciuto. L'organismo di autoregolamentazione è autorizzato a trattare i dati personali in questione nella misura necessaria al riesame. Qualsiasi inesattezza della decisione adottata dall'organismo di autoregolamentazione nei casi di cui alla frase 1, </w:t>
      </w:r>
      <w:r>
        <w:rPr>
          <w:rStyle w:val="RevisionText"/>
          <w:color w:val="auto"/>
        </w:rPr>
        <w:lastRenderedPageBreak/>
        <w:t>paragrafo 3, lettera b), non costituisce una violazione del paragrafo 1, comma 1, da parte del fornitore di reti sociali".</w:t>
      </w:r>
    </w:p>
    <w:p w14:paraId="05710271" w14:textId="77777777" w:rsidR="008331B2" w:rsidRPr="001355C5" w:rsidRDefault="008331B2" w:rsidP="008331B2">
      <w:pPr>
        <w:pStyle w:val="NummerierungStufe2"/>
      </w:pPr>
      <w:r>
        <w:t>I</w:t>
      </w:r>
      <w:bookmarkStart w:id="17" w:name="eNV_1BD0FCD066BB4ADDA24D31C7AFEE9D76_1"/>
      <w:bookmarkEnd w:id="17"/>
      <w:r>
        <w:t>l paragrafo 6 è modificato come segue:</w:t>
      </w:r>
    </w:p>
    <w:p w14:paraId="5B774DD7" w14:textId="77777777" w:rsidR="009E7D6E" w:rsidRPr="001355C5" w:rsidRDefault="002F6D0D" w:rsidP="008331B2">
      <w:pPr>
        <w:pStyle w:val="NummerierungStufe3"/>
      </w:pPr>
      <w:r>
        <w:t xml:space="preserve">Al punto 3, il termine </w:t>
      </w:r>
      <w:r>
        <w:rPr>
          <w:rStyle w:val="RevisionText"/>
          <w:color w:val="auto"/>
        </w:rPr>
        <w:t>"fornisce","</w:t>
      </w:r>
      <w:r>
        <w:t xml:space="preserve"> è sostituito dai termini </w:t>
      </w:r>
      <w:r>
        <w:rPr>
          <w:rStyle w:val="RevisionText"/>
          <w:color w:val="auto"/>
        </w:rPr>
        <w:t>"fornisce su richiesta del ricorrente e su richiesta dell'utente per il quale il contenuto contestato è stato salvato, e"</w:t>
      </w:r>
      <w:r>
        <w:t xml:space="preserve">. </w:t>
      </w:r>
    </w:p>
    <w:p w14:paraId="0AF21211" w14:textId="77777777" w:rsidR="008331B2" w:rsidRPr="001355C5" w:rsidRDefault="008331B2" w:rsidP="008331B2">
      <w:pPr>
        <w:pStyle w:val="NummerierungStufe3"/>
      </w:pPr>
      <w:bookmarkStart w:id="18" w:name="eNV_C577E052D4584A18A8AFB1A777664717_1"/>
      <w:bookmarkEnd w:id="18"/>
      <w:r>
        <w:t>I</w:t>
      </w:r>
      <w:bookmarkStart w:id="19" w:name="eNV_95D0B1FF82E643548E19CDBF244405BA_1"/>
      <w:bookmarkEnd w:id="19"/>
      <w:r>
        <w:t>l punto 4 è abrogato.</w:t>
      </w:r>
    </w:p>
    <w:p w14:paraId="03ABCB4E" w14:textId="77777777" w:rsidR="002F6D0D" w:rsidRPr="001355C5" w:rsidRDefault="002F6D0D" w:rsidP="008331B2">
      <w:pPr>
        <w:pStyle w:val="NummerierungStufe3"/>
      </w:pPr>
      <w:bookmarkStart w:id="20" w:name="DQPErrorScopeE4F4EA840838595339EED4986C9"/>
      <w:r>
        <w:t>Il punto 5 diventa il punto 4.</w:t>
      </w:r>
      <w:bookmarkEnd w:id="20"/>
    </w:p>
    <w:p w14:paraId="70A31A7E" w14:textId="77777777" w:rsidR="002C5C85" w:rsidRPr="001355C5" w:rsidRDefault="002C5C85" w:rsidP="002C5C85">
      <w:pPr>
        <w:pStyle w:val="NummerierungStufe2"/>
      </w:pPr>
      <w:r>
        <w:t>Al paragrafo 7 sono aggiunte le seguenti frasi:</w:t>
      </w:r>
    </w:p>
    <w:p w14:paraId="3C3C4597" w14:textId="77777777" w:rsidR="002C5C85" w:rsidRPr="001355C5" w:rsidRDefault="002C5C85" w:rsidP="00E53355">
      <w:pPr>
        <w:pStyle w:val="RevisionJuristischerAbsatzFolgeabsatz"/>
        <w:ind w:left="850"/>
        <w:rPr>
          <w:color w:val="auto"/>
        </w:rPr>
      </w:pPr>
      <w:r>
        <w:rPr>
          <w:color w:val="auto"/>
        </w:rPr>
        <w:t>"Dà all'autorità centrale di controllo degli Stati federali per la protezione dei minori dai mezzi di comunicazione dannosi la possibilità di pronunciarsi prima della decisione sul riconoscimento. La decisione può essere emessa con condizioni aggiuntive. Un termine non dovrebbe essere inferiore a cinque anni".</w:t>
      </w:r>
    </w:p>
    <w:p w14:paraId="6F468865" w14:textId="77777777" w:rsidR="00654A16" w:rsidRPr="001355C5" w:rsidRDefault="00654A16" w:rsidP="00654A16">
      <w:pPr>
        <w:pStyle w:val="NummerierungStufe2"/>
      </w:pPr>
      <w:r>
        <w:t>I seguenti paragrafi 8 e 9 sono inseriti d</w:t>
      </w:r>
      <w:bookmarkStart w:id="21" w:name="eNV_C9F4E65DC72A4A318587B7B03101C3D9_1"/>
      <w:bookmarkEnd w:id="21"/>
      <w:r>
        <w:t>opo il paragrafo 7:</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L'organismo di autoregolamentazione riconosciuto deve informare immediatamente l'autorità amministrativa di cui all'articolo 4 dell'evoluzione delle circostanze relative al riconoscimento e alle altre informazioni fornite nella domanda di riconoscimento.</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L'organismo di autoregolamentazione riconosciuto deve pubblicare sul proprio sito web una relazione di attività sull'anno civile precedente entro il 31 luglio di ogni anno e trasmetterla all'autorità amministrativa di cui all’articolo 4."</w:t>
      </w:r>
    </w:p>
    <w:p w14:paraId="0A4EFCFA" w14:textId="77777777" w:rsidR="00E43EFE" w:rsidRPr="001355C5" w:rsidRDefault="00E43EFE" w:rsidP="00E43EFE">
      <w:pPr>
        <w:pStyle w:val="NummerierungStufe2"/>
      </w:pPr>
      <w:bookmarkStart w:id="22" w:name="DQPErrorScope5756FCF4B74B2F1C86E686CCCF8"/>
      <w:r>
        <w:t>I precedenti paragrafi 8 e 9 diventano i nuovi paragrafi 10 e 11.</w:t>
      </w:r>
      <w:bookmarkEnd w:id="22"/>
    </w:p>
    <w:p w14:paraId="134BA870" w14:textId="77777777" w:rsidR="002C5C85" w:rsidRPr="001355C5" w:rsidRDefault="002C5C85" w:rsidP="007068D4">
      <w:pPr>
        <w:pStyle w:val="NummerierungStufe1"/>
      </w:pPr>
      <w:r>
        <w:t>L’articolo 3a è così modificato:</w:t>
      </w:r>
    </w:p>
    <w:p w14:paraId="58898B35" w14:textId="77777777" w:rsidR="002C5C85" w:rsidRPr="001355C5" w:rsidRDefault="002C5C85" w:rsidP="008A1C13">
      <w:pPr>
        <w:pStyle w:val="NummerierungStufe2"/>
      </w:pPr>
      <w:r>
        <w:t>Il paragrafo 4 è formulato come segue:</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La trasmissione all'Ufficio federale di polizia giudiziaria deve comprendere:</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il contenuto e, se disponibile, l'ora in cui il contenuto è stato condiviso o messo a disposizione del pubblico, indicando il fuso orario corrispondente,</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le seguenti informazioni sull'utente che ha condiviso il contenuto con altri utenti o lo ha reso disponibile al pubblico:</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il nome utente e,</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se disponibile, l'ultimo indirizzo IP utilizzato in relazione al fornitore di social network, compresi il numero di porta e l'ora dell'ultimo accesso, indicando il fuso orario corrispondente."</w:t>
      </w:r>
    </w:p>
    <w:p w14:paraId="60139EDD" w14:textId="77777777" w:rsidR="002C5C85" w:rsidRPr="001355C5" w:rsidRDefault="006945A0" w:rsidP="008A1C13">
      <w:pPr>
        <w:pStyle w:val="NummerierungStufe2"/>
      </w:pPr>
      <w:r>
        <w:t>Si aggiunge quale nuovo paragrafo 8:</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Le autorità di contrasto possono, ai fini di una discussione generale con i fornitori di social network sull'applicazione dei paragrafi da 1 a 7, trattare i dati personali necessari a tal fine in forma pseudonimizzata".</w:t>
      </w:r>
    </w:p>
    <w:p w14:paraId="1EC0B3D6" w14:textId="77777777" w:rsidR="007068D4" w:rsidRPr="001355C5" w:rsidRDefault="003A6658" w:rsidP="007068D4">
      <w:pPr>
        <w:pStyle w:val="NummerierungStufe1"/>
      </w:pPr>
      <w:r>
        <w:lastRenderedPageBreak/>
        <w:t>Prima del paragrafo 4 sono inserite le seguenti sezioni da 3b a 3f:</w:t>
      </w:r>
    </w:p>
    <w:p w14:paraId="61BFE1F2" w14:textId="77777777" w:rsidR="007068D4" w:rsidRPr="001355C5" w:rsidRDefault="007068D4" w:rsidP="00E53355">
      <w:pPr>
        <w:pStyle w:val="RevisionParagraphBezeichnermanuell"/>
        <w:ind w:left="425" w:hanging="75"/>
        <w:rPr>
          <w:color w:val="auto"/>
        </w:rPr>
      </w:pPr>
      <w:r>
        <w:rPr>
          <w:color w:val="auto"/>
        </w:rPr>
        <w:t>"Articolo 3b</w:t>
      </w:r>
    </w:p>
    <w:p w14:paraId="194BEC84" w14:textId="77777777" w:rsidR="00222B8C" w:rsidRPr="001355C5" w:rsidRDefault="00222B8C" w:rsidP="00E53355">
      <w:pPr>
        <w:pStyle w:val="RevisionParagraphberschrift"/>
        <w:ind w:left="425"/>
        <w:rPr>
          <w:color w:val="auto"/>
        </w:rPr>
      </w:pPr>
      <w:r>
        <w:rPr>
          <w:color w:val="auto"/>
        </w:rPr>
        <w:t>Procedura di ricorso</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Il fornitore di una rete sociale mantiene una procedura efficace e trasparente a norma del paragrafo 2, che consente sia al ricorrente che all'utente per il quale il contenuto reclamato è stato salvato di rivedere una decisione di rimuovere o bloccare l'accesso a un contenuto (decisione originaria) adottate in risposta a un reclamo relativo a contenuti illeciti; si applica un‘eccezione nei casi di cui all'articolo 3, paragrafo 2, frase 1, punto 3, lettera b).</w:t>
      </w:r>
      <w:bookmarkStart w:id="24" w:name="DQPErrorScope07558994FA2BBF877D1F8241434"/>
      <w:bookmarkEnd w:id="23"/>
      <w:r>
        <w:rPr>
          <w:color w:val="auto"/>
        </w:rPr>
        <w:t xml:space="preserve">Il riesame è richiesto solo se il ricorrente o l'utente per il quale il contenuto contestato è stato archiviato presenta una richiesta di riesame, motivata, entro due settimane dalle informazioni sulla decisione iniziale (impugnazione). A tal fine, il fornitore del social network deve fornire una procedura facilmente riconoscibile che consenta un facile contatto elettronico e la comunicazione diretta con esso. </w:t>
      </w:r>
      <w:bookmarkEnd w:id="24"/>
      <w:r>
        <w:rPr>
          <w:color w:val="auto"/>
        </w:rPr>
        <w:t>I mezzi di contatto devono essere indicati anche nelle informazioni di cui all'articolo 3, paragrafo 2, comma 1, punto 5, lettera b).</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La procedura di cui al paragrafo 1, frase 1, garantisce che il fornitore di reti sociali,</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nel caso in cui intenda porre rimedio al ricorso, informa immediatamente l'utente del contenuto del ricorso in caso di ricorso da parte del ricorrente, informa immediatamente il ricorrente del contenuto del ricorso in caso di ricorso da parte dell'utente e fornisce all'utente nel primo caso e al ricorrente nel secondo la possibilità di rilasciare una dichiarazione entro un termine ragionevole,</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sottolinea che il contenuto della dichiarazione dell’utente può essere trasmesso al ricorrente e che il contenuto della dichiarazione del ricorrente può essere trasmesso all'utente;</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sottopone immediatamente la sua decisione iniziale a un riesame da parte di una persona che non era coinvolta nella decisione iniziale,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comunica senza indugio la sua decisione di riesame al ricorrente e all'utente e ne motiva caso per caso, nei casi in cui il ricorrente e l'utente non intervengano in alcun modo, solo nella misura in cui sono già stati coinvolti nella procedura di ricorso, e</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garantisce che le identità del ricorrente e dell'utente non siano divulgate nel corso della procedura.</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A meno che la decisione di rimuovere o disabilitare l'accesso ai contenuti non sia basata su un reclamo relativo a contenuti illeciti, i paragrafi 1 e 2 si applicano mutatis mutandis. Se la decisione si basa su un reclamo relativo al contenuto di un terzo, la persona che ha trasmesso il reclamo al fornitore della rete sociale prende il posto del ricorrente. In deroga al paragrafo 2, comma 3, non è necessario che il riesame sia effettuato da una persona non coinvolta nella decisione iniziale. </w:t>
      </w:r>
      <w:bookmarkStart w:id="25" w:name="DQPErrorScopeE57447843F5BAB62D772EAE93DA"/>
      <w:r>
        <w:rPr>
          <w:color w:val="auto"/>
        </w:rPr>
        <w:t>In deroga al paragrafo 1, frase 2, la revisione a norma della frase 1 non è richiesta se il contenuto è riconoscibile come una comunicazione commerciale chiaramente indesiderata o una comunicazione commerciale che viola i termini e le condizioni generali del fornitore, condivisa dall'utente con altri utenti in un gran numero di casi o è stata resa accessibile al pubblico e il ricorso non ha ovviamente alcuna prospettiva di successo.</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Resta impregiudicato il diritto di agire in giudizio.</w:t>
      </w:r>
    </w:p>
    <w:p w14:paraId="61869D73" w14:textId="77777777" w:rsidR="004420C8" w:rsidRPr="001355C5" w:rsidRDefault="004420C8" w:rsidP="00E53355">
      <w:pPr>
        <w:pStyle w:val="RevisionParagraphBezeichnermanuell"/>
        <w:ind w:left="425"/>
        <w:rPr>
          <w:color w:val="auto"/>
        </w:rPr>
      </w:pPr>
      <w:r>
        <w:rPr>
          <w:color w:val="auto"/>
        </w:rPr>
        <w:lastRenderedPageBreak/>
        <w:t>Articolo 3c</w:t>
      </w:r>
    </w:p>
    <w:p w14:paraId="04533C71" w14:textId="77777777" w:rsidR="002B001F" w:rsidRPr="001355C5" w:rsidRDefault="002B001F" w:rsidP="00E53355">
      <w:pPr>
        <w:pStyle w:val="RevisionParagraphberschrift"/>
        <w:ind w:left="425"/>
        <w:rPr>
          <w:color w:val="auto"/>
        </w:rPr>
      </w:pPr>
      <w:r>
        <w:rPr>
          <w:color w:val="auto"/>
        </w:rPr>
        <w:t>Arbitrato</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L'autorità amministrativa di cui all’articolo 4 può riconoscere le organizzazioni di diritto privato come organi arbitrali per la risoluzione extragiudiziale delle controversie tra ricorrenti o utenti per i quali i contenuti contestati sono stati salvati e i fornitori di reti sociali sulle decisioni adottate conformemente all'articolo 3, paragrafo 2, frase 1 da punto 1 a 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Un organismo di diritto privato deve essere riconosciuto come organo arbitrale ai sensi del paragrafo 1 se</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il suo promotore è una persona giuridica,</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con sede in uno Stato membro dell'Unione europea o in un altro Stato parte dell'accordo sullo Spazio economico europeo al quale si applica la direttiva 2010/13/UE,</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che è destinato ad essere permanente, e</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il cui finanziamento è assicurato,</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siano garantite l'indipendenza, l'imparzialità e la competenza di coloro che devono essere coinvolti nell'arbitrato,</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siano garantite le loro attrezzature adeguate e il trattamento tempestivo delle procedure arbitrali,</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dispone di norme arbitrali che disciplinano i dettagli della procedura di arbitrato e la sua competenza e che consente una procedura di arbitrato semplice, poco costosa, non vincolante ed equa alla quale possono partecipare il fornitore di reti sociali, il ricorrente e l'utente per il quale i contenuti contestati sono stati salvati,</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è garantito che il pubblico sia costantemente informato della disponibilità e della competenza dell'organismo arbitrale e dello svolgimento della procedura di arbitrato, comprese le regole sull'arbitrato.</w:t>
      </w:r>
    </w:p>
    <w:p w14:paraId="4D53200C" w14:textId="77777777" w:rsidR="006432C7" w:rsidRPr="001355C5" w:rsidRDefault="006432C7" w:rsidP="00E53355">
      <w:pPr>
        <w:pStyle w:val="RevisionJuristischerAbsatzFolgeabsatz"/>
        <w:ind w:left="425"/>
        <w:rPr>
          <w:color w:val="auto"/>
        </w:rPr>
      </w:pPr>
      <w:r>
        <w:rPr>
          <w:color w:val="auto"/>
        </w:rPr>
        <w:t>L'articolo 3, paragrafo 7, punti 2 e 3 e i paragrafi da 8 a 10 si applicano di conseguenza.</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I denuncianti e gli utenti per i quali il contenuto contestato è stato salvato possono chiamare un organo arbitrale nell'ambito della loro competenza se è stata precedentemente effettuata una procedura di ricorso ai sensi dell’articolo 3b o la decisione di cui all'articolo 3, paragrafo 6, comma 3 è stata riesaminata e il fornitore di reti sociali partecipa all'arbitrato da questo organismo di arbitrato in generale o in singoli casi. </w:t>
      </w:r>
      <w:bookmarkStart w:id="27" w:name="DQPErrorScopeFF0F7104CBD94FC2C8D85EC1C4F"/>
      <w:bookmarkEnd w:id="26"/>
      <w:r>
        <w:rPr>
          <w:color w:val="auto"/>
        </w:rPr>
        <w:t xml:space="preserve">Se il fornitore prende parte all'arbitrato, può trasmettere all'organo arbitrale il contenuto contestato, le informazioni </w:t>
      </w:r>
      <w:r>
        <w:rPr>
          <w:rStyle w:val="RevisionText"/>
          <w:color w:val="auto"/>
        </w:rPr>
        <w:t>sul momento della condivisione o della fornitura del contenuto e l’entità della diffusione</w:t>
      </w:r>
      <w:r>
        <w:rPr>
          <w:color w:val="auto"/>
        </w:rPr>
        <w:t xml:space="preserve">, nonché i contenuti in connessione riconoscibile con il contenuto, se ciò è necessario per la procedura di arbitrato; in caso di ricorso all'organismo arbitrale da parte del ricorrente, potranno essere trasmessi i dati di contatto dell'utente per il quale è stato salvato il contenuto contestato e, in caso di ricorso all'organismo arbitrale da parte dell'utente per il quale il contenuto contestato è stato salvato, possono anche essere trasmessi i dati di recapito del ricorrente. </w:t>
      </w:r>
      <w:bookmarkEnd w:id="27"/>
      <w:r>
        <w:rPr>
          <w:rStyle w:val="RevisionText"/>
          <w:color w:val="auto"/>
        </w:rPr>
        <w:t>L'organismo arbitrale è autorizzato a trattare i dati personali pertinenti se ciò è necessario per la procedura di arbitrato; è esclusa la divulgazione dei dati personali del ricorrente e dell'utente per il quale sono stati salvati i contenuti contestati.</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lastRenderedPageBreak/>
        <w:t xml:space="preserve">La partecipazione alle procedure arbitrali è volontaria. Resta impregiudicato il diritto di adire i tribunali. La </w:t>
      </w:r>
      <w:bookmarkStart w:id="28" w:name="DQPErrorScopeCA95913401EB617EF752D152E14"/>
      <w:r>
        <w:rPr>
          <w:color w:val="auto"/>
        </w:rPr>
        <w:t>legge sulla risoluzione delle controversie in materia di consumatori</w:t>
      </w:r>
      <w:bookmarkEnd w:id="28"/>
      <w:r>
        <w:rPr>
          <w:color w:val="auto"/>
        </w:rPr>
        <w:t xml:space="preserve"> del 19 febbraio 2016 (Gazzetta ufficiale federale I, pag. 254, 1039), come modificato dall'articolo 1 della legge del 30 novembre 2019 (Gazzetta ufficiale federale I, pag. 1942), non è applicabile.</w:t>
      </w:r>
    </w:p>
    <w:p w14:paraId="3F8F1C63" w14:textId="77777777" w:rsidR="000125D5" w:rsidRPr="002D1297" w:rsidRDefault="000125D5" w:rsidP="00E53355">
      <w:pPr>
        <w:pStyle w:val="RevisionParagraphBezeichnermanuell"/>
        <w:ind w:left="425"/>
        <w:rPr>
          <w:color w:val="auto"/>
        </w:rPr>
      </w:pPr>
      <w:r>
        <w:rPr>
          <w:color w:val="auto"/>
        </w:rPr>
        <w:t>Articolo 3d</w:t>
      </w:r>
    </w:p>
    <w:p w14:paraId="7040D56F" w14:textId="77777777" w:rsidR="000125D5" w:rsidRPr="001355C5" w:rsidRDefault="006D22CC" w:rsidP="00E53355">
      <w:pPr>
        <w:pStyle w:val="RevisionParagraphberschrift"/>
        <w:ind w:left="425"/>
        <w:rPr>
          <w:color w:val="auto"/>
        </w:rPr>
      </w:pPr>
      <w:r>
        <w:rPr>
          <w:color w:val="auto"/>
        </w:rPr>
        <w:t>Definizioni per i servizi della piattaforma di condivisione video</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Ai fini della presente legge:</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i servizi della piattaforma di condivisione video sono</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Telemedia, il cui scopo principale o una funzione importante è rendere accessibili al pubblico le trasmissioni o i video generati dagli utenti per i quali il fornitore di servizi non ha alcuna responsabilità editoriale, in cui il fornitore di servizi determina l'organizzazione delle trasmissioni o dei video generati dagli utenti, anche con mezzi automatici,</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parti separabili dei Telemedia, se la parte separabile ha lo scopo principale di cui alla lettera a),</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un video generato dall'utente è una sequenza di immagini in movimento con o senza suono creato da un utente che, indipendentemente dalla sua lunghezza, costituisce parte integrante e che viene caricata su un servizio di piattaforma di condivisione video da questo o da un altro utente,</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una trasmissione è una sequenza di immagini in movimento con o senza suono che, indipendentemente dalla sua lunghezza, è parte integrante di un piano di trasmissione o di un catalogo creato da un fornitore di servizi,</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uno Stato membro è qualsiasi Stato membro dell'Unione europea e qualsiasi altro Stato parte dell'accordo sullo Spazio economico europeo cui si applica la direttiva 2010/13/UE,</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una società madre è una società che controlla una o più controllate;</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una controllata è una società controllata direttamente o indirettamente da una società madre;</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un gruppo è l'insieme di una società madre, di tutte le sue controllate e di tutte le altre società che sono collegate economicamente e legalmente alla società madre e alle sue controllate.</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Ai fini della presente legge, il domicilio di un fornitore di un servizio di piattaforma per la condivisione di video è lo Stato membro nel cui territorio è stabilito il fornitore. Se un fornitore di servizi di piattaforma per la condivisione di video non è stabilito nel territorio di uno Stato membro, lo Stato membro è il paese di domicilio nel cui territorio</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una società madre o una controllata del fornitore, o</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un'altra società di un gruppo di cui fa parte il fornitore,</w:t>
      </w:r>
    </w:p>
    <w:p w14:paraId="3AC701E4" w14:textId="77777777" w:rsidR="00494DCB" w:rsidRPr="001355C5" w:rsidRDefault="00A76F3C" w:rsidP="00E53355">
      <w:pPr>
        <w:pStyle w:val="RevisionJuristischerAbsatzFolgeabsatz"/>
        <w:ind w:left="425"/>
        <w:rPr>
          <w:color w:val="auto"/>
        </w:rPr>
      </w:pPr>
      <w:r>
        <w:rPr>
          <w:color w:val="auto"/>
        </w:rPr>
        <w:t>è stabilito.</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lastRenderedPageBreak/>
        <w:t xml:space="preserve">Se, nei casi di cui al paragrafo 2, secondo periodo, la società madre, la controllata o le altre società del gruppo sono stabilite in Stati membri diversi, il fornitore si considera stabilito nello Stato membro in cui ha sede la sua società madre o, in mancanza di tale stabilimento, è considerato stabilito nello Stato membro in cui è stabilita la sua controllata o, in mancanza di tale stabilimento, nello Stato membro in cui è stabilita l'altra società del gruppo. </w:t>
      </w:r>
      <w:bookmarkEnd w:id="29"/>
      <w:r>
        <w:rPr>
          <w:color w:val="auto"/>
        </w:rPr>
        <w:t>Se vi sono più filiali e ciascuna di queste filiali è stabilita in uno Stato membro diverso, il fornitore si considera stabilito nello Stato membro in cui una delle filiali ha iniziato a operare per primo, a condizione che la filiale sia permanente e di fatto collegata all'economia di tale Stato membro. Se vi sono diverse altre società che fanno parte del gruppo, ciascuna delle quali è stabilita in uno Stato membro diverso, il fornitore si considera stabilito nello Stato membro in cui una di queste società è stata avviata per la prima volta, a condizione che vi sia un collegamento permanente e fattuale con l'economia di tale Stato membro.</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In caso di controversie tra l'autorità amministrativa di cui all’articolo 4 e un'autorità di un altro Stato membro in merito al domicilio di un fornitore di servizi di piattaforma per la condivisione di video, l'autorità amministrativa di cui all’articolo 4 ne informa immediatamente la Commissione europea.</w:t>
      </w:r>
    </w:p>
    <w:p w14:paraId="65B64238" w14:textId="77777777" w:rsidR="000A5E86" w:rsidRPr="001355C5" w:rsidRDefault="000A5E86" w:rsidP="00E53355">
      <w:pPr>
        <w:pStyle w:val="RevisionParagraphBezeichnermanuell"/>
        <w:ind w:left="425"/>
        <w:rPr>
          <w:color w:val="auto"/>
        </w:rPr>
      </w:pPr>
      <w:r>
        <w:rPr>
          <w:color w:val="auto"/>
        </w:rPr>
        <w:t>Articolo 3e</w:t>
      </w:r>
    </w:p>
    <w:p w14:paraId="1C1753AF" w14:textId="77777777" w:rsidR="000A5E86" w:rsidRPr="001355C5" w:rsidRDefault="00092488" w:rsidP="00E53355">
      <w:pPr>
        <w:pStyle w:val="RevisionParagraphberschrift"/>
        <w:ind w:left="425"/>
        <w:rPr>
          <w:color w:val="auto"/>
        </w:rPr>
      </w:pPr>
      <w:r>
        <w:rPr>
          <w:color w:val="auto"/>
        </w:rPr>
        <w:t>Disposizioni applicabili ai servizi della piattaforma di condivisione video</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La presente legge si applica ai fornitori di servizi di piattaforma di condivisione video, salvo diversa indicazione dei paragrafi 2 e 3.</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Per i fornitori di servizi di piattaforma di condivisione video che hanno meno di due milioni di utenti registrati in Germania, la presente legge si applica solo se la Repubblica federale di Germania è il paese di domicilio o è considerata il paese di domicilio ai sensi dell'articolo 3d, paragrafi 2 e 3. La presente legge si applica loro solo per quanto riguarda i video e le trasmissioni generati dagli utenti ai sensi dell'articolo 3d, paragrafo 1, punti 2 e 3, che presentano contenuti che soddisfano i criteri per un reato di cui agli articoli 111, 130, paragrafi 1 o 2, agli articoli 131, 140, 166 o 184b del Codice penale e non è giustificato. In deroga all'articolo 1, paragrafo 2, tali fornitori di servizi di piattaforma di condivisione video sono esentati dagli obblighi di cui all'articolo 2, articolo 3, paragrafo 2, frase 1, punti 3 e 4, nonché al paragrafo 4 e all’articolo 3a.</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Per quanto riguarda i video e le trasmissioni generati dagli utenti di cui al paragrafo 2, frase 2, gli obblighi di cui agli articoli 2, 3 e 3b si applicano solo ai fornitori di servizi di piattaforma di condivisione video per i quali uno Stato membro diverso dalla Repubblica federale di Germania è o è considerato il paese di domicilio ai sensi dell'articolo 3d, paragrafi 2 e 3, sulla base e nell'ambito di un'ordinanza dell'autorità di cui all'articolo 4. </w:t>
      </w:r>
      <w:bookmarkStart w:id="31" w:name="DQPErrorScopeBDF1949485EA6F0E446600D58EB"/>
      <w:bookmarkEnd w:id="30"/>
      <w:r>
        <w:rPr>
          <w:color w:val="auto"/>
        </w:rPr>
        <w:t xml:space="preserve">L'ordinanza può essere emessa solo nella misura in cui le condizioni di cui all'articolo 3, paragrafo 5, della legge sui Telemedia del 26 febbraio 2007 (Gazzetta ufficiale federale I, pag. 179), come da ultimo modificato dall'articolo 12 della legge del 30 marzo 2021 (Gazzetta ufficiale federale I, pag. 448), siano soddisfatte nella versione vigente e nel rispetto degli adempimenti procedurali richiesti di conseguenza. </w:t>
      </w:r>
      <w:bookmarkEnd w:id="31"/>
      <w:r>
        <w:rPr>
          <w:color w:val="auto"/>
        </w:rPr>
        <w:t>L'autorità amministrativa di cui all'articolo 4 può incaricare un organismo di verificare se siano soddisfatte le condizioni di cui all'articolo 3, paragrafo 5, frase 1, della legge sui Telemedia.</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Se la presente legge si applica al fornitore di un servizio di piattaforma di condivisione di video a norma dei paragrafi da 1 a 3 per quanto riguarda i video e le trasmissioni generati dagli utenti di cui al paragrafo 2, frase 2, esso è tenuto a raggiungere un accordo effettivo con i suoi utenti sul divieto della distribuzione dei video e delle trasmissioni generati dagli utenti di cui al paragrafo 2, frase 2.</w:t>
      </w:r>
      <w:bookmarkEnd w:id="32"/>
    </w:p>
    <w:p w14:paraId="55AC470D" w14:textId="77777777" w:rsidR="007418C8" w:rsidRPr="001355C5" w:rsidRDefault="007418C8" w:rsidP="00E53355">
      <w:pPr>
        <w:pStyle w:val="RevisionParagraphBezeichnermanuell"/>
        <w:ind w:left="425"/>
        <w:rPr>
          <w:color w:val="auto"/>
        </w:rPr>
      </w:pPr>
      <w:r>
        <w:rPr>
          <w:color w:val="auto"/>
        </w:rPr>
        <w:lastRenderedPageBreak/>
        <w:t>Articolo 3f</w:t>
      </w:r>
    </w:p>
    <w:p w14:paraId="4D2E9790" w14:textId="77777777" w:rsidR="007418C8" w:rsidRPr="001355C5" w:rsidRDefault="007418C8" w:rsidP="00E53355">
      <w:pPr>
        <w:pStyle w:val="RevisionParagraphberschrift"/>
        <w:ind w:left="425"/>
        <w:rPr>
          <w:color w:val="auto"/>
        </w:rPr>
      </w:pPr>
      <w:r>
        <w:rPr>
          <w:color w:val="auto"/>
        </w:rPr>
        <w:t>Arbitrato ufficiale per controversie con servizi di piattaforma di condivisione video</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Presso l'autorità amministrativa di cui al paragrafo 4 è istituito un organo arbitrale ufficiale. </w:t>
      </w:r>
      <w:bookmarkStart w:id="33" w:name="DQPErrorScopeE92CF804F62B9CE832E9F29632C"/>
      <w:r>
        <w:rPr>
          <w:color w:val="auto"/>
        </w:rPr>
        <w:t xml:space="preserve">L'organo arbitrale ufficiale esiste per la risoluzione extragiudiziale delle controversie con i fornitori di servizi di piattaforma di condivisione video per quanto riguarda le decisioni di cui all'articolo 3, paragrafo 2, frase 1, punti da 1 a 3 riguardanti la presenza di video e trasmissioni generati dagli utenti che hanno contenuti che soddisfano i criteri per un reato di cui all'articolo 3e, paragrafo 2, frase 2, non è giustificato. </w:t>
      </w:r>
      <w:bookmarkStart w:id="34" w:name="DQPErrorScope36716444AD4BE67878A909DAB58"/>
      <w:bookmarkEnd w:id="33"/>
      <w:r>
        <w:rPr>
          <w:color w:val="auto"/>
        </w:rPr>
        <w:t>L'organo arbitrale ufficiale è responsabile solo per le controversie con i fornitori di servizi di piattaforma di condivisione video in cui la Repubblica federale di Germania è, o è considerata essere, il paese di domicilio ai sensi dell'articolo 3d, paragrafo 2, e solo se il fornitore non lo fa partecipare alle procedure arbitrali da parte di un organo arbitrale riconosciuto ai sensi dell'articolo 3c, paragrafo 1 o se nessun organismo di diritto privato è riconosciuto come organo arbitrale ai sensi dell'articolo 3c, paragrafo 1.</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I requisiti dell'articolo 3c, paragrafo 2, frase 1, punti da 2 a 5, nonché dell'articolo 3, paragrafo 9 e articolo 3c, paragrafi 3 e 4, si applicano all'organo arbitrale ufficiale di conseguenza.</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L'organo arbitrale ufficiale può addebitare spese per lo svolgimento della procedura arbitrale, che devono essere precisate nel loro regolamento arbitrale".</w:t>
      </w:r>
    </w:p>
    <w:p w14:paraId="1C58FB43" w14:textId="77777777" w:rsidR="007068D4" w:rsidRPr="001355C5" w:rsidRDefault="009545A0" w:rsidP="007068D4">
      <w:pPr>
        <w:pStyle w:val="NummerierungStufe1"/>
      </w:pPr>
      <w:r>
        <w:t>L'articolo</w:t>
      </w:r>
      <w:bookmarkStart w:id="35" w:name="eNV_C9F55B4BE97741478F2249B607AE3168_1"/>
      <w:bookmarkEnd w:id="35"/>
      <w:r>
        <w:t> 4 è modificato come segue:</w:t>
      </w:r>
    </w:p>
    <w:p w14:paraId="1CAC0552" w14:textId="77777777" w:rsidR="005468C2" w:rsidRPr="001355C5" w:rsidRDefault="005468C2" w:rsidP="009545A0">
      <w:pPr>
        <w:pStyle w:val="NummerierungStufe2"/>
      </w:pPr>
      <w:r>
        <w:t>Il paragrafo 1 è così modificato:</w:t>
      </w:r>
    </w:p>
    <w:p w14:paraId="0E54D550" w14:textId="77777777" w:rsidR="00CA1C39" w:rsidRPr="001355C5" w:rsidRDefault="00CA1C39" w:rsidP="00CA1C39">
      <w:pPr>
        <w:pStyle w:val="NummerierungStufe3"/>
      </w:pPr>
      <w:r>
        <w:t xml:space="preserve">Al punto 2, le parole </w:t>
      </w:r>
      <w:r>
        <w:rPr>
          <w:rStyle w:val="RevisionText"/>
          <w:color w:val="auto"/>
        </w:rPr>
        <w:t>“o articolo 3b, paragrafo 1, frase 1”</w:t>
      </w:r>
      <w:r>
        <w:t xml:space="preserve"> sono inserite dopo le parole </w:t>
      </w:r>
      <w:r>
        <w:rPr>
          <w:rStyle w:val="RevisionText"/>
          <w:color w:val="auto"/>
        </w:rPr>
        <w:t>“sentenza 1”</w:t>
      </w:r>
      <w:r>
        <w:t xml:space="preserve"> e le parole </w:t>
      </w:r>
      <w:r>
        <w:rPr>
          <w:rStyle w:val="RevisionText"/>
          <w:color w:val="auto"/>
        </w:rPr>
        <w:t>“o per un riesame di una decisione”</w:t>
      </w:r>
      <w:r>
        <w:t xml:space="preserve"> sono inserite dopo la parola </w:t>
      </w:r>
      <w:r>
        <w:rPr>
          <w:rStyle w:val="RevisionText"/>
          <w:color w:val="auto"/>
        </w:rPr>
        <w:t>“hanno”</w:t>
      </w:r>
      <w:r>
        <w:t>.</w:t>
      </w:r>
    </w:p>
    <w:p w14:paraId="67880C37" w14:textId="77777777" w:rsidR="00E94ACD" w:rsidRPr="001355C5" w:rsidRDefault="00E94ACD" w:rsidP="00092488">
      <w:pPr>
        <w:pStyle w:val="NummerierungStufe3"/>
      </w:pPr>
      <w:r>
        <w:t xml:space="preserve">Al punto 3, dopo le parole </w:t>
      </w:r>
      <w:r>
        <w:rPr>
          <w:rStyle w:val="RevisionText"/>
          <w:color w:val="auto"/>
        </w:rPr>
        <w:t>“frase 2”</w:t>
      </w:r>
      <w:r>
        <w:t xml:space="preserve">, sono inserite le parole </w:t>
      </w:r>
      <w:r>
        <w:rPr>
          <w:rStyle w:val="RevisionText"/>
          <w:color w:val="auto"/>
        </w:rPr>
        <w:t>“o articolo 3b, paragrafo 1, frase 3”</w:t>
      </w:r>
      <w:r>
        <w:t>.</w:t>
      </w:r>
    </w:p>
    <w:p w14:paraId="694995FC" w14:textId="77777777" w:rsidR="005468C2" w:rsidRPr="001355C5" w:rsidRDefault="005468C2" w:rsidP="00092488">
      <w:pPr>
        <w:pStyle w:val="NummerierungStufe3"/>
      </w:pPr>
      <w:bookmarkStart w:id="36" w:name="DQPErrorScopeE72DC994AA48B802F2C16A30F0D"/>
      <w:r>
        <w:t>Il punto 6a diventa il punto 7.</w:t>
      </w:r>
      <w:bookmarkEnd w:id="36"/>
    </w:p>
    <w:p w14:paraId="470BD5FD" w14:textId="77777777" w:rsidR="005468C2" w:rsidRPr="001355C5" w:rsidRDefault="005468C2" w:rsidP="00092488">
      <w:pPr>
        <w:pStyle w:val="NummerierungStufe3"/>
      </w:pPr>
      <w:bookmarkStart w:id="37" w:name="DQPErrorScopeCB774C2457AB3DE6B781A62FB20"/>
      <w:r>
        <w:t>I precedenti punti 7 e 8 diventano i nuovi punti 8 e 9.</w:t>
      </w:r>
      <w:bookmarkEnd w:id="37"/>
    </w:p>
    <w:p w14:paraId="2C1D24E7" w14:textId="77777777" w:rsidR="000E1AD4" w:rsidRPr="001355C5" w:rsidRDefault="000E1AD4" w:rsidP="009545A0">
      <w:pPr>
        <w:pStyle w:val="NummerierungStufe2"/>
      </w:pPr>
      <w:r>
        <w:t xml:space="preserve">Al paragrafo 2, comma 1, i termini </w:t>
      </w:r>
      <w:r>
        <w:rPr>
          <w:rStyle w:val="RevisionText"/>
          <w:color w:val="auto"/>
        </w:rPr>
        <w:t>"punti 7 e 8"</w:t>
      </w:r>
      <w:r>
        <w:t xml:space="preserve"> sono sostituiti dai termini </w:t>
      </w:r>
      <w:r>
        <w:rPr>
          <w:rStyle w:val="RevisionText"/>
          <w:color w:val="auto"/>
        </w:rPr>
        <w:t>"punti 8 e 9"</w:t>
      </w:r>
      <w:r>
        <w:t>.</w:t>
      </w:r>
    </w:p>
    <w:p w14:paraId="751D6B29" w14:textId="77777777" w:rsidR="00AD2CA4" w:rsidRPr="001355C5" w:rsidRDefault="00AD2CA4" w:rsidP="00AD2CA4">
      <w:pPr>
        <w:pStyle w:val="NummerierungStufe1"/>
      </w:pPr>
      <w:r>
        <w:t>D</w:t>
      </w:r>
      <w:bookmarkStart w:id="38" w:name="eNV_E6DE02647D4D48EA8EC2D351BB8C0943_1"/>
      <w:bookmarkEnd w:id="38"/>
      <w:r>
        <w:t>opo l’articolo 4, è inserito il seguente articolo 4a:</w:t>
      </w:r>
    </w:p>
    <w:p w14:paraId="04A4FB69" w14:textId="77777777" w:rsidR="00AD2CA4" w:rsidRPr="001355C5" w:rsidRDefault="00AD2CA4" w:rsidP="00E53355">
      <w:pPr>
        <w:pStyle w:val="RevisionParagraphBezeichnermanuell"/>
        <w:ind w:left="425" w:hanging="75"/>
        <w:rPr>
          <w:color w:val="auto"/>
        </w:rPr>
      </w:pPr>
      <w:r>
        <w:rPr>
          <w:color w:val="auto"/>
        </w:rPr>
        <w:t>"Articolo 4a</w:t>
      </w:r>
    </w:p>
    <w:p w14:paraId="484D93D5" w14:textId="77777777" w:rsidR="00AD2CA4" w:rsidRPr="001355C5" w:rsidRDefault="00AD2CA4" w:rsidP="00E53355">
      <w:pPr>
        <w:pStyle w:val="RevisionParagraphberschrift"/>
        <w:ind w:left="425"/>
        <w:rPr>
          <w:color w:val="auto"/>
        </w:rPr>
      </w:pPr>
      <w:r>
        <w:rPr>
          <w:color w:val="auto"/>
        </w:rPr>
        <w:t>Vigilanza</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L'autorità amministrativa di cui all’articolo 4 controlla il rispetto delle disposizioni della presente legge.</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 xml:space="preserve">Se l'autorità amministrativa di cui al § 4 stabilisce che un fornitore di social network ha violato o sta violando le disposizioni della presente legge, essa adotterà le misure necessarie nei confronti del fornitore. In particolare, può imporre al fornitore di porre rimedio alla violazione. L'articolo 4, paragrafo 5, si applica mutatis mutandis, a </w:t>
      </w:r>
      <w:r>
        <w:rPr>
          <w:color w:val="auto"/>
        </w:rPr>
        <w:lastRenderedPageBreak/>
        <w:t>condizione che sia competente il tribunale che deciderà in merito all'opposizione a un’ammenda amministrativa</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Nel procedimento amministrativo di cui al paragrafo 2, il fornitore di reti sociali fornisce all'autorità amministrativa di cui all’articolo 4 su sua richiesta informazioni sulle misure adottate per attuare la presente legge, sul numero di utenti registrati in Germania e sui reclami relativi a contenuti illeciti ricevuti nell'ultimo anno solare; i rappresentanti del fornitore, nonché nel caso di persone giuridiche, società e associazioni prive di personalità giuridica, i soggetti nominati per legge o per statuto, sono tenuti a comunicare le informazioni richieste per conto della società. </w:t>
      </w:r>
      <w:bookmarkEnd w:id="39"/>
      <w:r>
        <w:rPr>
          <w:color w:val="auto"/>
        </w:rPr>
        <w:t>La richiesta di informazioni deve essere proporzionata. Se le persone fisiche sono obbligate a cooperare ai sensi della frase 1, devono anche rivelare fatti che possono dar luogo a un'azione penale per un reato o un illecito amministrativo se è altrimenti difficile o improbabile ottenere le informazioni. Tuttavia, le informazioni fornite da una persona fisica ai sensi della frase 1 possono essere utilizzate solo nei procedimenti penali o nei procedimenti previsti dal Codice degli illeciti amministrativi contro detta persona o uno dei parenti di cui all'articolo 383, paragrafi da 1 a 3, del Codice di procedura civile con il consenso di tale persona. Le informazioni fornite ai sensi della frase 1 possono essere utilizzate nei confronti del fornitore solo nei procedimenti per la fissazione di un’ammenda pecuniaria ai sensi dell'articolo 30 del Codice degli illeciti amministrativi con il consenso del fornitore o della persona che le ha fornite a seguito del loro obbligo di cui alla frase 1.</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I testimoni sono tenuti a testimoniare nel procedimento amministrativo di cui al paragrafo 2. Il testimone può rifiutarsi di rivelare in caso di domande che, se risolte, pongano il testimone stesso o uno dei parenti di cui all'articolo 383, paragrafo 1, punti da 1 a 3, del Codice di procedura civile a rischio di procedimenti penali o di procedimenti ai sensi del Codice degli illeciti amministrativi. In caso contrario, si applicano di conseguenza le disposizioni del Codice di procedura civile relative all'obbligo di testimoniare. L'autorità amministrativa di cui all’articolo 4 deve informare il testimone del suo diritto di rifiutare di testimoniare prima dell'udienza".</w:t>
      </w:r>
    </w:p>
    <w:p w14:paraId="4340EFAD" w14:textId="77777777" w:rsidR="00AD2CA4" w:rsidRPr="001355C5" w:rsidRDefault="00AD2CA4" w:rsidP="006945A0">
      <w:pPr>
        <w:pStyle w:val="NummerierungStufe1"/>
      </w:pPr>
      <w:r>
        <w:t>L'articolo </w:t>
      </w:r>
      <w:bookmarkStart w:id="40" w:name="eNV_04FF9BB8F8AA4AA7A9BF1B042E4A5062_1"/>
      <w:bookmarkEnd w:id="40"/>
      <w:r>
        <w:t xml:space="preserve"> 5 è modificato come segue:</w:t>
      </w:r>
    </w:p>
    <w:p w14:paraId="2D379F88" w14:textId="77777777" w:rsidR="00AD2CA4" w:rsidRPr="001355C5" w:rsidRDefault="00AD2CA4" w:rsidP="00AD2CA4">
      <w:pPr>
        <w:pStyle w:val="NummerierungStufe2"/>
      </w:pPr>
      <w:r>
        <w:t>L</w:t>
      </w:r>
      <w:bookmarkStart w:id="41" w:name="eNV_FE6D31F203874E4C8EEC616DEBA99F3C_1"/>
      <w:bookmarkEnd w:id="41"/>
      <w:r>
        <w:t>a seconda e la terza frase del primo paragrafo recitano come segue:</w:t>
      </w:r>
    </w:p>
    <w:p w14:paraId="49EFFC86" w14:textId="77777777" w:rsidR="00AA3DB5" w:rsidRPr="001355C5" w:rsidRDefault="00AA3DB5" w:rsidP="00E53355">
      <w:pPr>
        <w:pStyle w:val="RevisionJuristischerAbsatzFolgeabsatz"/>
        <w:ind w:left="850"/>
        <w:rPr>
          <w:bCs/>
          <w:color w:val="auto"/>
        </w:rPr>
      </w:pPr>
      <w:r>
        <w:rPr>
          <w:color w:val="auto"/>
        </w:rPr>
        <w:t>"Le consegne possono essere loro effettuate nei procedimenti relativi alle ammende e nei procedimenti di controllo ai sensi degli articoli 4 e 4a o nei procedimenti giudiziari dinanzi ai tribunali tedeschi sulla base della diffusione o dell'accettazione ingiustificata della diffusione di contenuti illeciti, in particolare nei casi in cui sia richiesta la reintegrazione dei contenuti rimossi o bloccati. Ciò vale anche per la consegna di documenti che avviano tali procedimenti, per la pronuncia di decisioni giudiziarie definitive e per le consegne nell'ambito di procedimenti di esecuzione o di attuazione".</w:t>
      </w:r>
    </w:p>
    <w:p w14:paraId="16B76B89" w14:textId="77777777" w:rsidR="00AA3DB5" w:rsidRPr="001355C5" w:rsidRDefault="00AA3DB5" w:rsidP="00AA3DB5">
      <w:pPr>
        <w:pStyle w:val="NummerierungStufe2"/>
      </w:pPr>
      <w:r>
        <w:t>I</w:t>
      </w:r>
      <w:bookmarkStart w:id="42" w:name="eNV_9291AE4B799844E98739D68DE9F55F7C_1"/>
      <w:bookmarkEnd w:id="42"/>
      <w:r>
        <w:t>l paragrafo 2 è modificato come segue:</w:t>
      </w:r>
    </w:p>
    <w:p w14:paraId="15A52BDB" w14:textId="77777777" w:rsidR="00AA3DB5" w:rsidRPr="001355C5" w:rsidRDefault="00AA3DB5" w:rsidP="00AA3DB5">
      <w:pPr>
        <w:pStyle w:val="NummerierungStufe3"/>
      </w:pPr>
      <w:r>
        <w:t>A</w:t>
      </w:r>
      <w:bookmarkStart w:id="43" w:name="eNV_C9EC0596544E46D7A0B4712CAE7C00B0_1"/>
      <w:bookmarkEnd w:id="43"/>
      <w:r>
        <w:t xml:space="preserve">lla frase 1, le parole </w:t>
      </w:r>
      <w:r>
        <w:rPr>
          <w:rStyle w:val="RevisionText"/>
          <w:color w:val="auto"/>
        </w:rPr>
        <w:t>"verso l'autorità amministrativa di cui all’articolo 4”</w:t>
      </w:r>
      <w:r>
        <w:t xml:space="preserve"> sono inserite dopo il termine </w:t>
      </w:r>
      <w:r>
        <w:rPr>
          <w:rStyle w:val="RevisionText"/>
          <w:color w:val="auto"/>
        </w:rPr>
        <w:t>"nazionale"</w:t>
      </w:r>
      <w:r>
        <w:t>.</w:t>
      </w:r>
    </w:p>
    <w:p w14:paraId="7C90362A" w14:textId="77777777" w:rsidR="00AA3DB5" w:rsidRPr="001355C5" w:rsidRDefault="00CE291E" w:rsidP="00AA3DB5">
      <w:pPr>
        <w:pStyle w:val="NummerierungStufe3"/>
      </w:pPr>
      <w:r>
        <w:t>Sono a</w:t>
      </w:r>
      <w:bookmarkStart w:id="44" w:name="eNV_CD5A7E96D5134342A11A35189CB5E6D5_1"/>
      <w:bookmarkEnd w:id="44"/>
      <w:r>
        <w:t>ggiunte le seguenti frasi:</w:t>
      </w:r>
    </w:p>
    <w:p w14:paraId="437ADFA5" w14:textId="77777777" w:rsidR="00F86A78" w:rsidRPr="001355C5" w:rsidRDefault="00AA3DB5" w:rsidP="00E53355">
      <w:pPr>
        <w:pStyle w:val="RevisionJuristischerAbsatzFolgeabsatz"/>
        <w:ind w:left="1276"/>
        <w:rPr>
          <w:bCs/>
          <w:color w:val="auto"/>
        </w:rPr>
      </w:pPr>
      <w:r>
        <w:rPr>
          <w:color w:val="auto"/>
        </w:rPr>
        <w:t>"L'autorità amministrativa di cui all'articolo 4 tiene un elenco dei destinatari autorizzati. Essa fornisce, su richiesta, informazioni al riguardo alle autorità nazionali incaricate dell'applicazione della legge."</w:t>
      </w:r>
    </w:p>
    <w:p w14:paraId="5BE2967B" w14:textId="77777777" w:rsidR="000235A5" w:rsidRPr="001355C5" w:rsidRDefault="000235A5" w:rsidP="008A1C13">
      <w:pPr>
        <w:pStyle w:val="NummerierungStufe1"/>
      </w:pPr>
      <w:r>
        <w:t>Successivamente all'articolo 5 si inserisce il seguente articolo 5a:</w:t>
      </w:r>
    </w:p>
    <w:p w14:paraId="1EB3C8D9" w14:textId="77777777" w:rsidR="000235A5" w:rsidRPr="001355C5" w:rsidRDefault="000235A5" w:rsidP="000235A5">
      <w:pPr>
        <w:pStyle w:val="RevisionParagraphBezeichnermanuell"/>
        <w:ind w:left="425" w:hanging="75"/>
        <w:rPr>
          <w:color w:val="auto"/>
        </w:rPr>
      </w:pPr>
      <w:r>
        <w:rPr>
          <w:color w:val="auto"/>
        </w:rPr>
        <w:lastRenderedPageBreak/>
        <w:t>"Articolo 5a</w:t>
      </w:r>
    </w:p>
    <w:p w14:paraId="722CF057" w14:textId="77777777" w:rsidR="000235A5" w:rsidRPr="001355C5" w:rsidRDefault="000235A5" w:rsidP="000235A5">
      <w:pPr>
        <w:pStyle w:val="RevisionParagraphberschrift"/>
        <w:ind w:left="425"/>
        <w:rPr>
          <w:color w:val="auto"/>
        </w:rPr>
      </w:pPr>
      <w:r>
        <w:rPr>
          <w:color w:val="auto"/>
        </w:rPr>
        <w:t>Informazioni per la ricerca scientifica</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Ai fini della presente disposizione, per ricercatore si intende qualsiasi persona fisica o giuridica che svolge ricerca scientifica.</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Un ricercatore può richiedere informazioni qualificate da un fornitore di reti sociali circa:</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l'uso e il funzionamento specifico delle procedure di rilevamento automatico dei contenuti da rimuovere o bloccare, in particolare la natura e la portata delle tecnologie utilizzate e le finalità, i criteri e i parametri della loro programmazione, nonché i dati utilizzati,</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la diffusione di contenuti che sono stati oggetto di reclami per contenuti illegali o che sono stati rimossi o bloccati dal fornitore, in particolare i contenuti in questione, nonché le informazioni sugli utenti che hanno interagito con tali contenuti e sulle modalità di tali interazioni.</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Le informazioni di cui al paragrafo 2 possono essere richieste solo nella misura in cui sono necessarie per progetti di ricerca scientifica di interesse pubblico sulla natura, la portata, le cause e gli effetti della comunicazione pubblica nelle reti sociali e il modo in cui i fornitori la gestiscono.</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Le informazioni possono essere fornite solo se il ricercatore presenta un piano di protezione al fornitore della rete sociale. Il concetto di protezione comprende</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una descrizione delle informazioni richieste ai fini della ricerca di cui al paragrafo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una descrizione dell'uso previsto delle informazioni,</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una descrizione delle misure adottate per impedire qualsiasi altro uso delle informazioni,</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una descrizione delle precauzioni adottate per tutelare i legittimi interessi del prestatore, e</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una descrizione delle precauzioni adottate per proteggere gli interessi legittimi del fornitore, e</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Il fornitore di una rete sociale può rifiutarsi di fornire informazioni se</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 xml:space="preserve">i suoi interessi legittimi sono considerevolmente superiori all'interesse pubblico della ricerca, o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gli interessi legittimi delle persone interessate sono danneggiati e l'interesse pubblico della ricerca non è superiore all'interesse alla segretezza delle persone interessate.</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Il fornitore della rete sociale può trasmettere i seguenti dati personali allo scopo di fornire informazioni in conformità con il paragrafo 2:</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i contenuti diffusi,</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i reclami per contenuti illegali,</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lastRenderedPageBreak/>
        <w:t>i nomi utente dei soggetti coinvolti nella diffusione,</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le circostanze delle interazioni dei partecipanti alla diffusione riguardo ai rispettivi contenuti, e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i dati di formazione delle procedure di rilevamento automatico dei contenuti da rimuovere o bloccare, così come informazioni su modalità di funzionamento, scopi, criteri e parametri per la programmazione di tali procedure.</w:t>
      </w:r>
    </w:p>
    <w:p w14:paraId="101C9DCB" w14:textId="77777777" w:rsidR="000235A5" w:rsidRPr="001355C5" w:rsidRDefault="000235A5" w:rsidP="000235A5">
      <w:pPr>
        <w:pStyle w:val="RevisionJuristischerAbsatzFolgeabsatz"/>
        <w:ind w:left="425"/>
        <w:rPr>
          <w:color w:val="auto"/>
        </w:rPr>
      </w:pPr>
      <w:r>
        <w:rPr>
          <w:color w:val="auto"/>
        </w:rPr>
        <w:t>I dati sono trasmessi in forma anonima o, quantomeno, pseudonomizzata, nella misura in cui ciò è possibile senza compromettere lo scopo della ricerca.</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Il ricercatore può trattare i dati esclusivamente ai fini dei progetti di ricerca scientifica di cui al paragrafo 3. Nella misura in cui il trattamento dei dati concerne categorie particolari di dati ai sensi dell'articolo 9, paragrafo 1,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(GU L 119 del 4.5.2016, pag. 1; L 314 del 22.11.2016, pag. 72; L 127 del 23.5.2018, pag. 2), nella relativa versione vigente, il ricercatore prevede a tal fine misure adeguate e specifiche per salvaguardare gli interessi della persona interessata ai sensi dell'articolo 22, paragrafo 2, frase 2, della legge federale sulla protezione dei dati. Oltre alle misure ivi menzionate, i dati sono resi anonimi ai sensi dell'articolo 9, paragrafo 1, del regolamento (UE) 2016/679 non appena ciò sia possibile in base allo scopo della ricerca. </w:t>
      </w:r>
      <w:bookmarkEnd w:id="46"/>
      <w:r>
        <w:rPr>
          <w:color w:val="auto"/>
        </w:rPr>
        <w:t xml:space="preserve"> Qualsiasi altro requisito di protezione dei dati rimane invariato.</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Il fornitore di una rete sociale ha diritto a un rimborso ragionevole da parte del ricercatore delle spese sostenute per fornire le informazioni ai sensi del paragrafo 2. Nel determinare il livello appropriato di tali costi, si deve tenere presente che non devono essere così elevati da costituire un ostacolo sostanziale all'esercizio del diritto all'informazione. Si applica per analogia l'articolo 287, paragrafo 1, del codice di procedura civile. Le spese ammissibili possono corrispondere a un importo massimo di 5.000 euro, salvo quanto previsto dalla frase 5. Tale importo può essere superato solo se il fornitore ha sostenuto spese eccezionalmente elevate per fornire le informazioni. In seguito alla presentazione del piano di protezione in conformità con il paragrafo 4, il ricercatore può richiedere al fornitore di presentare un preventivo a titolo gratuito entro un periodo di tempo ragionevole."</w:t>
      </w:r>
      <w:bookmarkEnd w:id="48"/>
    </w:p>
    <w:p w14:paraId="2077EF98" w14:textId="77777777" w:rsidR="006945A0" w:rsidRPr="001355C5" w:rsidRDefault="006945A0" w:rsidP="008A1C13">
      <w:pPr>
        <w:pStyle w:val="NummerierungStufe1"/>
      </w:pPr>
      <w:r>
        <w:t>All’articolo 6 sono aggiunti i seguenti paragrafi da 3 a 6:</w:t>
      </w:r>
    </w:p>
    <w:p w14:paraId="342F4B26" w14:textId="12F59198"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w:t>
      </w:r>
      <w:r w:rsidR="0020083C">
        <w:rPr>
          <w:color w:val="auto"/>
        </w:rPr>
        <w:t>(</w:t>
      </w:r>
      <w:r>
        <w:rPr>
          <w:color w:val="auto"/>
        </w:rPr>
        <w:t>3</w:t>
      </w:r>
      <w:r w:rsidR="0020083C">
        <w:rPr>
          <w:color w:val="auto"/>
        </w:rPr>
        <w:t>)</w:t>
      </w:r>
      <w:r>
        <w:rPr>
          <w:color w:val="auto"/>
        </w:rPr>
        <w:tab/>
        <w:t>Per le relazioni che coprono periodi fino al 31 dicembre 2021 incluso, si applica l’articolo 2 della legge sul miglioramento dell'applicazione della legge nelle reti sociali del 1º settembre 2017 (Gazzetta ufficiale federale I, pag. 3352).</w:t>
      </w:r>
      <w:bookmarkEnd w:id="49"/>
    </w:p>
    <w:p w14:paraId="1562BBBC" w14:textId="1C8C209A" w:rsidR="006945A0" w:rsidRPr="001355C5" w:rsidRDefault="0020083C" w:rsidP="00E53355">
      <w:pPr>
        <w:pStyle w:val="RevisionJuristischerAbsatzmanuell"/>
        <w:tabs>
          <w:tab w:val="clear" w:pos="850"/>
          <w:tab w:val="left" w:pos="1275"/>
        </w:tabs>
        <w:ind w:left="425"/>
        <w:rPr>
          <w:color w:val="auto"/>
        </w:rPr>
      </w:pPr>
      <w:r>
        <w:rPr>
          <w:color w:val="auto"/>
        </w:rPr>
        <w:t>(</w:t>
      </w:r>
      <w:r w:rsidR="006945A0">
        <w:rPr>
          <w:color w:val="auto"/>
        </w:rPr>
        <w:t>4</w:t>
      </w:r>
      <w:r>
        <w:rPr>
          <w:color w:val="auto"/>
        </w:rPr>
        <w:t>)</w:t>
      </w:r>
      <w:r w:rsidR="006945A0">
        <w:rPr>
          <w:color w:val="auto"/>
        </w:rPr>
        <w:tab/>
        <w:t>La relazione di cui all'articolo 3, paragrafo 9, deve essere presentata inizialmente entro il 31 luglio 2022.</w:t>
      </w:r>
    </w:p>
    <w:p w14:paraId="07C8E75A" w14:textId="052BA1D3" w:rsidR="006945A0" w:rsidRPr="001355C5" w:rsidRDefault="0020083C" w:rsidP="00E53355">
      <w:pPr>
        <w:pStyle w:val="RevisionJuristischerAbsatzmanuell"/>
        <w:tabs>
          <w:tab w:val="clear" w:pos="850"/>
          <w:tab w:val="left" w:pos="1275"/>
        </w:tabs>
        <w:ind w:left="425"/>
        <w:rPr>
          <w:color w:val="auto"/>
        </w:rPr>
      </w:pPr>
      <w:bookmarkStart w:id="50" w:name="DQPErrorScope047B7994111A0D42104BD1C45D6"/>
      <w:r>
        <w:rPr>
          <w:color w:val="auto"/>
        </w:rPr>
        <w:t>(</w:t>
      </w:r>
      <w:r w:rsidR="006945A0">
        <w:rPr>
          <w:color w:val="auto"/>
        </w:rPr>
        <w:t>5</w:t>
      </w:r>
      <w:r>
        <w:rPr>
          <w:color w:val="auto"/>
        </w:rPr>
        <w:t>)</w:t>
      </w:r>
      <w:r w:rsidR="006945A0">
        <w:rPr>
          <w:color w:val="auto"/>
        </w:rPr>
        <w:tab/>
        <w:t>Per gli organismi di autoregolamentazione regolamentata già riconosciuti il 28 giugno 2021, l'articolo 3, paragrafo 6, punto 3, si applica fino alla fine del 2022, come modificato dalla legge sul miglioramento dell'applicazione della legge nelle reti sociali del 1º settembre 2017 (Gazzetta ufficiale federale I, pag. 3352).</w:t>
      </w:r>
      <w:bookmarkEnd w:id="50"/>
    </w:p>
    <w:p w14:paraId="4160292F" w14:textId="70371086" w:rsidR="006945A0" w:rsidRPr="001355C5" w:rsidRDefault="0020083C" w:rsidP="00E53355">
      <w:pPr>
        <w:pStyle w:val="RevisionJuristischerAbsatzmanuell"/>
        <w:tabs>
          <w:tab w:val="clear" w:pos="850"/>
          <w:tab w:val="left" w:pos="1275"/>
        </w:tabs>
        <w:ind w:left="425"/>
        <w:rPr>
          <w:color w:val="auto"/>
        </w:rPr>
      </w:pPr>
      <w:r>
        <w:rPr>
          <w:color w:val="auto"/>
        </w:rPr>
        <w:t>(</w:t>
      </w:r>
      <w:r w:rsidR="006945A0">
        <w:rPr>
          <w:color w:val="auto"/>
        </w:rPr>
        <w:t>6</w:t>
      </w:r>
      <w:r>
        <w:rPr>
          <w:color w:val="auto"/>
        </w:rPr>
        <w:t>)</w:t>
      </w:r>
      <w:r w:rsidR="006945A0">
        <w:rPr>
          <w:color w:val="auto"/>
        </w:rPr>
        <w:tab/>
        <w:t>Per i fornitori che non sono fornitori di servizi di piattaforma di condivisione video, l’articolo 3b si applica solo a decorrere dal 1º ottobre 2021. Nel caso dei fornitori di servizi di piattaforma di condivisione video, l’articolo 3b si applica solo a decorrere dal 1º ottobre 2021 per quanto riguarda i contenuti che non sono video o trasmissioni generati dall'utente."</w:t>
      </w:r>
    </w:p>
    <w:p w14:paraId="2118C079" w14:textId="440D3807" w:rsidR="00455A86" w:rsidRPr="001355C5" w:rsidRDefault="00B61AA0" w:rsidP="00B61AA0">
      <w:pPr>
        <w:pStyle w:val="ArtikelBezeichner"/>
        <w:numPr>
          <w:ilvl w:val="0"/>
          <w:numId w:val="0"/>
        </w:numPr>
      </w:pPr>
      <w:r>
        <w:lastRenderedPageBreak/>
        <w:t>Articolo 2</w:t>
      </w:r>
    </w:p>
    <w:p w14:paraId="4D9CB7F9" w14:textId="77777777" w:rsidR="00455A86" w:rsidRPr="001355C5" w:rsidRDefault="00455A86" w:rsidP="00455A86">
      <w:pPr>
        <w:pStyle w:val="Artikelberschrift"/>
      </w:pPr>
      <w:r>
        <w:t>M</w:t>
      </w:r>
      <w:bookmarkStart w:id="51" w:name="eNV_75EECEE39F6042299F02C89BB83ABA93_1"/>
      <w:bookmarkEnd w:id="51"/>
      <w:r>
        <w:t>odifica alla legge sui Telemedia</w:t>
      </w:r>
    </w:p>
    <w:p w14:paraId="104AB961" w14:textId="56887D9A" w:rsidR="00455A86" w:rsidRPr="001355C5" w:rsidRDefault="00AC2CB9" w:rsidP="00FA30F0">
      <w:pPr>
        <w:pStyle w:val="JuristischerAbsatznichtnummeriert"/>
      </w:pPr>
      <w:r>
        <w:t>L'articolo 14 della legge sulla registrazione delle persone del 26 febbraio 2007 (Gazzetta ufficiale federale I, pag. 179), modificata da ultimo dall'articolo 12 della legge del 30 marzo 2021 (Gazzetta ufficiale federale I, pag. 448,1380), è modificato come segue:</w:t>
      </w:r>
    </w:p>
    <w:p w14:paraId="1DB683A0" w14:textId="77777777" w:rsidR="00FF2EC1" w:rsidRPr="001355C5" w:rsidRDefault="00FF2EC1" w:rsidP="00FF2EC1">
      <w:pPr>
        <w:pStyle w:val="NummerierungStufe1"/>
      </w:pPr>
      <w:r>
        <w:t>Al paragrafo 3 è aggiunta la frase seguente:</w:t>
      </w:r>
    </w:p>
    <w:p w14:paraId="7DE44C3D" w14:textId="77777777" w:rsidR="00FF2EC1" w:rsidRPr="001355C5" w:rsidRDefault="00FF2EC1" w:rsidP="00065020">
      <w:pPr>
        <w:pStyle w:val="RevisionJuristischerAbsatzFolgeabsatz"/>
        <w:ind w:left="425"/>
        <w:rPr>
          <w:color w:val="auto"/>
        </w:rPr>
      </w:pPr>
      <w:r>
        <w:rPr>
          <w:color w:val="auto"/>
        </w:rPr>
        <w:t>“In tal senso, egli è tenuto a fornire informazioni alla parte lesa".</w:t>
      </w:r>
    </w:p>
    <w:p w14:paraId="3A4DCC6D" w14:textId="77777777" w:rsidR="00FF2EC1" w:rsidRPr="001355C5" w:rsidRDefault="00FF2EC1" w:rsidP="005D706D">
      <w:pPr>
        <w:pStyle w:val="NummerierungStufe1"/>
      </w:pPr>
      <w:r>
        <w:t>Dopo il paragrafo 4, frase 1 è inserita la seguente frase:</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Il tribunale decide anche sull'obbligo di fornire informazioni, a meno che la richiesta non sia espressamente limitata a ordinare l'ammissibilità delle informazioni.</w:t>
      </w:r>
      <w:r>
        <w:rPr>
          <w:rStyle w:val="RevisionText"/>
          <w:color w:val="auto"/>
        </w:rPr>
        <w:t>'</w:t>
      </w:r>
    </w:p>
    <w:p w14:paraId="3490D74B" w14:textId="1817ADD9" w:rsidR="008157F4" w:rsidRDefault="00B61AA0" w:rsidP="00B61AA0">
      <w:pPr>
        <w:pStyle w:val="ArtikelBezeichner"/>
        <w:numPr>
          <w:ilvl w:val="0"/>
          <w:numId w:val="0"/>
        </w:numPr>
      </w:pPr>
      <w:r>
        <w:t>Articolo 3</w:t>
      </w:r>
    </w:p>
    <w:p w14:paraId="33A01610" w14:textId="77777777" w:rsidR="008157F4" w:rsidRDefault="008157F4" w:rsidP="008157F4">
      <w:pPr>
        <w:pStyle w:val="Artikelberschrift"/>
      </w:pPr>
      <w:r>
        <w:t>Modifica della legge sulla lotta contro l'estremismo di destra e i reati di odio</w:t>
      </w:r>
    </w:p>
    <w:p w14:paraId="1F7B3809" w14:textId="77777777" w:rsidR="008157F4" w:rsidRDefault="008157F4" w:rsidP="008157F4">
      <w:pPr>
        <w:pStyle w:val="JuristischerAbsatznichtnummeriert"/>
      </w:pPr>
      <w:r>
        <w:t>L'articolo 7, paragrafo 1, lettera b, e paragrafo 2, della legge sulla lotta contro l'estremismo di destra e i reati di odio del 30 marzo 2021 (Gazzetta ufficiale federale I, pag. 441), come modificato dall'articolo 15 della legge del 30 marzo 2021 (Gazzetta ufficiale federale I, pag. 448), è abrogato.</w:t>
      </w:r>
    </w:p>
    <w:p w14:paraId="55216B0A" w14:textId="14079E9E" w:rsidR="006945A0" w:rsidRPr="006945A0" w:rsidRDefault="00B61AA0" w:rsidP="00B61AA0">
      <w:pPr>
        <w:pStyle w:val="ArtikelBezeichner"/>
        <w:numPr>
          <w:ilvl w:val="0"/>
          <w:numId w:val="0"/>
        </w:numPr>
      </w:pPr>
      <w:r>
        <w:t>Articolo 4</w:t>
      </w:r>
    </w:p>
    <w:p w14:paraId="7E143A31" w14:textId="77777777" w:rsidR="006945A0" w:rsidRPr="006945A0" w:rsidRDefault="006945A0" w:rsidP="008A1C13">
      <w:pPr>
        <w:pStyle w:val="Artikelberschrift"/>
      </w:pPr>
      <w:r>
        <w:t>Entrata in vigore</w:t>
      </w:r>
    </w:p>
    <w:p w14:paraId="690968A7" w14:textId="29B2BF15" w:rsidR="006945A0" w:rsidRDefault="00065020" w:rsidP="0040116B">
      <w:pPr>
        <w:pStyle w:val="JuristischerAbsatznummeriert"/>
      </w:pPr>
      <w:r>
        <w:t>La presente legge entra in vigore il 28 giugno 2021, fatti salvi i paragrafi 2 e 3.</w:t>
      </w:r>
    </w:p>
    <w:p w14:paraId="2900BC71" w14:textId="228CA322" w:rsidR="008157F4" w:rsidRPr="006945A0" w:rsidRDefault="00065020" w:rsidP="0040116B">
      <w:pPr>
        <w:pStyle w:val="JuristischerAbsatznummeriert"/>
      </w:pPr>
      <w:r>
        <w:t>L'articolo 1, paragrafo 3, lettera b, doppia lettera bb, articolo 3, paragrafo 2, comma 5, della legge sul miglioramento dell'applicazione della legge nelle reti sociali entra in vigore il 1º ottobre 2021.</w:t>
      </w:r>
    </w:p>
    <w:p w14:paraId="1C49F280" w14:textId="77777777" w:rsidR="006945A0" w:rsidRPr="006945A0" w:rsidRDefault="006945A0" w:rsidP="0040116B">
      <w:pPr>
        <w:pStyle w:val="JuristischerAbsatznummeriert"/>
      </w:pPr>
      <w:r>
        <w:t>Il 1° febbraio 2022 entrano in vigore:</w:t>
      </w:r>
    </w:p>
    <w:p w14:paraId="5BE8DBDC" w14:textId="77777777" w:rsidR="006945A0" w:rsidRDefault="00065020" w:rsidP="0040116B">
      <w:pPr>
        <w:pStyle w:val="NummerierungStufe1"/>
      </w:pPr>
      <w:r>
        <w:t>l’articolo 1, paragrafo 4;</w:t>
      </w:r>
    </w:p>
    <w:p w14:paraId="0F476C14" w14:textId="77777777" w:rsidR="00065020" w:rsidRPr="006945A0" w:rsidRDefault="00065020" w:rsidP="0040116B">
      <w:pPr>
        <w:pStyle w:val="NummerierungStufe1"/>
      </w:pPr>
      <w:r>
        <w:t>l’articolo 1, paragrafo 6, lettera a, doppia lettera cc e dd e punto b, e</w:t>
      </w:r>
    </w:p>
    <w:p w14:paraId="1354F279" w14:textId="496FF371" w:rsidR="006945A0" w:rsidRDefault="00065020" w:rsidP="008A1C13">
      <w:pPr>
        <w:pStyle w:val="NummerierungStufe1"/>
      </w:pPr>
      <w:r>
        <w:t>l’articolo 1, paragrafo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I diritti del Bundesrat ai sensi della Costituzione sono preservati.</w:t>
      </w:r>
    </w:p>
    <w:p w14:paraId="6630C8D5" w14:textId="21074584" w:rsidR="00524B83" w:rsidRPr="00524B83" w:rsidRDefault="00524B83" w:rsidP="00524B83">
      <w:pPr>
        <w:pStyle w:val="JuristischerAbsatzFolgeabsatz"/>
      </w:pPr>
      <w:r>
        <w:t>La legge sopra stipulata è eseguita. Essa è pubblicata nella Gazzetta ufficiale federale.</w:t>
      </w:r>
    </w:p>
    <w:p w14:paraId="789581D2" w14:textId="77777777" w:rsidR="00524B83" w:rsidRPr="00B61AA0" w:rsidRDefault="00524B83" w:rsidP="00524B83">
      <w:pPr>
        <w:pStyle w:val="JuristischerAbsatzFolgeabsatz"/>
      </w:pPr>
      <w:r>
        <w:lastRenderedPageBreak/>
        <w:t>Berlino, 3 giugno 2021</w:t>
      </w:r>
    </w:p>
    <w:p w14:paraId="1AA24B74" w14:textId="77777777" w:rsidR="00524B83" w:rsidRPr="00D87CEB" w:rsidRDefault="00524B83" w:rsidP="00524B83">
      <w:pPr>
        <w:pStyle w:val="JuristischerAbsatzFolgeabsatz"/>
        <w:jc w:val="center"/>
        <w:rPr>
          <w:spacing w:val="50"/>
        </w:rPr>
      </w:pPr>
      <w:r w:rsidRPr="00D87CEB">
        <w:rPr>
          <w:spacing w:val="50"/>
        </w:rPr>
        <w:t>Il Presidente Federale</w:t>
      </w:r>
    </w:p>
    <w:p w14:paraId="5F3565D9" w14:textId="77777777" w:rsidR="00524B83" w:rsidRPr="00D87CEB" w:rsidRDefault="00524B83" w:rsidP="00524B83">
      <w:pPr>
        <w:pStyle w:val="JuristischerAbsatzFolgeabsatz"/>
        <w:jc w:val="center"/>
        <w:rPr>
          <w:spacing w:val="50"/>
        </w:rPr>
      </w:pPr>
      <w:r w:rsidRPr="00D87CEB">
        <w:rPr>
          <w:spacing w:val="50"/>
        </w:rPr>
        <w:t>Steinmeier</w:t>
      </w:r>
    </w:p>
    <w:p w14:paraId="1E912554" w14:textId="77777777" w:rsidR="00524B83" w:rsidRPr="00D87CEB" w:rsidRDefault="00524B83" w:rsidP="00524B83">
      <w:pPr>
        <w:pStyle w:val="JuristischerAbsatzFolgeabsatz"/>
        <w:jc w:val="center"/>
        <w:rPr>
          <w:spacing w:val="50"/>
        </w:rPr>
      </w:pPr>
      <w:r w:rsidRPr="00D87CEB">
        <w:rPr>
          <w:spacing w:val="50"/>
        </w:rPr>
        <w:t>Il Cancelliere federale</w:t>
      </w:r>
    </w:p>
    <w:p w14:paraId="4151C5C8" w14:textId="77777777" w:rsidR="00524B83" w:rsidRPr="00D87CEB" w:rsidRDefault="00524B83" w:rsidP="00524B83">
      <w:pPr>
        <w:pStyle w:val="JuristischerAbsatzFolgeabsatz"/>
        <w:jc w:val="center"/>
        <w:rPr>
          <w:spacing w:val="50"/>
        </w:rPr>
      </w:pPr>
      <w:r w:rsidRPr="00D87CEB">
        <w:rPr>
          <w:spacing w:val="50"/>
        </w:rPr>
        <w:t>Dott.ssa Angela Merkel</w:t>
      </w:r>
    </w:p>
    <w:p w14:paraId="791D6152" w14:textId="77777777" w:rsidR="00524B83" w:rsidRPr="00D87CEB" w:rsidRDefault="00524B83" w:rsidP="00524B83">
      <w:pPr>
        <w:pStyle w:val="JuristischerAbsatzFolgeabsatz"/>
        <w:jc w:val="center"/>
        <w:rPr>
          <w:spacing w:val="50"/>
        </w:rPr>
      </w:pPr>
      <w:r w:rsidRPr="00D87CEB">
        <w:rPr>
          <w:spacing w:val="50"/>
        </w:rPr>
        <w:t>Il Ministro federale</w:t>
      </w:r>
    </w:p>
    <w:p w14:paraId="772B748E" w14:textId="77777777" w:rsidR="00524B83" w:rsidRPr="00D87CEB" w:rsidRDefault="00524B83" w:rsidP="00524B83">
      <w:pPr>
        <w:pStyle w:val="JuristischerAbsatzFolgeabsatz"/>
        <w:jc w:val="center"/>
        <w:rPr>
          <w:spacing w:val="50"/>
        </w:rPr>
      </w:pPr>
      <w:r w:rsidRPr="00D87CEB">
        <w:rPr>
          <w:spacing w:val="50"/>
        </w:rPr>
        <w:t>per la giustizia e la tutela dei consumatori</w:t>
      </w:r>
    </w:p>
    <w:p w14:paraId="4D3A1799" w14:textId="59236FD5" w:rsidR="00524B83" w:rsidRPr="00D87CEB" w:rsidRDefault="00524B83" w:rsidP="00524B83">
      <w:pPr>
        <w:pStyle w:val="JuristischerAbsatzFolgeabsatz"/>
        <w:jc w:val="center"/>
        <w:rPr>
          <w:spacing w:val="50"/>
        </w:rPr>
      </w:pPr>
      <w:r w:rsidRPr="00D87CEB">
        <w:rPr>
          <w:spacing w:val="50"/>
        </w:rPr>
        <w:t>Christine Lambrecht</w:t>
      </w:r>
    </w:p>
    <w:sectPr w:rsidR="00524B83" w:rsidRPr="00D87CEB"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6A24" w14:textId="77777777" w:rsidR="00852344" w:rsidRDefault="00852344" w:rsidP="005D1540">
      <w:pPr>
        <w:spacing w:before="0" w:after="0"/>
      </w:pPr>
      <w:r>
        <w:separator/>
      </w:r>
    </w:p>
  </w:endnote>
  <w:endnote w:type="continuationSeparator" w:id="0">
    <w:p w14:paraId="67162B71" w14:textId="77777777" w:rsidR="00852344" w:rsidRDefault="00852344"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FB49" w14:textId="77777777" w:rsidR="00852344" w:rsidRDefault="00852344" w:rsidP="005D1540">
      <w:pPr>
        <w:spacing w:before="0" w:after="0"/>
      </w:pPr>
      <w:r>
        <w:separator/>
      </w:r>
    </w:p>
  </w:footnote>
  <w:footnote w:type="continuationSeparator" w:id="0">
    <w:p w14:paraId="2F9CEEE0" w14:textId="77777777" w:rsidR="00852344" w:rsidRDefault="00852344"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Il presente atto serve ad attuare la direttiva (UE) 2018/1808 del Parlamento europeo e del Consiglio, del 14 novembre 2018, che modifica la direttiva 2010/13/UE relativa al coordinamento di determinate disposizioni legislative, regolamentari e amministrative degli Stati membri concernenti la fornitura di servizi di media audiovisivi (direttiva sui servizi di media audiovisivi) alla luce delle mutevoli realtà del mercato (GU L 303 del 28.11.2018, pag. 69).</w:t>
      </w:r>
    </w:p>
  </w:footnote>
  <w:footnote w:id="2">
    <w:p w14:paraId="50BC2B1B" w14:textId="77777777" w:rsidR="00861858" w:rsidRDefault="00861858">
      <w:pPr>
        <w:pStyle w:val="Fotnotstext"/>
      </w:pPr>
      <w:r>
        <w:rPr>
          <w:rStyle w:val="Fotnotsreferens"/>
        </w:rPr>
        <w:footnoteRef/>
      </w:r>
      <w:r>
        <w:tab/>
        <w:t>Notificato ai sensi della direttiva (UE) 2015/1535 del Parlamento europeo e del Consiglio, del 9 settembre 2015, che prevede una procedura d'informazione nel settore delle regolamentazioni tecniche e delle regole relative ai servizi della società dell'informazione (GU L 241 del 17.9.2015, pag.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Ultimo aggiornamento: 17 giugno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Versione: 17 giugno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083C"/>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2344"/>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7E1"/>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87CEB"/>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8</TotalTime>
  <Pages>14</Pages>
  <Words>5899</Words>
  <Characters>31268</Characters>
  <Application>Microsoft Office Word</Application>
  <DocSecurity>0</DocSecurity>
  <Lines>260</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13</cp:revision>
  <cp:lastPrinted>2021-01-19T16:21:00Z</cp:lastPrinted>
  <dcterms:created xsi:type="dcterms:W3CDTF">2021-06-14T09:43:00Z</dcterms:created>
  <dcterms:modified xsi:type="dcterms:W3CDTF">2022-01-03T20:57:00Z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