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8A4" w:rsidRPr="00C928F9" w:rsidRDefault="001B58A4" w:rsidP="001B58A4">
      <w:pPr>
        <w:autoSpaceDE w:val="0"/>
        <w:autoSpaceDN w:val="0"/>
        <w:adjustRightInd w:val="0"/>
        <w:spacing w:line="360" w:lineRule="auto"/>
        <w:jc w:val="center"/>
        <w:rPr>
          <w:rFonts w:ascii="Courier New" w:eastAsia="Times New Roman" w:hAnsi="Courier New" w:cs="Courier New"/>
          <w:sz w:val="20"/>
        </w:rPr>
      </w:pPr>
      <w:bookmarkStart w:id="0" w:name="_GoBack"/>
      <w:bookmarkEnd w:id="0"/>
      <w:r>
        <w:rPr>
          <w:rFonts w:ascii="Courier New" w:hAnsi="Courier New"/>
          <w:sz w:val="20"/>
        </w:rPr>
        <w:t>1. ------IND- 2019 0346 F-- HU- ------ 20190725 --- --- PROJET</w:t>
      </w:r>
    </w:p>
    <w:tbl>
      <w:tblPr>
        <w:tblW w:w="0" w:type="auto"/>
        <w:tblInd w:w="57" w:type="dxa"/>
        <w:tblLayout w:type="fixed"/>
        <w:tblCellMar>
          <w:top w:w="57" w:type="dxa"/>
          <w:left w:w="57" w:type="dxa"/>
          <w:bottom w:w="57" w:type="dxa"/>
          <w:right w:w="57" w:type="dxa"/>
        </w:tblCellMar>
        <w:tblLook w:val="04A0" w:firstRow="1" w:lastRow="0" w:firstColumn="1" w:lastColumn="0" w:noHBand="0" w:noVBand="1"/>
      </w:tblPr>
      <w:tblGrid>
        <w:gridCol w:w="1527"/>
        <w:gridCol w:w="968"/>
        <w:gridCol w:w="1487"/>
      </w:tblGrid>
      <w:tr w:rsidR="00014AE2" w:rsidRPr="00327313" w:rsidTr="00014AE2">
        <w:trPr>
          <w:cantSplit/>
        </w:trPr>
        <w:tc>
          <w:tcPr>
            <w:tcW w:w="3982" w:type="dxa"/>
            <w:gridSpan w:val="3"/>
            <w:hideMark/>
          </w:tcPr>
          <w:p w:rsidR="00014AE2" w:rsidRPr="00327313" w:rsidRDefault="00014AE2">
            <w:pPr>
              <w:pStyle w:val="SNREPUBLIQUE"/>
            </w:pPr>
            <w:r>
              <w:t>FRANCIA KÖZTÁRSASÁG</w:t>
            </w:r>
          </w:p>
        </w:tc>
      </w:tr>
      <w:tr w:rsidR="00014AE2" w:rsidRPr="00327313" w:rsidTr="00014AE2">
        <w:trPr>
          <w:cantSplit/>
          <w:trHeight w:hRule="exact" w:val="113"/>
        </w:trPr>
        <w:tc>
          <w:tcPr>
            <w:tcW w:w="1527" w:type="dxa"/>
          </w:tcPr>
          <w:p w:rsidR="00014AE2" w:rsidRPr="00327313" w:rsidRDefault="00014AE2">
            <w:pPr>
              <w:snapToGrid w:val="0"/>
              <w:rPr>
                <w:rFonts w:cs="Tahoma"/>
              </w:rPr>
            </w:pPr>
          </w:p>
        </w:tc>
        <w:tc>
          <w:tcPr>
            <w:tcW w:w="968" w:type="dxa"/>
            <w:tcBorders>
              <w:top w:val="nil"/>
              <w:left w:val="nil"/>
              <w:bottom w:val="single" w:sz="2" w:space="0" w:color="000000"/>
              <w:right w:val="nil"/>
            </w:tcBorders>
          </w:tcPr>
          <w:p w:rsidR="00014AE2" w:rsidRPr="00327313" w:rsidRDefault="00014AE2">
            <w:pPr>
              <w:snapToGrid w:val="0"/>
              <w:rPr>
                <w:rFonts w:cs="Tahoma"/>
              </w:rPr>
            </w:pPr>
          </w:p>
        </w:tc>
        <w:tc>
          <w:tcPr>
            <w:tcW w:w="1487" w:type="dxa"/>
          </w:tcPr>
          <w:p w:rsidR="00014AE2" w:rsidRPr="00327313" w:rsidRDefault="00014AE2">
            <w:pPr>
              <w:snapToGrid w:val="0"/>
              <w:rPr>
                <w:rFonts w:cs="Tahoma"/>
              </w:rPr>
            </w:pPr>
          </w:p>
        </w:tc>
      </w:tr>
      <w:tr w:rsidR="00014AE2" w:rsidRPr="00327313" w:rsidTr="00014AE2">
        <w:trPr>
          <w:cantSplit/>
        </w:trPr>
        <w:tc>
          <w:tcPr>
            <w:tcW w:w="3982" w:type="dxa"/>
            <w:gridSpan w:val="3"/>
            <w:hideMark/>
          </w:tcPr>
          <w:p w:rsidR="00014AE2" w:rsidRPr="00327313" w:rsidRDefault="00014AE2">
            <w:pPr>
              <w:pStyle w:val="SNTimbre"/>
            </w:pPr>
            <w:r>
              <w:t>A Zöld és Szolidáris Gazdaságra való Átállásért Felelős Minisztérium</w:t>
            </w:r>
          </w:p>
        </w:tc>
      </w:tr>
      <w:tr w:rsidR="00014AE2" w:rsidRPr="00327313" w:rsidTr="00014AE2">
        <w:trPr>
          <w:cantSplit/>
          <w:trHeight w:hRule="exact" w:val="227"/>
        </w:trPr>
        <w:tc>
          <w:tcPr>
            <w:tcW w:w="1527" w:type="dxa"/>
          </w:tcPr>
          <w:p w:rsidR="00014AE2" w:rsidRPr="00327313" w:rsidRDefault="00014AE2">
            <w:pPr>
              <w:snapToGrid w:val="0"/>
            </w:pPr>
          </w:p>
        </w:tc>
        <w:tc>
          <w:tcPr>
            <w:tcW w:w="968" w:type="dxa"/>
            <w:tcBorders>
              <w:top w:val="nil"/>
              <w:left w:val="nil"/>
              <w:bottom w:val="single" w:sz="2" w:space="0" w:color="000000"/>
              <w:right w:val="nil"/>
            </w:tcBorders>
          </w:tcPr>
          <w:p w:rsidR="00014AE2" w:rsidRPr="00327313" w:rsidRDefault="00014AE2">
            <w:pPr>
              <w:snapToGrid w:val="0"/>
            </w:pPr>
          </w:p>
        </w:tc>
        <w:tc>
          <w:tcPr>
            <w:tcW w:w="1487" w:type="dxa"/>
          </w:tcPr>
          <w:p w:rsidR="00014AE2" w:rsidRPr="00327313" w:rsidRDefault="00014AE2">
            <w:pPr>
              <w:snapToGrid w:val="0"/>
            </w:pPr>
          </w:p>
        </w:tc>
      </w:tr>
      <w:tr w:rsidR="00014AE2" w:rsidRPr="00327313" w:rsidTr="00014AE2">
        <w:trPr>
          <w:cantSplit/>
          <w:trHeight w:hRule="exact" w:val="227"/>
        </w:trPr>
        <w:tc>
          <w:tcPr>
            <w:tcW w:w="1527" w:type="dxa"/>
          </w:tcPr>
          <w:p w:rsidR="00014AE2" w:rsidRPr="00327313" w:rsidRDefault="00014AE2">
            <w:pPr>
              <w:snapToGrid w:val="0"/>
            </w:pPr>
          </w:p>
        </w:tc>
        <w:tc>
          <w:tcPr>
            <w:tcW w:w="968" w:type="dxa"/>
          </w:tcPr>
          <w:p w:rsidR="00014AE2" w:rsidRPr="00327313" w:rsidRDefault="00014AE2">
            <w:pPr>
              <w:snapToGrid w:val="0"/>
            </w:pPr>
          </w:p>
        </w:tc>
        <w:tc>
          <w:tcPr>
            <w:tcW w:w="1487" w:type="dxa"/>
          </w:tcPr>
          <w:p w:rsidR="00014AE2" w:rsidRPr="00327313" w:rsidRDefault="00014AE2">
            <w:pPr>
              <w:snapToGrid w:val="0"/>
            </w:pPr>
          </w:p>
        </w:tc>
      </w:tr>
    </w:tbl>
    <w:p w:rsidR="000908EA" w:rsidRPr="00327313" w:rsidRDefault="000908EA">
      <w:pPr>
        <w:rPr>
          <w:rFonts w:ascii="Liberration sans" w:hAnsi="Liberration sans" w:hint="eastAsia"/>
          <w:sz w:val="24"/>
          <w:szCs w:val="24"/>
        </w:rPr>
      </w:pPr>
    </w:p>
    <w:p w:rsidR="00014AE2" w:rsidRPr="00327313" w:rsidRDefault="00014AE2" w:rsidP="00014AE2">
      <w:pPr>
        <w:pStyle w:val="SNNature"/>
      </w:pPr>
      <w:r>
        <w:t>-i             sz. kormányrendelet</w:t>
      </w:r>
    </w:p>
    <w:p w:rsidR="000908EA" w:rsidRPr="00327313" w:rsidRDefault="00014AE2" w:rsidP="000908EA">
      <w:pPr>
        <w:spacing w:after="0" w:line="240" w:lineRule="auto"/>
        <w:jc w:val="center"/>
        <w:rPr>
          <w:rFonts w:ascii="Liberration sans" w:hAnsi="Liberration sans" w:hint="eastAsia"/>
          <w:b/>
          <w:sz w:val="24"/>
          <w:szCs w:val="24"/>
        </w:rPr>
      </w:pPr>
      <w:r>
        <w:rPr>
          <w:rFonts w:ascii="Liberration sans" w:hAnsi="Liberration sans"/>
          <w:b/>
          <w:sz w:val="24"/>
          <w:szCs w:val="24"/>
        </w:rPr>
        <w:t>egyes egyszer használatos műanyagtermékek tilalmáról</w:t>
      </w:r>
    </w:p>
    <w:p w:rsidR="000908EA" w:rsidRPr="00327313" w:rsidRDefault="000908EA" w:rsidP="000908EA">
      <w:pPr>
        <w:spacing w:after="0" w:line="240" w:lineRule="auto"/>
        <w:jc w:val="center"/>
        <w:rPr>
          <w:rFonts w:ascii="Liberration sans" w:hAnsi="Liberration sans" w:hint="eastAsia"/>
          <w:sz w:val="24"/>
          <w:szCs w:val="24"/>
        </w:rPr>
      </w:pPr>
    </w:p>
    <w:p w:rsidR="00014AE2" w:rsidRPr="00327313" w:rsidRDefault="00014AE2" w:rsidP="000908EA">
      <w:pPr>
        <w:spacing w:after="0" w:line="240" w:lineRule="auto"/>
        <w:jc w:val="center"/>
        <w:rPr>
          <w:rFonts w:ascii="Liberration sans" w:hAnsi="Liberration sans" w:hint="eastAsia"/>
          <w:sz w:val="24"/>
          <w:szCs w:val="24"/>
        </w:rPr>
      </w:pPr>
    </w:p>
    <w:p w:rsidR="000908EA" w:rsidRPr="00327313" w:rsidRDefault="000908EA" w:rsidP="000908EA">
      <w:pPr>
        <w:spacing w:after="0" w:line="240" w:lineRule="auto"/>
        <w:jc w:val="center"/>
        <w:rPr>
          <w:rFonts w:ascii="Liberration sans" w:hAnsi="Liberration sans" w:hint="eastAsia"/>
          <w:sz w:val="24"/>
          <w:szCs w:val="24"/>
        </w:rPr>
      </w:pPr>
      <w:r>
        <w:rPr>
          <w:rFonts w:ascii="Liberration sans" w:hAnsi="Liberration sans"/>
          <w:sz w:val="24"/>
          <w:szCs w:val="24"/>
        </w:rPr>
        <w:t>NOR: […]</w:t>
      </w:r>
    </w:p>
    <w:p w:rsidR="000908EA" w:rsidRPr="00327313" w:rsidRDefault="000908EA" w:rsidP="000908EA">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i/>
          <w:sz w:val="24"/>
          <w:szCs w:val="24"/>
        </w:rPr>
      </w:pPr>
      <w:r>
        <w:rPr>
          <w:rFonts w:ascii="Liberration sans" w:hAnsi="Liberration sans"/>
          <w:b/>
          <w:i/>
          <w:sz w:val="24"/>
          <w:szCs w:val="24"/>
        </w:rPr>
        <w:t>Az érintettek köre:</w:t>
      </w:r>
      <w:r>
        <w:rPr>
          <w:rFonts w:ascii="Liberration sans" w:hAnsi="Liberration sans"/>
          <w:i/>
          <w:sz w:val="24"/>
          <w:szCs w:val="24"/>
        </w:rPr>
        <w:t xml:space="preserve"> egyes egyszer használatos műanyagtermékeket – gazdasági tevékenységük szükségleteiből adódóan – ellenérték fejében vagy ingyenesen szállító, felhasználó, terjesztő, illetve forgalomba hozó természetes vagy jogi személyek.</w:t>
      </w:r>
    </w:p>
    <w:p w:rsidR="00937C42" w:rsidRPr="00327313" w:rsidRDefault="00937C42" w:rsidP="00937C42">
      <w:pPr>
        <w:spacing w:after="0" w:line="240" w:lineRule="auto"/>
        <w:jc w:val="both"/>
        <w:rPr>
          <w:rFonts w:ascii="Liberration sans" w:hAnsi="Liberration sans" w:hint="eastAsia"/>
          <w:b/>
          <w:i/>
          <w:sz w:val="24"/>
          <w:szCs w:val="24"/>
        </w:rPr>
      </w:pPr>
    </w:p>
    <w:p w:rsidR="00937C42" w:rsidRPr="00327313" w:rsidRDefault="00937C42" w:rsidP="00937C42">
      <w:pPr>
        <w:spacing w:after="0" w:line="240" w:lineRule="auto"/>
        <w:jc w:val="both"/>
        <w:rPr>
          <w:rFonts w:ascii="Liberration sans" w:hAnsi="Liberration sans" w:hint="eastAsia"/>
          <w:i/>
          <w:sz w:val="24"/>
          <w:szCs w:val="24"/>
        </w:rPr>
      </w:pPr>
      <w:r>
        <w:rPr>
          <w:rFonts w:ascii="Liberration sans" w:hAnsi="Liberration sans"/>
          <w:b/>
          <w:i/>
          <w:sz w:val="24"/>
          <w:szCs w:val="24"/>
        </w:rPr>
        <w:t>Tárgy:</w:t>
      </w:r>
      <w:r>
        <w:rPr>
          <w:rFonts w:ascii="Liberration sans" w:hAnsi="Liberration sans"/>
          <w:i/>
          <w:sz w:val="24"/>
          <w:szCs w:val="24"/>
        </w:rPr>
        <w:t xml:space="preserve"> az egyes egyszer használatos műanyagtermékek forgalmazására vonatkozó tilalom alkalmazási feltételei.</w:t>
      </w:r>
    </w:p>
    <w:p w:rsidR="00937C42" w:rsidRPr="00327313" w:rsidRDefault="00937C42" w:rsidP="00937C42">
      <w:pPr>
        <w:spacing w:after="0" w:line="240" w:lineRule="auto"/>
        <w:jc w:val="both"/>
        <w:rPr>
          <w:rFonts w:ascii="Liberration sans" w:hAnsi="Liberration sans" w:hint="eastAsia"/>
          <w:b/>
          <w:i/>
          <w:sz w:val="24"/>
          <w:szCs w:val="24"/>
        </w:rPr>
      </w:pPr>
    </w:p>
    <w:p w:rsidR="00937C42" w:rsidRPr="00327313" w:rsidRDefault="00937C42" w:rsidP="00937C42">
      <w:pPr>
        <w:spacing w:after="0" w:line="240" w:lineRule="auto"/>
        <w:jc w:val="both"/>
      </w:pPr>
      <w:r>
        <w:rPr>
          <w:rFonts w:ascii="Liberration sans" w:hAnsi="Liberration sans"/>
          <w:b/>
          <w:i/>
          <w:sz w:val="24"/>
          <w:szCs w:val="24"/>
        </w:rPr>
        <w:t>Hatálybalépés:</w:t>
      </w:r>
      <w:r>
        <w:rPr>
          <w:rFonts w:ascii="Liberration sans" w:hAnsi="Liberration sans"/>
          <w:i/>
          <w:sz w:val="24"/>
          <w:szCs w:val="24"/>
        </w:rPr>
        <w:t xml:space="preserve"> E kormányrendelet rendelkezései 2020. január 1-jén lépnek hatályba, kivéve a 3. cikk rendelkezései, amelyek hatálybalépésének tervezett időpontja 2021. július 3.</w:t>
      </w:r>
    </w:p>
    <w:p w:rsidR="00937C42" w:rsidRPr="00327313" w:rsidRDefault="00937C42" w:rsidP="00937C42">
      <w:pPr>
        <w:spacing w:after="0" w:line="240" w:lineRule="auto"/>
        <w:jc w:val="both"/>
        <w:rPr>
          <w:rFonts w:ascii="Liberration sans" w:hAnsi="Liberration sans" w:hint="eastAsia"/>
          <w:b/>
          <w:i/>
          <w:sz w:val="24"/>
          <w:szCs w:val="24"/>
        </w:rPr>
      </w:pPr>
    </w:p>
    <w:p w:rsidR="00937C42" w:rsidRPr="00327313" w:rsidRDefault="00937C42" w:rsidP="00937C42">
      <w:pPr>
        <w:spacing w:after="0" w:line="240" w:lineRule="auto"/>
        <w:jc w:val="both"/>
        <w:rPr>
          <w:rFonts w:ascii="Liberration sans" w:hAnsi="Liberration sans" w:hint="eastAsia"/>
          <w:i/>
          <w:sz w:val="24"/>
          <w:szCs w:val="24"/>
        </w:rPr>
      </w:pPr>
      <w:r>
        <w:rPr>
          <w:rFonts w:ascii="Liberration sans" w:hAnsi="Liberration sans"/>
          <w:b/>
          <w:i/>
          <w:sz w:val="24"/>
          <w:szCs w:val="24"/>
        </w:rPr>
        <w:t>Megjegyzés:</w:t>
      </w:r>
      <w:r>
        <w:rPr>
          <w:rFonts w:ascii="Liberration sans" w:hAnsi="Liberration sans"/>
          <w:i/>
          <w:sz w:val="24"/>
          <w:szCs w:val="24"/>
        </w:rPr>
        <w:t xml:space="preserve"> a kormányrendelet-tervezet a környezetvédelmi törvénykönyvnek az egyes egyszer használatos műanyagtermékek forgalmazásának tilalmát 2020. január 1-jétől bevezető törvényi rendelkezéseinek alkalmazási feltételeit határozza meg. Ennek keretében részletesen meghatározza a környezetvédelmi törvénykönyv L. 541-10-5. cikke III. pontjának alkalmazási feltételeit. </w:t>
      </w:r>
    </w:p>
    <w:p w:rsidR="00937C42" w:rsidRPr="00327313" w:rsidRDefault="00937C42" w:rsidP="00937C42">
      <w:pPr>
        <w:spacing w:after="0" w:line="240" w:lineRule="auto"/>
        <w:jc w:val="both"/>
        <w:rPr>
          <w:rFonts w:ascii="Liberration sans" w:hAnsi="Liberration sans" w:hint="eastAsia"/>
          <w:b/>
          <w:i/>
          <w:sz w:val="24"/>
          <w:szCs w:val="24"/>
        </w:rPr>
      </w:pPr>
    </w:p>
    <w:p w:rsidR="00937C42" w:rsidRPr="00327313" w:rsidRDefault="00937C42" w:rsidP="00937C42">
      <w:pPr>
        <w:spacing w:after="0" w:line="240" w:lineRule="auto"/>
        <w:jc w:val="both"/>
      </w:pPr>
      <w:r>
        <w:rPr>
          <w:rFonts w:ascii="Liberration sans" w:hAnsi="Liberration sans"/>
          <w:b/>
          <w:i/>
          <w:sz w:val="24"/>
          <w:szCs w:val="24"/>
        </w:rPr>
        <w:t>Hivatkozások:</w:t>
      </w:r>
      <w:r>
        <w:rPr>
          <w:rFonts w:ascii="Liberration sans" w:hAnsi="Liberration sans"/>
          <w:i/>
          <w:sz w:val="24"/>
          <w:szCs w:val="24"/>
        </w:rPr>
        <w:t xml:space="preserve"> a kormányrendelet a környezetvédelmi törvénykönyv L. 541-10-5. cikke III. pontjának az energiarendszer környezetbarát növekedés érdekében történő átalakításáról szóló, 2015. augusztus 17-i 2015-992. sz. törvény 73. cikkével bevezetett, és a mezőgazdasági és élelmiszeripari ágazaton belüli kiegyensúlyozott üzleti kapcsolatokról, valamint az egészséges, fenntartható és mindenki számára hozzáférhető élelmiszerekről szóló, 2018. október 30-i 2018-938. sz. törvény 28. cikkével módosított első albekezdésének alkalmazásáról rendelkezik.</w:t>
      </w:r>
    </w:p>
    <w:p w:rsidR="00937C42" w:rsidRPr="00327313" w:rsidRDefault="00937C42" w:rsidP="00937C42">
      <w:pPr>
        <w:spacing w:after="0" w:line="240" w:lineRule="auto"/>
        <w:jc w:val="both"/>
        <w:rPr>
          <w:rFonts w:ascii="Liberration sans" w:hAnsi="Liberration sans" w:hint="eastAsia"/>
          <w:b/>
          <w:sz w:val="24"/>
          <w:szCs w:val="24"/>
        </w:rPr>
      </w:pPr>
    </w:p>
    <w:p w:rsidR="00937C42" w:rsidRPr="00327313" w:rsidRDefault="00937C42" w:rsidP="00937C42">
      <w:pPr>
        <w:spacing w:after="0" w:line="240" w:lineRule="auto"/>
        <w:jc w:val="both"/>
        <w:rPr>
          <w:rFonts w:ascii="Liberration sans" w:hAnsi="Liberration sans" w:hint="eastAsia"/>
          <w:b/>
          <w:sz w:val="24"/>
          <w:szCs w:val="24"/>
        </w:rPr>
      </w:pPr>
    </w:p>
    <w:p w:rsidR="00937C42" w:rsidRPr="00327313" w:rsidRDefault="00937C42" w:rsidP="00937C42">
      <w:pPr>
        <w:spacing w:after="0" w:line="240" w:lineRule="auto"/>
        <w:jc w:val="both"/>
        <w:rPr>
          <w:rFonts w:ascii="Liberration sans" w:hAnsi="Liberration sans" w:hint="eastAsia"/>
          <w:b/>
          <w:sz w:val="24"/>
          <w:szCs w:val="24"/>
        </w:rPr>
      </w:pPr>
      <w:r>
        <w:rPr>
          <w:rFonts w:ascii="Liberration sans" w:hAnsi="Liberration sans"/>
          <w:b/>
          <w:sz w:val="24"/>
          <w:szCs w:val="24"/>
        </w:rPr>
        <w:t>A Miniszterelnök,</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a zöld és szolidáris gazdaságra való átállásért felelős miniszter, államminiszter, valamint a gazdasági és pénzügyminiszter jelentése alapján,</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tekintettel a többek között a 2004. február 11-i 2004/12/EK európai parlamenti és tanácsi irányelvvel módosított, a csomagolásról és a csomagolási hulladékról szóló, 1994. december 20-i 94/62/EK európai parlamenti és tanácsi irányelvre,</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tekintettel a műszaki szabályokkal és az információs társadalom szolgáltatásaira vonatkozó szabályokkal kapcsolatos információszolgáltatási eljárás megállapításáról szóló, 2015. szeptember 9-i (EU) 2015/1535 európai parlamenti és tanácsi irányelvre,</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tekintettel az egyes műanyagtermékek környezetre gyakorolt hatásának csökkentéséről szóló (EU) 2019/904 európai parlamenti és tanácsi irányelvre,</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tekintettel az aktív beültethető orvostechnikai eszközökre vonatkozó tagállami jogszabályok közelítéséről szóló 90/385/EGK irányelvre,</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tekintettel az orvostechnikai eszközökről szóló 93/42/EK irányelvre,</w:t>
      </w:r>
    </w:p>
    <w:p w:rsidR="00937C42" w:rsidRPr="00327313" w:rsidRDefault="00937C42" w:rsidP="00937C42">
      <w:pPr>
        <w:spacing w:after="0" w:line="240" w:lineRule="auto"/>
        <w:jc w:val="both"/>
        <w:rPr>
          <w:rFonts w:ascii="Liberration sans" w:hAnsi="Liberration sans" w:hint="eastAsia"/>
          <w:sz w:val="24"/>
          <w:szCs w:val="24"/>
        </w:rPr>
      </w:pPr>
    </w:p>
    <w:p w:rsidR="00937C42" w:rsidRPr="001B58A4"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tekintettel a környezetvédelmi törvénykönyvre, különösen e törvénykönyv L. 541-10-5. cikkének az energiarendszer környezetbarát növekedés érdekében történő átalakításáról szóló, 2015. augusztus 17-i 2015-992. sz. törvény 73. cikkével bevezetett, és a mezőgazdasági és élelmiszeripari ágazaton belüli kiegyensúlyozott üzleti kapcsolatokról, valamint az egészséges, fenntartható és mindenki számára hozzáférhető élelmiszerekről szóló, 2018. október 30-i 2018-938. sz. törvény 28. cikkével módosított III. pontjára,</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tekintettel a környezetvédelmi törvénykönyv L. 123-19-1. cikke értelmében 2019. xx. xx-tól/-től 2019. xx. xx-ig folytatott nyilvános konzultáció során megfogalmazott észrevételekre,</w:t>
      </w:r>
    </w:p>
    <w:p w:rsidR="00327313" w:rsidRPr="00327313" w:rsidRDefault="00327313"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tekintettel az Európai Bizottságnak ...-n megküldött ... számú értesítésre,</w:t>
      </w:r>
    </w:p>
    <w:p w:rsidR="00937C42" w:rsidRPr="00327313" w:rsidRDefault="00937C42" w:rsidP="00937C42">
      <w:pPr>
        <w:spacing w:after="0" w:line="240" w:lineRule="auto"/>
        <w:rPr>
          <w:rFonts w:ascii="Liberration sans" w:hAnsi="Liberration sans" w:hint="eastAsia"/>
          <w:sz w:val="24"/>
          <w:szCs w:val="24"/>
        </w:rPr>
      </w:pPr>
    </w:p>
    <w:p w:rsidR="00937C42" w:rsidRPr="00327313" w:rsidRDefault="00937C42" w:rsidP="00327313">
      <w:pPr>
        <w:keepNext/>
        <w:spacing w:after="0" w:line="240" w:lineRule="auto"/>
        <w:jc w:val="center"/>
        <w:rPr>
          <w:rFonts w:ascii="Liberration sans" w:hAnsi="Liberration sans" w:hint="eastAsia"/>
          <w:b/>
          <w:sz w:val="24"/>
          <w:szCs w:val="24"/>
        </w:rPr>
      </w:pPr>
      <w:r>
        <w:rPr>
          <w:rFonts w:ascii="Liberration sans" w:hAnsi="Liberration sans"/>
          <w:b/>
          <w:sz w:val="24"/>
          <w:szCs w:val="24"/>
        </w:rPr>
        <w:t>a következőket rendeli el:</w:t>
      </w:r>
    </w:p>
    <w:p w:rsidR="00937C42" w:rsidRPr="00327313" w:rsidRDefault="00937C42" w:rsidP="00327313">
      <w:pPr>
        <w:keepNext/>
        <w:spacing w:after="0" w:line="240" w:lineRule="auto"/>
        <w:jc w:val="both"/>
        <w:rPr>
          <w:rFonts w:ascii="Liberration sans" w:hAnsi="Liberration sans" w:hint="eastAsia"/>
          <w:sz w:val="24"/>
          <w:szCs w:val="24"/>
        </w:rPr>
      </w:pPr>
    </w:p>
    <w:p w:rsidR="00937C42" w:rsidRPr="00327313" w:rsidRDefault="00937C42" w:rsidP="00327313">
      <w:pPr>
        <w:keepNext/>
        <w:spacing w:after="0" w:line="240" w:lineRule="auto"/>
        <w:jc w:val="center"/>
        <w:rPr>
          <w:rFonts w:ascii="Liberration sans" w:hAnsi="Liberration sans" w:hint="eastAsia"/>
          <w:b/>
          <w:sz w:val="24"/>
          <w:szCs w:val="24"/>
        </w:rPr>
      </w:pPr>
      <w:r>
        <w:rPr>
          <w:rFonts w:ascii="Liberration sans" w:hAnsi="Liberration sans"/>
          <w:b/>
          <w:sz w:val="24"/>
          <w:szCs w:val="24"/>
        </w:rPr>
        <w:t>1. cikk</w:t>
      </w:r>
    </w:p>
    <w:p w:rsidR="00937C42" w:rsidRPr="00327313" w:rsidRDefault="00937C42" w:rsidP="00327313">
      <w:pPr>
        <w:keepNext/>
        <w:spacing w:after="0" w:line="240" w:lineRule="auto"/>
        <w:jc w:val="both"/>
        <w:rPr>
          <w:rFonts w:ascii="Liberration sans" w:hAnsi="Liberration sans" w:hint="eastAsia"/>
          <w:sz w:val="24"/>
          <w:szCs w:val="24"/>
        </w:rPr>
      </w:pPr>
    </w:p>
    <w:p w:rsidR="00937C42" w:rsidRPr="00327313" w:rsidRDefault="00937C42" w:rsidP="00327313">
      <w:pPr>
        <w:keepNext/>
        <w:spacing w:after="0" w:line="240" w:lineRule="auto"/>
        <w:jc w:val="both"/>
        <w:rPr>
          <w:rFonts w:ascii="Liberration sans" w:hAnsi="Liberration sans" w:hint="eastAsia"/>
          <w:sz w:val="24"/>
          <w:szCs w:val="24"/>
        </w:rPr>
      </w:pPr>
      <w:r>
        <w:rPr>
          <w:rFonts w:ascii="Liberration sans" w:hAnsi="Liberration sans"/>
          <w:sz w:val="24"/>
          <w:szCs w:val="24"/>
        </w:rPr>
        <w:t>A környezetvédelmi törvénykönyv rendelkező része V. könyve IV. címe III. fejezete 21. szakaszának 1. alszakasza helyébe az alábbi rendelkezések lépnek:</w:t>
      </w:r>
    </w:p>
    <w:p w:rsidR="00937C42" w:rsidRPr="00327313" w:rsidRDefault="00937C42" w:rsidP="00327313">
      <w:pPr>
        <w:keepNext/>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„1. alszakasz: Általános rendelkezések</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D 543-294. cikk</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Az L. 541-10-5. cikk III. pontja és e szakasz alkalmazása tekintetében a következő fogalommeghatározások érvényesek:</w:t>
      </w:r>
    </w:p>
    <w:p w:rsidR="00937C42" w:rsidRPr="00327313" w:rsidRDefault="00937C42" w:rsidP="00937C42">
      <w:pPr>
        <w:pStyle w:val="Standard"/>
        <w:jc w:val="both"/>
        <w:rPr>
          <w:rFonts w:ascii="Liberration sans" w:hAnsi="Liberration sans" w:hint="eastAsia"/>
        </w:rPr>
      </w:pPr>
    </w:p>
    <w:p w:rsidR="00937C42" w:rsidRPr="00327313" w:rsidRDefault="00937C42" w:rsidP="00937C42">
      <w:pPr>
        <w:pStyle w:val="Standard"/>
        <w:jc w:val="both"/>
        <w:rPr>
          <w:rFonts w:ascii="Liberration sans" w:hAnsi="Liberration sans" w:hint="eastAsia"/>
        </w:rPr>
      </w:pPr>
      <w:r>
        <w:rPr>
          <w:rFonts w:ascii="Liberration sans" w:hAnsi="Liberration sans"/>
        </w:rPr>
        <w:t>1. »Műanyag«: a 2006. december 18-i 1907/2006/EK európai parlamenti és tanácsi rendelet 3. cikkének 5. pontjában meghatározott polimert tartalmazó anyag, amelyhez adalékanyagokat vagy egyéb anyagokat adhattak, és amely a késztermék fő szerkezeti alkotóelemeként funkcionálhat, kivéve a kémiailag nem módosított természetes polimereket;</w:t>
      </w:r>
    </w:p>
    <w:p w:rsidR="00937C42" w:rsidRPr="00327313" w:rsidRDefault="00937C42" w:rsidP="00937C42">
      <w:pPr>
        <w:pStyle w:val="Standard"/>
        <w:jc w:val="both"/>
        <w:rPr>
          <w:rFonts w:ascii="Liberration sans" w:hAnsi="Liberration sans" w:hint="eastAsia"/>
        </w:rPr>
      </w:pPr>
    </w:p>
    <w:p w:rsidR="00937C42" w:rsidRPr="00327313" w:rsidRDefault="00937C42" w:rsidP="00937C42">
      <w:pPr>
        <w:pStyle w:val="Standard"/>
        <w:jc w:val="both"/>
        <w:rPr>
          <w:rFonts w:ascii="Liberration sans" w:hAnsi="Liberration sans" w:hint="eastAsia"/>
        </w:rPr>
      </w:pPr>
      <w:r>
        <w:rPr>
          <w:rFonts w:ascii="Liberration sans" w:hAnsi="Liberration sans"/>
        </w:rPr>
        <w:t xml:space="preserve">2. »Egyszer használatos műanyagtermék«: olyan termék, amely teljes egészében vagy részben műanyagból készült, és amelyet nem arra szántak, nem úgy terveztek, vagy amelyet nem azzal </w:t>
      </w:r>
      <w:r>
        <w:rPr>
          <w:rFonts w:ascii="Liberration sans" w:hAnsi="Liberration sans"/>
        </w:rPr>
        <w:lastRenderedPageBreak/>
        <w:t>a céllal helyeztek forgalomba, hogy a gyártóhoz visszajuttatva élettartama alatt többször vagy több körben újratölthető legyen, illetve eredeti rendeltetésének megfelelő célból újrahasználható legyen;</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pStyle w:val="Standard"/>
        <w:jc w:val="both"/>
        <w:rPr>
          <w:rFonts w:ascii="Liberration sans" w:hAnsi="Liberration sans" w:hint="eastAsia"/>
        </w:rPr>
      </w:pPr>
      <w:r>
        <w:rPr>
          <w:rFonts w:ascii="Liberration sans" w:hAnsi="Liberration sans"/>
        </w:rPr>
        <w:t xml:space="preserve">3. »Gyártó«: természetes vagy jogi személy, aki vagy amely az alkalmazott értékesítési technikától függetlenül egyszer használatos műanyagtermékek, megtöltött egyszer használatos műanyagtermékek hivatásszerű gyártásával, töltésével, értékesítésével vagy importálásával foglalkozik; </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4. »Forgalmazás«: egy terméknek kereskedelmi tevékenység keretében történő rendelkezésre bocsátása értékesítés, fogyasztás vagy használat céljára az ország területén, akár ellenérték fejében, akár ingyenesen;</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5. »Forgalomba hozatal«: a termék első alkalommal történő forgalmazása az ország területén;</w:t>
      </w:r>
    </w:p>
    <w:p w:rsidR="00937C42" w:rsidRPr="00327313" w:rsidRDefault="00937C42" w:rsidP="00937C42">
      <w:pPr>
        <w:pStyle w:val="Standard"/>
        <w:jc w:val="both"/>
        <w:rPr>
          <w:rFonts w:ascii="Liberration sans" w:hAnsi="Liberration sans" w:hint="eastAsia"/>
        </w:rPr>
      </w:pPr>
    </w:p>
    <w:p w:rsidR="00937C42" w:rsidRPr="00327313" w:rsidRDefault="00937C42" w:rsidP="00937C42">
      <w:pPr>
        <w:pStyle w:val="Standard"/>
        <w:jc w:val="both"/>
        <w:rPr>
          <w:rFonts w:ascii="Liberration sans" w:hAnsi="Liberration sans" w:hint="eastAsia"/>
        </w:rPr>
      </w:pPr>
      <w:r>
        <w:rPr>
          <w:rFonts w:ascii="Liberration sans" w:hAnsi="Liberration sans"/>
        </w:rPr>
        <w:t>6. »Csomagolás«: a csomagolásról és a csomagolási hulladékról szóló, 1994. december 20-i 94/62/EK módosított európai parlamenti és tanácsi irányelvben meghatározott termékek;</w:t>
      </w:r>
    </w:p>
    <w:p w:rsidR="00937C42" w:rsidRPr="00327313" w:rsidRDefault="00937C42" w:rsidP="00937C42">
      <w:pPr>
        <w:pStyle w:val="Standard"/>
        <w:jc w:val="both"/>
        <w:rPr>
          <w:rFonts w:ascii="Liberration sans" w:hAnsi="Liberration sans" w:hint="eastAsia"/>
        </w:rPr>
      </w:pPr>
    </w:p>
    <w:p w:rsidR="00937C42" w:rsidRPr="00327313" w:rsidRDefault="00937C42" w:rsidP="00937C42">
      <w:pPr>
        <w:pStyle w:val="Standard"/>
        <w:jc w:val="both"/>
        <w:rPr>
          <w:rFonts w:ascii="Liberration sans" w:hAnsi="Liberration sans" w:hint="eastAsia"/>
        </w:rPr>
      </w:pPr>
      <w:r>
        <w:rPr>
          <w:rFonts w:ascii="Liberration sans" w:hAnsi="Liberration sans"/>
        </w:rPr>
        <w:t>7. »Italtárolók és poharak«: teljes egészében műanyagból készült italtárolók és poharak;</w:t>
      </w:r>
    </w:p>
    <w:p w:rsidR="00937C42" w:rsidRPr="00327313" w:rsidRDefault="00937C42" w:rsidP="00937C42">
      <w:pPr>
        <w:pStyle w:val="Standard"/>
        <w:jc w:val="both"/>
        <w:rPr>
          <w:rFonts w:ascii="Liberration sans" w:hAnsi="Liberration sans" w:hint="eastAsia"/>
        </w:rPr>
      </w:pPr>
    </w:p>
    <w:p w:rsidR="00937C42" w:rsidRPr="00327313" w:rsidRDefault="00937C42" w:rsidP="00937C42">
      <w:pPr>
        <w:pStyle w:val="Standard"/>
        <w:jc w:val="both"/>
        <w:rPr>
          <w:rFonts w:ascii="Liberration sans" w:hAnsi="Liberration sans" w:hint="eastAsia"/>
        </w:rPr>
      </w:pPr>
      <w:r>
        <w:rPr>
          <w:rFonts w:ascii="Liberration sans" w:hAnsi="Liberration sans"/>
        </w:rPr>
        <w:t>8. »Eldobható asztali tányérok«: teljes egészében műanyagból készült tányérok;</w:t>
      </w:r>
    </w:p>
    <w:p w:rsidR="00937C42" w:rsidRPr="00327313" w:rsidRDefault="00937C42" w:rsidP="00937C42">
      <w:pPr>
        <w:pStyle w:val="Standard"/>
        <w:jc w:val="both"/>
        <w:rPr>
          <w:rFonts w:ascii="Liberration sans" w:hAnsi="Liberration sans" w:hint="eastAsia"/>
        </w:rPr>
      </w:pPr>
    </w:p>
    <w:p w:rsidR="00937C42" w:rsidRPr="00327313" w:rsidRDefault="00937C42" w:rsidP="00937C42">
      <w:pPr>
        <w:pStyle w:val="Textbody"/>
        <w:spacing w:after="0" w:line="240" w:lineRule="auto"/>
        <w:jc w:val="both"/>
        <w:rPr>
          <w:rFonts w:ascii="Liberration sans" w:hAnsi="Liberration sans" w:hint="eastAsia"/>
        </w:rPr>
      </w:pPr>
      <w:r>
        <w:rPr>
          <w:rFonts w:ascii="Liberration sans" w:hAnsi="Liberration sans"/>
        </w:rPr>
        <w:t>9. »Evőeszközök«: az (EU) 2019/904 irányelv mellékletének B. részében említett villák, kések, kanalak és evőpálcikák, a büntetés-végrehajtási intézményekben, egészségügyi intézményekben és a légi, vasúti és tengeri közlekedésben használt evőeszközök kivételével;</w:t>
      </w:r>
    </w:p>
    <w:p w:rsidR="00937C42" w:rsidRPr="00327313" w:rsidRDefault="00937C42" w:rsidP="00937C42">
      <w:pPr>
        <w:pStyle w:val="Textbody"/>
        <w:spacing w:after="0" w:line="240" w:lineRule="auto"/>
        <w:jc w:val="both"/>
        <w:rPr>
          <w:rFonts w:ascii="Liberration sans" w:hAnsi="Liberration sans" w:hint="eastAsia"/>
        </w:rPr>
      </w:pPr>
    </w:p>
    <w:p w:rsidR="00937C42" w:rsidRPr="00327313" w:rsidRDefault="00937C42" w:rsidP="00937C42">
      <w:pPr>
        <w:pStyle w:val="Textbody"/>
        <w:spacing w:after="0" w:line="240" w:lineRule="auto"/>
        <w:jc w:val="both"/>
        <w:rPr>
          <w:rFonts w:ascii="Liberration sans" w:hAnsi="Liberration sans" w:hint="eastAsia"/>
        </w:rPr>
      </w:pPr>
      <w:r>
        <w:rPr>
          <w:rFonts w:ascii="Liberration sans" w:hAnsi="Liberration sans"/>
        </w:rPr>
        <w:t>10. »Ételtálcák, fagylaltdobozok, salátástálak és dobozok«: az (EU) 2019/904 irányelv mellékletének A. részében említett, teljes egészében műanyagból készült ételtároló edények, amelyek olyan ételek tárolására szolgálnak, amelyek azonnal fogyaszthatók helyben vagy elvitelre, amelyek fogyasztása általában az edényből történik, valamint amelyek készételként fogyaszthatók, azaz további elkészítést, például főzést, forralást vagy melegítést nem igényelnek;</w:t>
      </w:r>
    </w:p>
    <w:p w:rsidR="00937C42" w:rsidRPr="00327313" w:rsidRDefault="00937C42" w:rsidP="00937C42">
      <w:pPr>
        <w:pStyle w:val="Textbody"/>
        <w:spacing w:after="0" w:line="240" w:lineRule="auto"/>
        <w:jc w:val="both"/>
        <w:rPr>
          <w:rFonts w:ascii="Liberration sans" w:hAnsi="Liberration sans" w:hint="eastAsia"/>
        </w:rPr>
      </w:pPr>
    </w:p>
    <w:p w:rsidR="00937C42" w:rsidRPr="00327313" w:rsidRDefault="00937C42" w:rsidP="00937C42">
      <w:pPr>
        <w:pStyle w:val="Textbody"/>
        <w:spacing w:after="0" w:line="240" w:lineRule="auto"/>
        <w:jc w:val="both"/>
        <w:rPr>
          <w:rFonts w:ascii="Liberration sans" w:hAnsi="Liberration sans" w:hint="eastAsia"/>
        </w:rPr>
      </w:pPr>
      <w:r>
        <w:rPr>
          <w:rFonts w:ascii="Liberration sans" w:hAnsi="Liberration sans"/>
        </w:rPr>
        <w:t>11. »Szívószálak«: a végső fogyasztó részére a felhasználás helyén rendelkezésre bocsátott, vagy darabonként vagy csomagban értékesített szívószálak, a 90/385/EGK vagy a 93/42/EGK irányelv hatálya alá tartozó szívószálak kivételével;</w:t>
      </w:r>
    </w:p>
    <w:p w:rsidR="00937C42" w:rsidRPr="00327313" w:rsidRDefault="00937C42" w:rsidP="00937C42">
      <w:pPr>
        <w:pStyle w:val="Textbody"/>
        <w:spacing w:after="0" w:line="240" w:lineRule="auto"/>
        <w:jc w:val="both"/>
        <w:rPr>
          <w:rFonts w:ascii="Liberration sans" w:hAnsi="Liberration sans" w:hint="eastAsia"/>
        </w:rPr>
      </w:pPr>
    </w:p>
    <w:p w:rsidR="00937C42" w:rsidRPr="00327313" w:rsidRDefault="00937C42" w:rsidP="00937C42">
      <w:pPr>
        <w:pStyle w:val="Textbody"/>
        <w:spacing w:after="0" w:line="240" w:lineRule="auto"/>
        <w:jc w:val="both"/>
        <w:rPr>
          <w:rFonts w:ascii="Liberration sans" w:hAnsi="Liberration sans" w:hint="eastAsia"/>
        </w:rPr>
      </w:pPr>
      <w:r>
        <w:rPr>
          <w:rFonts w:ascii="Liberration sans" w:hAnsi="Liberration sans"/>
        </w:rPr>
        <w:t>12. »Pohárfedelek«: az (EU) 2019/904 irányelv mellékletének A. része szerinti italtároló fedelek közé tartozó pohár- vagy italtároló fedelek;</w:t>
      </w:r>
    </w:p>
    <w:p w:rsidR="00937C42" w:rsidRPr="00327313" w:rsidRDefault="00937C42" w:rsidP="00937C42">
      <w:pPr>
        <w:pStyle w:val="Textbody"/>
        <w:spacing w:after="0" w:line="240" w:lineRule="auto"/>
        <w:jc w:val="both"/>
        <w:rPr>
          <w:rFonts w:ascii="Liberration sans" w:hAnsi="Liberration sans" w:hint="eastAsia"/>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13. »Házi komposztálóban komposztálható termékek«: a házi komposztálásra alkalmas műanyagok jellemzőit meghatározó francia szabvány követelményeinek megfelelő termékek, valamint az Európai Unió egyik tagállamában vagy Törökországban törvényesen gyártott vagy forgalmazott, vagy az Európai Gazdasági Térség létrehozásáról szóló megállapodás egyik részes államában törvényesen gyártott és egyenértékű garanciákat nyújtó termékek;</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14. »Bioalapú anyagok«: minden biológiai eredetű anyag, a geológiai vagy megkövült képződményekben található anyagok kivételével;</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rPr>
          <w:rFonts w:ascii="Liberration sans" w:hAnsi="Liberration sans" w:hint="eastAsia"/>
          <w:sz w:val="24"/>
          <w:szCs w:val="24"/>
        </w:rPr>
      </w:pPr>
      <w:r>
        <w:rPr>
          <w:rFonts w:ascii="Liberration sans" w:hAnsi="Liberration sans"/>
          <w:sz w:val="24"/>
          <w:szCs w:val="24"/>
        </w:rPr>
        <w:lastRenderedPageBreak/>
        <w:t>15. »Bioalapúanyag-tartalom«: az italtárolókban, poharakban vagy tányérokban található bioalapú anyagoknak a teljes széntartalom arányában kifejezett, a műanyagok bioalapúszén-tartalmának meghatározására vonatkozó hatályos francia szabványban vagy bármilyen más, azzal egyenértékű garanciákat nyújtó nemzetközi szabványban meghatározott számítási módszerrel meghatározott százalékos aránya.”</w:t>
      </w:r>
    </w:p>
    <w:p w:rsidR="00937C42" w:rsidRPr="00327313" w:rsidRDefault="00937C42" w:rsidP="00937C42">
      <w:pPr>
        <w:spacing w:after="0" w:line="240" w:lineRule="auto"/>
        <w:rPr>
          <w:rFonts w:ascii="Liberration sans" w:hAnsi="Liberration sans" w:hint="eastAsia"/>
          <w:sz w:val="24"/>
          <w:szCs w:val="24"/>
        </w:rPr>
      </w:pPr>
    </w:p>
    <w:p w:rsidR="00937C42" w:rsidRPr="00327313" w:rsidRDefault="00937C42" w:rsidP="00327313">
      <w:pPr>
        <w:keepNext/>
        <w:spacing w:after="0" w:line="240" w:lineRule="auto"/>
        <w:jc w:val="center"/>
        <w:rPr>
          <w:rFonts w:ascii="Liberration sans" w:hAnsi="Liberration sans" w:hint="eastAsia"/>
          <w:b/>
          <w:sz w:val="24"/>
          <w:szCs w:val="24"/>
        </w:rPr>
      </w:pPr>
      <w:r>
        <w:rPr>
          <w:rFonts w:ascii="Liberration sans" w:hAnsi="Liberration sans"/>
          <w:b/>
          <w:sz w:val="24"/>
          <w:szCs w:val="24"/>
        </w:rPr>
        <w:t>2. cikk</w:t>
      </w:r>
    </w:p>
    <w:p w:rsidR="00937C42" w:rsidRPr="00327313" w:rsidRDefault="00937C42" w:rsidP="00327313">
      <w:pPr>
        <w:keepNext/>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 xml:space="preserve">A környezetvédelmi törvénykönyv rendelkező része V. könyve IV. címe III. fejezete 21. szakaszának 2. alszakasza a következőképpen módosul: </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1. A 2. alszakasz címe a következő lesz: „Eldobható műanyagtermékek”</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2. A D. 543-295. cikk helyébe az alábbi rendelkezés lép:</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pPr>
      <w:r>
        <w:rPr>
          <w:rFonts w:ascii="Liberration sans" w:hAnsi="Liberration sans"/>
          <w:sz w:val="24"/>
          <w:szCs w:val="24"/>
        </w:rPr>
        <w:t>„Az L 541-10-5. cikk III. pontjának első albekezdésében említett termékek közül a műanyagból készült egyszer használatos termékek forgalmazása szűnik meg, a csomagolások kivételével. ”</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3. A D. 543-296. cikk helyébe az alábbi rendelkezés lép:</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 xml:space="preserve">„Az L. 541-10-5. cikk III. pontjában említett termékek minimális bioalapúanyag-tartalma 2020. január 1-jétől 50%, 2025. január 1-jétől pedig 60%.” </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327313">
      <w:pPr>
        <w:keepNext/>
        <w:spacing w:after="0" w:line="240" w:lineRule="auto"/>
        <w:jc w:val="center"/>
        <w:rPr>
          <w:rFonts w:ascii="Liberration sans" w:hAnsi="Liberration sans" w:hint="eastAsia"/>
          <w:b/>
          <w:sz w:val="24"/>
          <w:szCs w:val="24"/>
        </w:rPr>
      </w:pPr>
      <w:r>
        <w:rPr>
          <w:rFonts w:ascii="Liberration sans" w:hAnsi="Liberration sans"/>
          <w:b/>
          <w:sz w:val="24"/>
          <w:szCs w:val="24"/>
        </w:rPr>
        <w:t>3. cikk</w:t>
      </w:r>
    </w:p>
    <w:p w:rsidR="00937C42" w:rsidRPr="00327313" w:rsidRDefault="00937C42" w:rsidP="00327313">
      <w:pPr>
        <w:keepNext/>
        <w:spacing w:after="0" w:line="240" w:lineRule="auto"/>
        <w:jc w:val="both"/>
        <w:rPr>
          <w:rFonts w:ascii="Liberration sans" w:hAnsi="Liberration sans" w:hint="eastAsia"/>
          <w:sz w:val="24"/>
          <w:szCs w:val="24"/>
        </w:rPr>
      </w:pPr>
    </w:p>
    <w:p w:rsidR="00937C42" w:rsidRPr="00327313" w:rsidRDefault="00937C42" w:rsidP="00327313">
      <w:pPr>
        <w:keepNext/>
        <w:spacing w:after="0" w:line="240" w:lineRule="auto"/>
        <w:jc w:val="both"/>
        <w:rPr>
          <w:rFonts w:ascii="Liberration sans" w:hAnsi="Liberration sans" w:hint="eastAsia"/>
          <w:sz w:val="24"/>
          <w:szCs w:val="24"/>
        </w:rPr>
      </w:pPr>
      <w:r>
        <w:rPr>
          <w:rFonts w:ascii="Liberration sans" w:hAnsi="Liberration sans"/>
          <w:sz w:val="24"/>
          <w:szCs w:val="24"/>
        </w:rPr>
        <w:t>1. A D. 543-294. cikk az alábbiak szerint módosul:</w:t>
      </w:r>
    </w:p>
    <w:p w:rsidR="00937C42" w:rsidRPr="00327313" w:rsidRDefault="00937C42" w:rsidP="00327313">
      <w:pPr>
        <w:keepNext/>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a) A 7. pont a következő szövegrésszel egészül ki: „és részben műanyagból készült, az engedélyezett maximális műanyagtartalmat és e műanyagtartalom fokozatos csökkentésének feltételeit megállapító rendeletben meghatározott maximális tartalomnál nagyobb tartalommal”;</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b) A 8. pontban a „teljes egészében műanyagból készült” szövegrész helyébe az „az (EU) 2019/904 irányelv mellékletének B. részében említett, a műanyag fóliát is beleértve” szövegrész lép;</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c) A 9. pontban az „a büntetés-végrehajtási intézményekben, egészségügyi intézményekben és a légi, vasúti és tengeri közlekedésben használt evőeszközök kivételével” szövegrészt el kell hagyni;</w:t>
      </w:r>
    </w:p>
    <w:p w:rsidR="00871194" w:rsidRPr="00327313" w:rsidRDefault="00871194"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d) A 11. pontban az „a végső fogyasztó részére a felhasználás helyén rendelkezésre bocsátott, vagy darabonként vagy csomagban értékesített” szövegrész helyébe az „az (EU) 2019/904 irányelv mellékletének B. részében említett” szövegrész lép;</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2. A D. 543-295. cikkben a „kivételével” szó helyébe a „beleértve” szó lép;</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3. A D. 543-296. cikk az alábbi mondattal egészül ki: „Az ugyanebben az albekezdésben említett kivétel azonban nem vonatkozik az eldobható asztali tányérokra, szívószálakra, evőeszközökre és italkeverő pálcikákra”.</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327313">
      <w:pPr>
        <w:keepNext/>
        <w:spacing w:after="0" w:line="240" w:lineRule="auto"/>
        <w:jc w:val="center"/>
        <w:rPr>
          <w:rFonts w:ascii="Liberration sans" w:hAnsi="Liberration sans" w:hint="eastAsia"/>
          <w:b/>
          <w:sz w:val="24"/>
          <w:szCs w:val="24"/>
        </w:rPr>
      </w:pPr>
      <w:r>
        <w:rPr>
          <w:rFonts w:ascii="Liberration sans" w:hAnsi="Liberration sans"/>
          <w:b/>
          <w:sz w:val="24"/>
          <w:szCs w:val="24"/>
        </w:rPr>
        <w:lastRenderedPageBreak/>
        <w:t>4. cikk</w:t>
      </w:r>
    </w:p>
    <w:p w:rsidR="00937C42" w:rsidRPr="00327313" w:rsidRDefault="00937C42" w:rsidP="00327313">
      <w:pPr>
        <w:keepNext/>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E kormányrendelet rendelkezései 2020. január 1-jén lépnek hatályba, kivéve a 3. cikk rendelkezései, amelyek 2021. július 3-án lépnek hatályba.</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327313">
      <w:pPr>
        <w:keepNext/>
        <w:spacing w:after="0" w:line="240" w:lineRule="auto"/>
        <w:jc w:val="center"/>
      </w:pPr>
      <w:r>
        <w:rPr>
          <w:rFonts w:ascii="Liberration sans" w:hAnsi="Liberration sans"/>
          <w:b/>
          <w:sz w:val="24"/>
          <w:szCs w:val="24"/>
        </w:rPr>
        <w:t>5. cikk</w:t>
      </w:r>
    </w:p>
    <w:p w:rsidR="00937C42" w:rsidRPr="00327313" w:rsidRDefault="00937C42" w:rsidP="00327313">
      <w:pPr>
        <w:keepNext/>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pPr>
      <w:r>
        <w:rPr>
          <w:rFonts w:ascii="Liberration sans" w:hAnsi="Liberration sans"/>
          <w:sz w:val="24"/>
          <w:szCs w:val="24"/>
        </w:rPr>
        <w:t>E kormányrendelet végrehajtásáért – amelyet a Francia Köztársaság Hivatalos Lapjában tesznek közzé – illetékességi területének megfelelően a zöld és szolidáris gazdaságra való átállásért felelős miniszter, valamint a gazdasági és pénzügyminiszter felel.</w:t>
      </w:r>
    </w:p>
    <w:sectPr w:rsidR="00937C42" w:rsidRPr="003273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CB7" w:rsidRDefault="00D53CB7" w:rsidP="00355C58">
      <w:pPr>
        <w:spacing w:after="0" w:line="240" w:lineRule="auto"/>
      </w:pPr>
      <w:r>
        <w:separator/>
      </w:r>
    </w:p>
  </w:endnote>
  <w:endnote w:type="continuationSeparator" w:id="0">
    <w:p w:rsidR="00D53CB7" w:rsidRDefault="00D53CB7" w:rsidP="0035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ration sans">
    <w:altName w:val="Times New Roman"/>
    <w:panose1 w:val="00000000000000000000"/>
    <w:charset w:val="00"/>
    <w:family w:val="roman"/>
    <w:notTrueType/>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CB7" w:rsidRDefault="00D53CB7" w:rsidP="00355C58">
      <w:pPr>
        <w:spacing w:after="0" w:line="240" w:lineRule="auto"/>
      </w:pPr>
      <w:r>
        <w:separator/>
      </w:r>
    </w:p>
  </w:footnote>
  <w:footnote w:type="continuationSeparator" w:id="0">
    <w:p w:rsidR="00D53CB7" w:rsidRDefault="00D53CB7" w:rsidP="00355C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560D2F"/>
    <w:multiLevelType w:val="hybridMultilevel"/>
    <w:tmpl w:val="FCCCEA0C"/>
    <w:lvl w:ilvl="0" w:tplc="299A5088">
      <w:numFmt w:val="bullet"/>
      <w:lvlText w:val=""/>
      <w:lvlJc w:val="left"/>
      <w:pPr>
        <w:ind w:left="720" w:hanging="360"/>
      </w:pPr>
      <w:rPr>
        <w:rFonts w:ascii="Wingdings" w:eastAsia="SimSun"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2A03EB0"/>
    <w:multiLevelType w:val="hybridMultilevel"/>
    <w:tmpl w:val="0504C6D6"/>
    <w:lvl w:ilvl="0" w:tplc="9752B930">
      <w:numFmt w:val="bullet"/>
      <w:lvlText w:val="-"/>
      <w:lvlJc w:val="left"/>
      <w:pPr>
        <w:ind w:left="720" w:hanging="360"/>
      </w:pPr>
      <w:rPr>
        <w:rFonts w:ascii="Calibri" w:eastAsia="SimSun"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B7C"/>
    <w:rsid w:val="000034CE"/>
    <w:rsid w:val="00014AE2"/>
    <w:rsid w:val="000908EA"/>
    <w:rsid w:val="00095C42"/>
    <w:rsid w:val="000A4358"/>
    <w:rsid w:val="000A71A7"/>
    <w:rsid w:val="000A74FC"/>
    <w:rsid w:val="000C2C7D"/>
    <w:rsid w:val="000C5590"/>
    <w:rsid w:val="000D38CC"/>
    <w:rsid w:val="000E510C"/>
    <w:rsid w:val="000E6D47"/>
    <w:rsid w:val="00107C4C"/>
    <w:rsid w:val="00117537"/>
    <w:rsid w:val="00140C25"/>
    <w:rsid w:val="00145A91"/>
    <w:rsid w:val="00152938"/>
    <w:rsid w:val="001539EE"/>
    <w:rsid w:val="00171A56"/>
    <w:rsid w:val="00176A43"/>
    <w:rsid w:val="00183772"/>
    <w:rsid w:val="001935D0"/>
    <w:rsid w:val="00197758"/>
    <w:rsid w:val="001B58A4"/>
    <w:rsid w:val="001C5EE0"/>
    <w:rsid w:val="001F0EB2"/>
    <w:rsid w:val="001F321D"/>
    <w:rsid w:val="0021491A"/>
    <w:rsid w:val="002176A8"/>
    <w:rsid w:val="00235ACE"/>
    <w:rsid w:val="00245165"/>
    <w:rsid w:val="002704EC"/>
    <w:rsid w:val="002823C2"/>
    <w:rsid w:val="00294E66"/>
    <w:rsid w:val="002A04FA"/>
    <w:rsid w:val="002E14B9"/>
    <w:rsid w:val="002F4D67"/>
    <w:rsid w:val="003079E2"/>
    <w:rsid w:val="003110E1"/>
    <w:rsid w:val="00327313"/>
    <w:rsid w:val="003530E0"/>
    <w:rsid w:val="00355C58"/>
    <w:rsid w:val="003A648D"/>
    <w:rsid w:val="003B1EE4"/>
    <w:rsid w:val="003D24A8"/>
    <w:rsid w:val="003D3901"/>
    <w:rsid w:val="00402905"/>
    <w:rsid w:val="00412915"/>
    <w:rsid w:val="00476578"/>
    <w:rsid w:val="004B0DD8"/>
    <w:rsid w:val="004D3369"/>
    <w:rsid w:val="004D7B39"/>
    <w:rsid w:val="004E2DE5"/>
    <w:rsid w:val="004F406D"/>
    <w:rsid w:val="00516150"/>
    <w:rsid w:val="00534878"/>
    <w:rsid w:val="0054118A"/>
    <w:rsid w:val="0059549B"/>
    <w:rsid w:val="005975A6"/>
    <w:rsid w:val="005A5A15"/>
    <w:rsid w:val="005C3E2A"/>
    <w:rsid w:val="005D0A00"/>
    <w:rsid w:val="005E7BDD"/>
    <w:rsid w:val="00604D57"/>
    <w:rsid w:val="00632766"/>
    <w:rsid w:val="00634F76"/>
    <w:rsid w:val="00637FDA"/>
    <w:rsid w:val="00655108"/>
    <w:rsid w:val="00656B7A"/>
    <w:rsid w:val="00660CB0"/>
    <w:rsid w:val="00666348"/>
    <w:rsid w:val="0067136E"/>
    <w:rsid w:val="006B771D"/>
    <w:rsid w:val="006E7E18"/>
    <w:rsid w:val="00737913"/>
    <w:rsid w:val="0074751B"/>
    <w:rsid w:val="00750D0E"/>
    <w:rsid w:val="007600B0"/>
    <w:rsid w:val="00766F7B"/>
    <w:rsid w:val="007B1C42"/>
    <w:rsid w:val="007C1DD8"/>
    <w:rsid w:val="007E0D02"/>
    <w:rsid w:val="007E4CF9"/>
    <w:rsid w:val="008103E8"/>
    <w:rsid w:val="008535D2"/>
    <w:rsid w:val="00856957"/>
    <w:rsid w:val="00871194"/>
    <w:rsid w:val="00872317"/>
    <w:rsid w:val="0087410E"/>
    <w:rsid w:val="00884E62"/>
    <w:rsid w:val="00885F03"/>
    <w:rsid w:val="00890BC7"/>
    <w:rsid w:val="008977EB"/>
    <w:rsid w:val="008D57F4"/>
    <w:rsid w:val="008E2A98"/>
    <w:rsid w:val="008F1A81"/>
    <w:rsid w:val="008F4803"/>
    <w:rsid w:val="00904CD0"/>
    <w:rsid w:val="0091508B"/>
    <w:rsid w:val="00922E93"/>
    <w:rsid w:val="00937C42"/>
    <w:rsid w:val="00952D52"/>
    <w:rsid w:val="009723CD"/>
    <w:rsid w:val="009755BA"/>
    <w:rsid w:val="00976B5A"/>
    <w:rsid w:val="00981E8D"/>
    <w:rsid w:val="0098664F"/>
    <w:rsid w:val="009C7757"/>
    <w:rsid w:val="00A33E3F"/>
    <w:rsid w:val="00A3572E"/>
    <w:rsid w:val="00A45866"/>
    <w:rsid w:val="00A504A7"/>
    <w:rsid w:val="00A74F0E"/>
    <w:rsid w:val="00A94106"/>
    <w:rsid w:val="00AA35FD"/>
    <w:rsid w:val="00AB4782"/>
    <w:rsid w:val="00AC3120"/>
    <w:rsid w:val="00B11E59"/>
    <w:rsid w:val="00B12E42"/>
    <w:rsid w:val="00B56188"/>
    <w:rsid w:val="00B72FBC"/>
    <w:rsid w:val="00B73D96"/>
    <w:rsid w:val="00B91C12"/>
    <w:rsid w:val="00BA3DF3"/>
    <w:rsid w:val="00BB0346"/>
    <w:rsid w:val="00BC58BE"/>
    <w:rsid w:val="00BD1C8C"/>
    <w:rsid w:val="00C14870"/>
    <w:rsid w:val="00C348D9"/>
    <w:rsid w:val="00C34E8E"/>
    <w:rsid w:val="00C65590"/>
    <w:rsid w:val="00C7318C"/>
    <w:rsid w:val="00C90548"/>
    <w:rsid w:val="00CD4161"/>
    <w:rsid w:val="00CD56F8"/>
    <w:rsid w:val="00CD7DC7"/>
    <w:rsid w:val="00D10692"/>
    <w:rsid w:val="00D17424"/>
    <w:rsid w:val="00D23E40"/>
    <w:rsid w:val="00D408EE"/>
    <w:rsid w:val="00D41E43"/>
    <w:rsid w:val="00D47265"/>
    <w:rsid w:val="00D53CB7"/>
    <w:rsid w:val="00D54F7D"/>
    <w:rsid w:val="00D839E7"/>
    <w:rsid w:val="00D90215"/>
    <w:rsid w:val="00D93AEB"/>
    <w:rsid w:val="00DA0056"/>
    <w:rsid w:val="00DB068F"/>
    <w:rsid w:val="00DB1A3B"/>
    <w:rsid w:val="00DC53A6"/>
    <w:rsid w:val="00DC7B3C"/>
    <w:rsid w:val="00DE3DD2"/>
    <w:rsid w:val="00DF54D1"/>
    <w:rsid w:val="00DF6173"/>
    <w:rsid w:val="00E011FF"/>
    <w:rsid w:val="00E07C8D"/>
    <w:rsid w:val="00E10012"/>
    <w:rsid w:val="00E17C22"/>
    <w:rsid w:val="00E404A0"/>
    <w:rsid w:val="00E70A86"/>
    <w:rsid w:val="00EA1B64"/>
    <w:rsid w:val="00EB62CC"/>
    <w:rsid w:val="00EF5285"/>
    <w:rsid w:val="00F03131"/>
    <w:rsid w:val="00F275E8"/>
    <w:rsid w:val="00F35D11"/>
    <w:rsid w:val="00F6615F"/>
    <w:rsid w:val="00F96C6A"/>
    <w:rsid w:val="00FA6AA9"/>
    <w:rsid w:val="00FB5B7C"/>
    <w:rsid w:val="00FD0D5D"/>
    <w:rsid w:val="00FE45B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FA962A6-E787-499B-93BA-436891452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qFormat/>
    <w:rsid w:val="00FB5B7C"/>
    <w:pPr>
      <w:suppressAutoHyphens/>
      <w:spacing w:after="0" w:line="240" w:lineRule="auto"/>
      <w:textAlignment w:val="baseline"/>
    </w:pPr>
    <w:rPr>
      <w:rFonts w:ascii="Liberation Serif" w:hAnsi="Liberation Serif" w:cs="Mangal"/>
      <w:kern w:val="1"/>
      <w:sz w:val="24"/>
      <w:szCs w:val="24"/>
      <w:lang w:eastAsia="zh-CN" w:bidi="hi-IN"/>
    </w:rPr>
  </w:style>
  <w:style w:type="paragraph" w:customStyle="1" w:styleId="Textbody">
    <w:name w:val="Text body"/>
    <w:basedOn w:val="Standard"/>
    <w:qFormat/>
    <w:rsid w:val="00FB5B7C"/>
    <w:pPr>
      <w:spacing w:after="140" w:line="288" w:lineRule="auto"/>
    </w:pPr>
  </w:style>
  <w:style w:type="character" w:styleId="CommentReference">
    <w:name w:val="annotation reference"/>
    <w:basedOn w:val="DefaultParagraphFont"/>
    <w:uiPriority w:val="99"/>
    <w:semiHidden/>
    <w:unhideWhenUsed/>
    <w:rsid w:val="008103E8"/>
    <w:rPr>
      <w:sz w:val="16"/>
      <w:szCs w:val="16"/>
    </w:rPr>
  </w:style>
  <w:style w:type="paragraph" w:styleId="CommentText">
    <w:name w:val="annotation text"/>
    <w:basedOn w:val="Normal"/>
    <w:link w:val="CommentTextChar"/>
    <w:uiPriority w:val="99"/>
    <w:semiHidden/>
    <w:unhideWhenUsed/>
    <w:rsid w:val="008103E8"/>
    <w:pPr>
      <w:spacing w:line="240" w:lineRule="auto"/>
    </w:pPr>
    <w:rPr>
      <w:sz w:val="20"/>
      <w:szCs w:val="20"/>
    </w:rPr>
  </w:style>
  <w:style w:type="character" w:customStyle="1" w:styleId="CommentTextChar">
    <w:name w:val="Comment Text Char"/>
    <w:basedOn w:val="DefaultParagraphFont"/>
    <w:link w:val="CommentText"/>
    <w:uiPriority w:val="99"/>
    <w:semiHidden/>
    <w:rsid w:val="008103E8"/>
    <w:rPr>
      <w:sz w:val="20"/>
      <w:szCs w:val="20"/>
    </w:rPr>
  </w:style>
  <w:style w:type="paragraph" w:styleId="CommentSubject">
    <w:name w:val="annotation subject"/>
    <w:basedOn w:val="CommentText"/>
    <w:next w:val="CommentText"/>
    <w:link w:val="CommentSubjectChar"/>
    <w:uiPriority w:val="99"/>
    <w:semiHidden/>
    <w:unhideWhenUsed/>
    <w:rsid w:val="008103E8"/>
    <w:rPr>
      <w:b/>
      <w:bCs/>
    </w:rPr>
  </w:style>
  <w:style w:type="character" w:customStyle="1" w:styleId="CommentSubjectChar">
    <w:name w:val="Comment Subject Char"/>
    <w:basedOn w:val="CommentTextChar"/>
    <w:link w:val="CommentSubject"/>
    <w:uiPriority w:val="99"/>
    <w:semiHidden/>
    <w:rsid w:val="008103E8"/>
    <w:rPr>
      <w:b/>
      <w:bCs/>
      <w:sz w:val="20"/>
      <w:szCs w:val="20"/>
    </w:rPr>
  </w:style>
  <w:style w:type="paragraph" w:styleId="BalloonText">
    <w:name w:val="Balloon Text"/>
    <w:basedOn w:val="Normal"/>
    <w:link w:val="BalloonTextChar"/>
    <w:uiPriority w:val="99"/>
    <w:semiHidden/>
    <w:unhideWhenUsed/>
    <w:rsid w:val="00810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3E8"/>
    <w:rPr>
      <w:rFonts w:ascii="Segoe UI" w:hAnsi="Segoe UI" w:cs="Segoe UI"/>
      <w:sz w:val="18"/>
      <w:szCs w:val="18"/>
    </w:rPr>
  </w:style>
  <w:style w:type="paragraph" w:styleId="ListParagraph">
    <w:name w:val="List Paragraph"/>
    <w:basedOn w:val="Normal"/>
    <w:uiPriority w:val="34"/>
    <w:qFormat/>
    <w:rsid w:val="00117537"/>
    <w:pPr>
      <w:ind w:left="720"/>
      <w:contextualSpacing/>
    </w:pPr>
  </w:style>
  <w:style w:type="paragraph" w:styleId="Revision">
    <w:name w:val="Revision"/>
    <w:hidden/>
    <w:uiPriority w:val="99"/>
    <w:semiHidden/>
    <w:rsid w:val="00DA0056"/>
    <w:pPr>
      <w:spacing w:after="0" w:line="240" w:lineRule="auto"/>
    </w:pPr>
  </w:style>
  <w:style w:type="paragraph" w:styleId="Header">
    <w:name w:val="header"/>
    <w:basedOn w:val="Normal"/>
    <w:link w:val="HeaderChar"/>
    <w:uiPriority w:val="99"/>
    <w:unhideWhenUsed/>
    <w:rsid w:val="00355C58"/>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5C58"/>
  </w:style>
  <w:style w:type="paragraph" w:styleId="Footer">
    <w:name w:val="footer"/>
    <w:basedOn w:val="Normal"/>
    <w:link w:val="FooterChar"/>
    <w:uiPriority w:val="99"/>
    <w:unhideWhenUsed/>
    <w:rsid w:val="00355C58"/>
    <w:pPr>
      <w:tabs>
        <w:tab w:val="center" w:pos="4536"/>
        <w:tab w:val="right" w:pos="9072"/>
      </w:tabs>
      <w:spacing w:after="0" w:line="240" w:lineRule="auto"/>
    </w:pPr>
  </w:style>
  <w:style w:type="character" w:customStyle="1" w:styleId="FooterChar">
    <w:name w:val="Footer Char"/>
    <w:basedOn w:val="DefaultParagraphFont"/>
    <w:link w:val="Footer"/>
    <w:uiPriority w:val="99"/>
    <w:rsid w:val="00355C58"/>
  </w:style>
  <w:style w:type="paragraph" w:customStyle="1" w:styleId="SNREPUBLIQUE">
    <w:name w:val="SNREPUBLIQUE"/>
    <w:basedOn w:val="Normal"/>
    <w:rsid w:val="00014AE2"/>
    <w:pPr>
      <w:suppressAutoHyphens/>
      <w:spacing w:after="0" w:line="240" w:lineRule="auto"/>
      <w:jc w:val="center"/>
    </w:pPr>
    <w:rPr>
      <w:rFonts w:ascii="Times New Roman" w:eastAsia="Times New Roman" w:hAnsi="Times New Roman" w:cs="Times New Roman"/>
      <w:b/>
      <w:bCs/>
      <w:sz w:val="24"/>
      <w:szCs w:val="20"/>
      <w:lang w:eastAsia="zh-CN"/>
    </w:rPr>
  </w:style>
  <w:style w:type="paragraph" w:customStyle="1" w:styleId="SNTimbre">
    <w:name w:val="SNTimbre"/>
    <w:basedOn w:val="Normal"/>
    <w:rsid w:val="00014AE2"/>
    <w:pPr>
      <w:widowControl w:val="0"/>
      <w:suppressAutoHyphens/>
      <w:snapToGrid w:val="0"/>
      <w:spacing w:before="120" w:after="0" w:line="240" w:lineRule="auto"/>
      <w:jc w:val="center"/>
    </w:pPr>
    <w:rPr>
      <w:rFonts w:ascii="Times New Roman" w:eastAsia="Lucida Sans Unicode" w:hAnsi="Times New Roman" w:cs="Times New Roman"/>
      <w:sz w:val="24"/>
      <w:szCs w:val="24"/>
      <w:lang w:eastAsia="zh-CN"/>
    </w:rPr>
  </w:style>
  <w:style w:type="paragraph" w:customStyle="1" w:styleId="SNNature">
    <w:name w:val="SNNature"/>
    <w:basedOn w:val="Normal"/>
    <w:next w:val="Normal"/>
    <w:rsid w:val="00014AE2"/>
    <w:pPr>
      <w:widowControl w:val="0"/>
      <w:suppressLineNumbers/>
      <w:suppressAutoHyphens/>
      <w:spacing w:before="720" w:after="120" w:line="240" w:lineRule="auto"/>
      <w:jc w:val="center"/>
    </w:pPr>
    <w:rPr>
      <w:rFonts w:ascii="Times New Roman" w:eastAsia="Lucida Sans Unicode" w:hAnsi="Times New Roman" w:cs="Times New Roman"/>
      <w:b/>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4980">
      <w:bodyDiv w:val="1"/>
      <w:marLeft w:val="0"/>
      <w:marRight w:val="0"/>
      <w:marTop w:val="0"/>
      <w:marBottom w:val="0"/>
      <w:divBdr>
        <w:top w:val="none" w:sz="0" w:space="0" w:color="auto"/>
        <w:left w:val="none" w:sz="0" w:space="0" w:color="auto"/>
        <w:bottom w:val="none" w:sz="0" w:space="0" w:color="auto"/>
        <w:right w:val="none" w:sz="0" w:space="0" w:color="auto"/>
      </w:divBdr>
    </w:div>
    <w:div w:id="315769638">
      <w:bodyDiv w:val="1"/>
      <w:marLeft w:val="0"/>
      <w:marRight w:val="0"/>
      <w:marTop w:val="0"/>
      <w:marBottom w:val="0"/>
      <w:divBdr>
        <w:top w:val="none" w:sz="0" w:space="0" w:color="auto"/>
        <w:left w:val="none" w:sz="0" w:space="0" w:color="auto"/>
        <w:bottom w:val="none" w:sz="0" w:space="0" w:color="auto"/>
        <w:right w:val="none" w:sz="0" w:space="0" w:color="auto"/>
      </w:divBdr>
      <w:divsChild>
        <w:div w:id="923606772">
          <w:marLeft w:val="0"/>
          <w:marRight w:val="0"/>
          <w:marTop w:val="0"/>
          <w:marBottom w:val="0"/>
          <w:divBdr>
            <w:top w:val="none" w:sz="0" w:space="0" w:color="auto"/>
            <w:left w:val="none" w:sz="0" w:space="0" w:color="auto"/>
            <w:bottom w:val="none" w:sz="0" w:space="0" w:color="auto"/>
            <w:right w:val="none" w:sz="0" w:space="0" w:color="auto"/>
          </w:divBdr>
          <w:divsChild>
            <w:div w:id="135476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64708">
      <w:bodyDiv w:val="1"/>
      <w:marLeft w:val="0"/>
      <w:marRight w:val="0"/>
      <w:marTop w:val="0"/>
      <w:marBottom w:val="0"/>
      <w:divBdr>
        <w:top w:val="none" w:sz="0" w:space="0" w:color="auto"/>
        <w:left w:val="none" w:sz="0" w:space="0" w:color="auto"/>
        <w:bottom w:val="none" w:sz="0" w:space="0" w:color="auto"/>
        <w:right w:val="none" w:sz="0" w:space="0" w:color="auto"/>
      </w:divBdr>
    </w:div>
    <w:div w:id="692000648">
      <w:bodyDiv w:val="1"/>
      <w:marLeft w:val="0"/>
      <w:marRight w:val="0"/>
      <w:marTop w:val="0"/>
      <w:marBottom w:val="0"/>
      <w:divBdr>
        <w:top w:val="none" w:sz="0" w:space="0" w:color="auto"/>
        <w:left w:val="none" w:sz="0" w:space="0" w:color="auto"/>
        <w:bottom w:val="none" w:sz="0" w:space="0" w:color="auto"/>
        <w:right w:val="none" w:sz="0" w:space="0" w:color="auto"/>
      </w:divBdr>
      <w:divsChild>
        <w:div w:id="1473251530">
          <w:marLeft w:val="0"/>
          <w:marRight w:val="0"/>
          <w:marTop w:val="0"/>
          <w:marBottom w:val="0"/>
          <w:divBdr>
            <w:top w:val="none" w:sz="0" w:space="0" w:color="auto"/>
            <w:left w:val="none" w:sz="0" w:space="0" w:color="auto"/>
            <w:bottom w:val="none" w:sz="0" w:space="0" w:color="auto"/>
            <w:right w:val="none" w:sz="0" w:space="0" w:color="auto"/>
          </w:divBdr>
        </w:div>
        <w:div w:id="1079864399">
          <w:marLeft w:val="0"/>
          <w:marRight w:val="0"/>
          <w:marTop w:val="0"/>
          <w:marBottom w:val="0"/>
          <w:divBdr>
            <w:top w:val="none" w:sz="0" w:space="0" w:color="auto"/>
            <w:left w:val="none" w:sz="0" w:space="0" w:color="auto"/>
            <w:bottom w:val="none" w:sz="0" w:space="0" w:color="auto"/>
            <w:right w:val="none" w:sz="0" w:space="0" w:color="auto"/>
          </w:divBdr>
        </w:div>
        <w:div w:id="689378480">
          <w:marLeft w:val="0"/>
          <w:marRight w:val="0"/>
          <w:marTop w:val="0"/>
          <w:marBottom w:val="0"/>
          <w:divBdr>
            <w:top w:val="none" w:sz="0" w:space="0" w:color="auto"/>
            <w:left w:val="none" w:sz="0" w:space="0" w:color="auto"/>
            <w:bottom w:val="none" w:sz="0" w:space="0" w:color="auto"/>
            <w:right w:val="none" w:sz="0" w:space="0" w:color="auto"/>
          </w:divBdr>
        </w:div>
      </w:divsChild>
    </w:div>
    <w:div w:id="734356246">
      <w:bodyDiv w:val="1"/>
      <w:marLeft w:val="0"/>
      <w:marRight w:val="0"/>
      <w:marTop w:val="0"/>
      <w:marBottom w:val="0"/>
      <w:divBdr>
        <w:top w:val="none" w:sz="0" w:space="0" w:color="auto"/>
        <w:left w:val="none" w:sz="0" w:space="0" w:color="auto"/>
        <w:bottom w:val="none" w:sz="0" w:space="0" w:color="auto"/>
        <w:right w:val="none" w:sz="0" w:space="0" w:color="auto"/>
      </w:divBdr>
      <w:divsChild>
        <w:div w:id="21323214">
          <w:marLeft w:val="0"/>
          <w:marRight w:val="0"/>
          <w:marTop w:val="0"/>
          <w:marBottom w:val="0"/>
          <w:divBdr>
            <w:top w:val="none" w:sz="0" w:space="0" w:color="auto"/>
            <w:left w:val="none" w:sz="0" w:space="0" w:color="auto"/>
            <w:bottom w:val="none" w:sz="0" w:space="0" w:color="auto"/>
            <w:right w:val="none" w:sz="0" w:space="0" w:color="auto"/>
          </w:divBdr>
        </w:div>
        <w:div w:id="1061170837">
          <w:marLeft w:val="0"/>
          <w:marRight w:val="0"/>
          <w:marTop w:val="0"/>
          <w:marBottom w:val="0"/>
          <w:divBdr>
            <w:top w:val="none" w:sz="0" w:space="0" w:color="auto"/>
            <w:left w:val="none" w:sz="0" w:space="0" w:color="auto"/>
            <w:bottom w:val="none" w:sz="0" w:space="0" w:color="auto"/>
            <w:right w:val="none" w:sz="0" w:space="0" w:color="auto"/>
          </w:divBdr>
        </w:div>
      </w:divsChild>
    </w:div>
    <w:div w:id="1130443531">
      <w:bodyDiv w:val="1"/>
      <w:marLeft w:val="0"/>
      <w:marRight w:val="0"/>
      <w:marTop w:val="0"/>
      <w:marBottom w:val="0"/>
      <w:divBdr>
        <w:top w:val="none" w:sz="0" w:space="0" w:color="auto"/>
        <w:left w:val="none" w:sz="0" w:space="0" w:color="auto"/>
        <w:bottom w:val="none" w:sz="0" w:space="0" w:color="auto"/>
        <w:right w:val="none" w:sz="0" w:space="0" w:color="auto"/>
      </w:divBdr>
    </w:div>
    <w:div w:id="1189028738">
      <w:bodyDiv w:val="1"/>
      <w:marLeft w:val="0"/>
      <w:marRight w:val="0"/>
      <w:marTop w:val="0"/>
      <w:marBottom w:val="0"/>
      <w:divBdr>
        <w:top w:val="none" w:sz="0" w:space="0" w:color="auto"/>
        <w:left w:val="none" w:sz="0" w:space="0" w:color="auto"/>
        <w:bottom w:val="none" w:sz="0" w:space="0" w:color="auto"/>
        <w:right w:val="none" w:sz="0" w:space="0" w:color="auto"/>
      </w:divBdr>
      <w:divsChild>
        <w:div w:id="866412972">
          <w:marLeft w:val="0"/>
          <w:marRight w:val="0"/>
          <w:marTop w:val="0"/>
          <w:marBottom w:val="0"/>
          <w:divBdr>
            <w:top w:val="none" w:sz="0" w:space="0" w:color="auto"/>
            <w:left w:val="none" w:sz="0" w:space="0" w:color="auto"/>
            <w:bottom w:val="none" w:sz="0" w:space="0" w:color="auto"/>
            <w:right w:val="none" w:sz="0" w:space="0" w:color="auto"/>
          </w:divBdr>
        </w:div>
        <w:div w:id="1350372662">
          <w:marLeft w:val="0"/>
          <w:marRight w:val="0"/>
          <w:marTop w:val="0"/>
          <w:marBottom w:val="0"/>
          <w:divBdr>
            <w:top w:val="none" w:sz="0" w:space="0" w:color="auto"/>
            <w:left w:val="none" w:sz="0" w:space="0" w:color="auto"/>
            <w:bottom w:val="none" w:sz="0" w:space="0" w:color="auto"/>
            <w:right w:val="none" w:sz="0" w:space="0" w:color="auto"/>
          </w:divBdr>
        </w:div>
        <w:div w:id="1457065930">
          <w:marLeft w:val="0"/>
          <w:marRight w:val="0"/>
          <w:marTop w:val="0"/>
          <w:marBottom w:val="0"/>
          <w:divBdr>
            <w:top w:val="none" w:sz="0" w:space="0" w:color="auto"/>
            <w:left w:val="none" w:sz="0" w:space="0" w:color="auto"/>
            <w:bottom w:val="none" w:sz="0" w:space="0" w:color="auto"/>
            <w:right w:val="none" w:sz="0" w:space="0" w:color="auto"/>
          </w:divBdr>
        </w:div>
      </w:divsChild>
    </w:div>
    <w:div w:id="127339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E5AE8-3AB6-4BA5-B90D-7B5DA20F7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1254</Words>
  <Characters>8654</Characters>
  <Application>Microsoft Office Word</Application>
  <DocSecurity>0</DocSecurity>
  <Lines>72</Lines>
  <Paragraphs>19</Paragraphs>
  <ScaleCrop>false</ScaleCrop>
  <HeadingPairs>
    <vt:vector size="2" baseType="variant">
      <vt:variant>
        <vt:lpstr>Titre</vt:lpstr>
      </vt:variant>
      <vt:variant>
        <vt:i4>1</vt:i4>
      </vt:variant>
    </vt:vector>
  </HeadingPairs>
  <TitlesOfParts>
    <vt:vector size="1" baseType="lpstr">
      <vt:lpstr/>
    </vt:vector>
  </TitlesOfParts>
  <Company>MINEFI</Company>
  <LinksUpToDate>false</LinksUpToDate>
  <CharactersWithSpaces>9889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FEVRE Cecile</dc:creator>
  <cp:lastModifiedBy>JUHASZ, Reka</cp:lastModifiedBy>
  <cp:revision>5</cp:revision>
  <cp:lastPrinted>2019-07-18T11:34:00Z</cp:lastPrinted>
  <dcterms:created xsi:type="dcterms:W3CDTF">2019-07-18T13:11:00Z</dcterms:created>
  <dcterms:modified xsi:type="dcterms:W3CDTF">2019-07-24T11:49:00Z</dcterms:modified>
</cp:coreProperties>
</file>