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KARALIŠKOJO DEKRETO, KURIUO REGLAMENTUOJAMAS SKUBIOS PAGALBOS RYŠYS BENDRUOJU PAGALBOS TELEFONO NUMERIU 112, PROJEKTAS.</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1991 m. liepos 29 d. Europos Sąjungos Tarybos sprendimu valstybės narės įpareigojamos įvesti telefono numerį 112 kaip vieną Europos skubios pagalbos iškvietimo telefono numerį.</w:t>
      </w:r>
    </w:p>
    <w:p w14:paraId="6376BDD0" w14:textId="547E9F35" w:rsidR="00E027DA" w:rsidRPr="00665FA8" w:rsidRDefault="00F67865" w:rsidP="00E027DA">
      <w:pPr>
        <w:jc w:val="both"/>
        <w:rPr>
          <w:rFonts w:cstheme="minorHAnsi"/>
          <w:sz w:val="24"/>
          <w:szCs w:val="24"/>
        </w:rPr>
      </w:pPr>
      <w:r>
        <w:rPr>
          <w:sz w:val="24"/>
        </w:rPr>
        <w:t>Šiuo atžvilgiu visose Europos Sąjungos šalyse įdiegus bendrą skubios pagalbos iškvietimo telefono numerį, piliečiai savo šalyje arba kitoje valstybėje narėje įgijo galimybę lengviau susisiekti su skubios pagalbos iškvietimo tarnybomis telefonu.</w:t>
      </w:r>
    </w:p>
    <w:p w14:paraId="47E353DB" w14:textId="1302357D" w:rsidR="00E027DA" w:rsidRPr="00665FA8" w:rsidRDefault="00E027DA" w:rsidP="00E027DA">
      <w:pPr>
        <w:jc w:val="both"/>
        <w:rPr>
          <w:rFonts w:cstheme="minorHAnsi"/>
          <w:sz w:val="24"/>
          <w:szCs w:val="24"/>
        </w:rPr>
      </w:pPr>
      <w:r>
        <w:rPr>
          <w:sz w:val="24"/>
        </w:rPr>
        <w:t>1997 m. birželio 16 d. Karališkuoju dekretu Nr. 903/1997, kuriuo reglamentuojama prieiga telekomunikacijų tinklais prie skubios pagalbos iškvietimo paslaugos 112 numeriu, buvo sudarytos sąlygos telefono numerį 112 naudoti tik Ispanijoje, kad būtų galima naudotis pagalbos iškvietimo paslauga, ir reguliuojama prieiga prie šios paslaugos per telefono operatorių tinklus. Vėliau 1999 m. spalio 14 d. įsakymu dėl informacijos, susijusios su skubios pagalbos iškvietimo paslaugos teikimu, teikimo sąlygų buvo suteiktas numeris 112.</w:t>
      </w:r>
    </w:p>
    <w:p w14:paraId="7695F0AE" w14:textId="1D3B8770" w:rsidR="00E027DA" w:rsidRPr="00665FA8" w:rsidRDefault="00E027DA" w:rsidP="00E027DA">
      <w:pPr>
        <w:jc w:val="both"/>
        <w:rPr>
          <w:rFonts w:cstheme="minorHAnsi"/>
          <w:sz w:val="24"/>
          <w:szCs w:val="24"/>
        </w:rPr>
      </w:pPr>
      <w:r>
        <w:rPr>
          <w:sz w:val="24"/>
        </w:rPr>
        <w:t>Nepaisant sėkmingo paslaugų teikimo numeriu 112 modelio įgyvendinimo per daugelį metų sukaupus patirtį, 2018 m. gruodžio 11 d. Europos Parlamento ir Tarybos direktyva (ES) 2018/1972, kuria nustatomas Europos elektroninių ryšių kodeksas (toliau – EERK), sustiprinta informacija ir sklaida apie jo naudojimą, nustatyta techninė pažanga, leidžianti tiksliau nustatyti skambinančio asmens buvimo vietą, ir pagerinta neįgaliųjų prieiga prie skubios pagalbos tarnybų skubios pagalbos ryšiu.</w:t>
      </w:r>
    </w:p>
    <w:p w14:paraId="258B4F42" w14:textId="7A1048A7" w:rsidR="00EB2A27" w:rsidRDefault="00BE5C76" w:rsidP="00E027DA">
      <w:pPr>
        <w:jc w:val="both"/>
        <w:rPr>
          <w:rFonts w:cstheme="minorHAnsi"/>
          <w:sz w:val="24"/>
          <w:szCs w:val="24"/>
        </w:rPr>
      </w:pPr>
      <w:r>
        <w:rPr>
          <w:sz w:val="24"/>
        </w:rPr>
        <w:t>2022 m. birželio 28 d. Įstatymo Nr. 11/2022 dėl bendrųjų telekomunikacijų, kuriuo į Ispanijos teisę perkeltas Europos elektroninių ryšių kodekso 109 straipsnis, 74 straipsniu reglamentuojamas skubios pagalbos ryšys ir pagalbos telefono numeris 112.</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t xml:space="preserve">Minėtame Bendrųjų telekomunikacijų įstatymo 74 straipsnyje jau reglamentuojami elementai, sudarantys ryšio paslaugą numeriu 112, nustatant, kad skubios pagalbos iškvietimo paslauga vartotojams bus nemokama, neatsižvelgiant į paslaugą teikiančią </w:t>
      </w:r>
      <w:r>
        <w:rPr>
          <w:sz w:val="24"/>
        </w:rPr>
        <w:lastRenderedPageBreak/>
        <w:t>viešąją administraciją ir naudojamo terminalo tipą. Be to, jame nustatyta, kad neįgaliems galutiniams paslaugų gavėjams suteikiama galimybė naudotis skubios pagalbos iškvietimo paslaugomis turi būti tokia pati, kokia naudojasi kiti galutiniai paslaugų gavėjai.</w:t>
      </w:r>
    </w:p>
    <w:p w14:paraId="14F9C1E6" w14:textId="0F8F305A" w:rsidR="00E027DA" w:rsidRPr="00665FA8" w:rsidRDefault="00E027DA" w:rsidP="00E027DA">
      <w:pPr>
        <w:jc w:val="both"/>
        <w:rPr>
          <w:rFonts w:cstheme="minorHAnsi"/>
          <w:sz w:val="24"/>
          <w:szCs w:val="24"/>
        </w:rPr>
      </w:pPr>
      <w:r>
        <w:rPr>
          <w:sz w:val="24"/>
        </w:rPr>
        <w:t>Tame pačiame 74 straipsnyje operatoriams nustatytas įpareigojimas nukreipti skambučius telefono numeriu 112 pagalbos tarnyboms be teisės gauti finansinę kompensaciją, taip pat patikslinama, kad kriterijai dėl pagalbos tarnyboms teikiamos informacijos apie skambinančių buvimo vietą tikslumo ir patikimumo nustatomi karališkuoju dekretu.</w:t>
      </w:r>
    </w:p>
    <w:p w14:paraId="59640755" w14:textId="2A3944F4" w:rsidR="00E027DA" w:rsidRPr="00665FA8" w:rsidRDefault="00E027DA" w:rsidP="00E027DA">
      <w:pPr>
        <w:jc w:val="both"/>
        <w:rPr>
          <w:rFonts w:cstheme="minorHAnsi"/>
          <w:sz w:val="24"/>
          <w:szCs w:val="24"/>
        </w:rPr>
      </w:pPr>
      <w:r>
        <w:rPr>
          <w:sz w:val="24"/>
        </w:rPr>
        <w:t>Galiausiai už 112 numerio paslaugų teikimą atsakingos institucijos užtikrins, kad piliečiai gautų tinkamą informaciją apie šio numerio buvimą ir naudojimą, ypač imdamosi iniciatyvų, skirtų asmenims, keliaujantiems į kitas Europos Sąjungos valstybes nares.</w:t>
      </w:r>
    </w:p>
    <w:p w14:paraId="544B0562" w14:textId="198314CE" w:rsidR="00F67865" w:rsidRPr="00665FA8" w:rsidRDefault="00F67865" w:rsidP="00E027DA">
      <w:pPr>
        <w:jc w:val="both"/>
        <w:rPr>
          <w:rFonts w:cstheme="minorHAnsi"/>
          <w:sz w:val="24"/>
          <w:szCs w:val="24"/>
        </w:rPr>
      </w:pPr>
      <w:r>
        <w:rPr>
          <w:sz w:val="24"/>
        </w:rPr>
        <w:t>Ispanijos patirtis skubios pagalbos iškvietimo telefono numeriu 112 srityje yra etalonas kitoms šalims, taip pat tai sėkminga viešojo administravimo institucijų bendradarbiavimo patirtis, nes nereikėtų pamiršti, kad nuo pat pradžių už skubios pagalbos ryšių priėmimo centrų, kurie yra pagrindinis sistemos elementas, valdymą buvo atsakingos autonominės sritys.</w:t>
      </w:r>
    </w:p>
    <w:p w14:paraId="244FC978" w14:textId="62557327" w:rsidR="00E027DA" w:rsidRPr="00665FA8" w:rsidRDefault="00F67865" w:rsidP="00E027DA">
      <w:pPr>
        <w:jc w:val="both"/>
        <w:rPr>
          <w:rFonts w:cstheme="minorHAnsi"/>
          <w:sz w:val="24"/>
          <w:szCs w:val="24"/>
        </w:rPr>
      </w:pPr>
      <w:r>
        <w:rPr>
          <w:sz w:val="24"/>
        </w:rPr>
        <w:t>Tačiau būtina toliau daryti pažangą, kad pagalbos paslauga 112, ypač atsižvelgiant į naujas aplinkybes, susidariusias dėl COVID-19 pandemijos, taptų dar geriau reaguojančia paslauga piliečiams, naudojant visas turimas technologines ir materialines priemones bet kokiems nenumatytiems atvejams, dėl kurių kyla pavojus žmonių gyvybei, spręsti.</w:t>
      </w:r>
    </w:p>
    <w:p w14:paraId="69159036" w14:textId="4E717157" w:rsidR="00E027DA" w:rsidRPr="00665FA8" w:rsidRDefault="00E027DA" w:rsidP="00E027DA">
      <w:pPr>
        <w:jc w:val="both"/>
        <w:rPr>
          <w:rFonts w:cstheme="minorHAnsi"/>
          <w:sz w:val="24"/>
          <w:szCs w:val="24"/>
        </w:rPr>
      </w:pPr>
      <w:r>
        <w:rPr>
          <w:sz w:val="24"/>
        </w:rPr>
        <w:t>Trumpai tariant, šiame karališkajame dekrete daromi pakeitimai, kuriais siekiama sukurti tekstą, kuris nuosekliai ir sistematiškai atitiktų Bendrųjų telekomunikacijų įstatymo 74 straipsnio nuostatas ir į kurį būtų įtraukta naujausia technologijų pažanga šioje srityje.</w:t>
      </w:r>
    </w:p>
    <w:p w14:paraId="6D7877BF" w14:textId="219F1065" w:rsidR="00E027DA" w:rsidRPr="00665FA8" w:rsidRDefault="00E027DA" w:rsidP="00E027DA">
      <w:pPr>
        <w:jc w:val="both"/>
        <w:rPr>
          <w:rFonts w:cstheme="minorHAnsi"/>
          <w:sz w:val="24"/>
          <w:szCs w:val="24"/>
        </w:rPr>
      </w:pPr>
      <w:r>
        <w:rPr>
          <w:sz w:val="24"/>
        </w:rPr>
        <w:t>Šiuo atžvilgiu vienas iš pagrindinių šios reguliavimo nuostatos tikslų buvo pagerinti skambinančiojo vietos nustatymo informaciją, įtraukiant AML priemonę (angl. – Advanced Mobile Location), kitaip tariant, teikti skubios pagalbos tarnyboms tikslesnę vietos nustatymo informaciją, pagrįstą skambinančiojo mobiliojo ryšio terminalu.</w:t>
      </w:r>
    </w:p>
    <w:p w14:paraId="52A5EC1A" w14:textId="374D857F" w:rsidR="00E027DA" w:rsidRPr="00665FA8" w:rsidRDefault="00E027DA" w:rsidP="00E027DA">
      <w:pPr>
        <w:jc w:val="both"/>
        <w:rPr>
          <w:rFonts w:cstheme="minorHAnsi"/>
          <w:sz w:val="24"/>
          <w:szCs w:val="24"/>
        </w:rPr>
      </w:pPr>
      <w:r>
        <w:rPr>
          <w:sz w:val="24"/>
        </w:rPr>
        <w:lastRenderedPageBreak/>
        <w:t>Be to, pagal Bendrųjų telekomunikacijų įstatymo 74 straipsnio nuostatas šiuo karališkuoju dekretu neįgaliesiems suteikiama lygiavertė prieiga prie numerio 112 paslaugos, užtikrinant vienodas galimybes net ir keliaujant iš kitos valstybės narės. Tuo taip pat skatinama prieiga prie skubios pagalbos iškvietimo paslaugų iš elektroninių ryšių tinklų, kurie nėra prieinami visuomenei, ir pabrėžiama, kad galutiniams paslaugų gavėjams reikia gauti tinkamą informaciją apie Europos bendrojo pagalbos telefono numerio 112 buvimą ir naudojimą, taip pat apie jo prieinamumo savybes.</w:t>
      </w:r>
    </w:p>
    <w:p w14:paraId="6656B6AD" w14:textId="130A94B2" w:rsidR="00E027DA" w:rsidRPr="00665FA8" w:rsidRDefault="00E027DA" w:rsidP="00E027DA">
      <w:pPr>
        <w:jc w:val="both"/>
        <w:rPr>
          <w:rFonts w:cstheme="minorHAnsi"/>
          <w:sz w:val="24"/>
          <w:szCs w:val="24"/>
        </w:rPr>
      </w:pPr>
      <w:r>
        <w:rPr>
          <w:sz w:val="24"/>
        </w:rPr>
        <w:t>Galiausiai karališkajame dekrete nagrinėjamas klausimas dėl tinkamo asmens duomenų naudojimo ir jų apsaugos užtikrinimo teikiant skubios pagalbos paslaugas skubios pagalbos ryšiu, ypač kalbant apie vietos nustatymo informaciją iš mobiliųjų įrenginių, nes tai reiškia prieigą prie labai tikslių asmens vietos nustatymo duomenų ir jų tvarkymą, o tai tampa vis svarbiau dėl vis dažnesnio ir platesnio asmeninės informacijos naudojimo.</w:t>
      </w:r>
    </w:p>
    <w:p w14:paraId="67A2E597" w14:textId="38BB6A68" w:rsidR="00E027DA" w:rsidRPr="00665FA8" w:rsidRDefault="0089567D" w:rsidP="00E027DA">
      <w:pPr>
        <w:jc w:val="both"/>
        <w:rPr>
          <w:rFonts w:cstheme="minorHAnsi"/>
          <w:sz w:val="24"/>
          <w:szCs w:val="24"/>
        </w:rPr>
      </w:pPr>
      <w:r>
        <w:rPr>
          <w:sz w:val="24"/>
        </w:rPr>
        <w:t>Trumpai tariant, šis karališkasis dekretas turi padėti teikti skubios pagalbos ryšio paslaugas, atsižvelgiant į XXI a. technologijų plėtros teikiamas galimybes, siekiant galutinio tikslo – teikti aukščiausios kokybės skubios pagalbos paslaugas bendruoju Europos numeriu 112.</w:t>
      </w:r>
    </w:p>
    <w:p w14:paraId="3CCC4768" w14:textId="52FBBBF6" w:rsidR="00E027DA" w:rsidRDefault="00E027DA" w:rsidP="00E027DA">
      <w:pPr>
        <w:jc w:val="both"/>
        <w:rPr>
          <w:rFonts w:cstheme="minorHAnsi"/>
          <w:sz w:val="24"/>
          <w:szCs w:val="24"/>
        </w:rPr>
      </w:pPr>
      <w:r>
        <w:rPr>
          <w:sz w:val="24"/>
        </w:rPr>
        <w:t>Kalbant apie karališkojo dekreto turinį ir tvarkymą, jis atitinka 2015 m. spalio 1 d. Įstatymo Nr. 39/2015 dėl bendros viešojo administravimo institucijų administracinės procedūros 129 straipsnyje nurodytus gero reglamentavimo principus.</w:t>
      </w:r>
    </w:p>
    <w:p w14:paraId="38F1EBD0" w14:textId="77777777" w:rsidR="00A81C7E" w:rsidRDefault="00AE2097" w:rsidP="00AE2097">
      <w:pPr>
        <w:jc w:val="both"/>
        <w:rPr>
          <w:rFonts w:cstheme="minorHAnsi"/>
          <w:sz w:val="24"/>
          <w:szCs w:val="24"/>
        </w:rPr>
      </w:pPr>
      <w:r>
        <w:rPr>
          <w:sz w:val="24"/>
        </w:rPr>
        <w:t>Rengiant karališkąjį dekretą buvo išklausyti susiję piliečiai ir sektoriai, ir buvo paprašyta Nacionalinės rinkų ir konkurencijos komisijos ataskaitos.</w:t>
      </w:r>
    </w:p>
    <w:p w14:paraId="6AAD9DAC" w14:textId="1864001D" w:rsidR="00AE2097" w:rsidRPr="00AE2097" w:rsidRDefault="00A06BFE" w:rsidP="00AE2097">
      <w:pPr>
        <w:jc w:val="both"/>
        <w:rPr>
          <w:rFonts w:cstheme="minorHAnsi"/>
          <w:sz w:val="24"/>
          <w:szCs w:val="24"/>
        </w:rPr>
      </w:pPr>
      <w:r>
        <w:rPr>
          <w:sz w:val="24"/>
        </w:rPr>
        <w:t>Šiam karališkajam dekretui taikoma procedūra, numatyta 2015 m. rugsėjo 9 d. Europos Parlamento ir Tarybos direktyvoje (ES) 2015/1535, kuria nustatoma informacijos apie techninius reglamentus ir informacinės visuomenės paslaugų taisykles teikimo tvarka, taip pat 1999 m. liepos 31 d. Karališkojo dekreto Nr. 1337/1999, kuriuo reglamentuojamas informacijos apie techninius standartus, reglamentus ir informacinės visuomenės paslaugų taisykles teikimas, nuostatose.</w:t>
      </w:r>
    </w:p>
    <w:p w14:paraId="4A987318" w14:textId="3A667D94" w:rsidR="00AE2097" w:rsidRPr="00AE2097" w:rsidRDefault="00AE2097" w:rsidP="00AE2097">
      <w:pPr>
        <w:jc w:val="both"/>
        <w:rPr>
          <w:rFonts w:cstheme="minorHAnsi"/>
          <w:sz w:val="24"/>
          <w:szCs w:val="24"/>
        </w:rPr>
      </w:pPr>
      <w:r>
        <w:rPr>
          <w:sz w:val="24"/>
        </w:rPr>
        <w:t>Šis karališkasis dekretas priimtas pagal Ispanijos Konstitucijos 149 straipsnio 1 dalies 21 ir 29 punktus, kuriais valstybei suteikiama kompetencija telekomunikacijų ir visuomenės saugumo srityje.</w:t>
      </w:r>
    </w:p>
    <w:p w14:paraId="6E6140D4" w14:textId="2A68573A" w:rsidR="00F70228" w:rsidRPr="00665FA8" w:rsidRDefault="00E027DA" w:rsidP="00E027DA">
      <w:pPr>
        <w:jc w:val="both"/>
        <w:rPr>
          <w:rFonts w:cstheme="minorHAnsi"/>
          <w:sz w:val="24"/>
          <w:szCs w:val="24"/>
        </w:rPr>
      </w:pPr>
      <w:r>
        <w:rPr>
          <w:sz w:val="24"/>
        </w:rPr>
        <w:lastRenderedPageBreak/>
        <w:t>Atsižvelgiant į tai, ekonomikos ir skaitmeninės transformacijos ministro ir vidaus reikalų ministro siūlymu, pritarus Valstybės Tarybai ir Ministrų Tarybai apsvarsčius, _________ d. įvykusiame posėdyje,</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NUTARIAMA:</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I SKYRIUS</w:t>
      </w:r>
    </w:p>
    <w:p w14:paraId="7DC17760" w14:textId="5D7F2D91" w:rsidR="00B655FC" w:rsidRPr="00665FA8" w:rsidRDefault="00B655FC" w:rsidP="00654EA5">
      <w:pPr>
        <w:jc w:val="center"/>
        <w:rPr>
          <w:rFonts w:cstheme="minorHAnsi"/>
          <w:b/>
          <w:bCs/>
          <w:sz w:val="24"/>
          <w:szCs w:val="24"/>
        </w:rPr>
      </w:pPr>
      <w:r>
        <w:rPr>
          <w:b/>
          <w:sz w:val="24"/>
        </w:rPr>
        <w:t>Bendrosios nuostatos</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1 straipsnis. Siekis ir tikslai.</w:t>
      </w:r>
    </w:p>
    <w:p w14:paraId="5F4E033B" w14:textId="4F355184" w:rsidR="002C4646" w:rsidRPr="00665FA8" w:rsidRDefault="002C4646" w:rsidP="00216CBB">
      <w:pPr>
        <w:jc w:val="both"/>
        <w:rPr>
          <w:rFonts w:cstheme="minorHAnsi"/>
          <w:bCs/>
          <w:sz w:val="24"/>
          <w:szCs w:val="24"/>
        </w:rPr>
      </w:pPr>
      <w:r>
        <w:rPr>
          <w:sz w:val="24"/>
        </w:rPr>
        <w:t>1. Šiuo karališkuoju dekretu, parengtu pagal 2022 m. birželio 28 d. Įstatymo Nr. 11/2022 dėl bendrųjų telekomunikacijų 74 straipsnį, siekiama reglamentuoti skubios pagalbos ryšius, skirtus susisiekti su skubios pagalbos tarnybomis bendruoju Europos numeriu 112.</w:t>
      </w:r>
    </w:p>
    <w:p w14:paraId="1EAEDCF1" w14:textId="5B493586" w:rsidR="00F41153" w:rsidRPr="00665FA8" w:rsidRDefault="002C4646" w:rsidP="002C4646">
      <w:pPr>
        <w:jc w:val="both"/>
        <w:rPr>
          <w:rFonts w:cstheme="minorHAnsi"/>
          <w:bCs/>
          <w:sz w:val="24"/>
          <w:szCs w:val="24"/>
        </w:rPr>
      </w:pPr>
      <w:r>
        <w:rPr>
          <w:sz w:val="24"/>
        </w:rPr>
        <w:t>2. Šiuo reglamentu siekiama šių tikslų:</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Užtikrinti, kad būtų išlaikytas aukščiausio lygio skubios pagalbos ryšio prieinamumas, vientisumas ir tęstinumas.</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Užtikrinti, kad tinklai ir įrenginiai, kuriems taikomas šis standartas, galėtų sėkmingai perduoti skubios pagalbos ryšį 112 skubios pagalbos paslaugai.</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t>Pateikti 112 skubios pagalbos paslaugai kuo tikslesnę vietos informaciją, kurią galima gauti skubios pagalbos ryšiui.</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t>Užtikrinti neįgaliems galutiniams paslaugų gavėjams galimybę naudotis pagalbos 112 paslauga lygiavertėmis kitiems naudotojams sąlygomis.</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t>2 straipsnis. Taikymo sritis</w:t>
      </w:r>
    </w:p>
    <w:p w14:paraId="371C94A6" w14:textId="79CE1E15" w:rsidR="004D313F" w:rsidRDefault="00DD0A72" w:rsidP="00DD0A72">
      <w:pPr>
        <w:jc w:val="both"/>
        <w:rPr>
          <w:rFonts w:cstheme="minorHAnsi"/>
          <w:bCs/>
          <w:sz w:val="24"/>
          <w:szCs w:val="24"/>
        </w:rPr>
      </w:pPr>
      <w:r>
        <w:rPr>
          <w:sz w:val="24"/>
        </w:rPr>
        <w:t xml:space="preserve">1. Šis karališkasis dekretas taikomas operatoriams, teikiantiems viešąsias asmenų tarpusavio ryšio paslaugas pagal numeraciją, kai tokios paslaugos leidžia galutiniams </w:t>
      </w:r>
      <w:r>
        <w:rPr>
          <w:sz w:val="24"/>
        </w:rPr>
        <w:lastRenderedPageBreak/>
        <w:t>paslaugų gavėjams skambinti naudojant viešuosius numeracijos išteklius, paskirtus pagal nacionalinius arba tarptautinius numeracijos planus.</w:t>
      </w:r>
    </w:p>
    <w:p w14:paraId="38952C23" w14:textId="186C6211" w:rsidR="00D83C45" w:rsidRPr="00665FA8" w:rsidRDefault="004B14A3" w:rsidP="00DD0A72">
      <w:pPr>
        <w:jc w:val="both"/>
        <w:rPr>
          <w:rFonts w:cstheme="minorHAnsi"/>
          <w:bCs/>
          <w:sz w:val="24"/>
          <w:szCs w:val="24"/>
        </w:rPr>
      </w:pPr>
      <w:r>
        <w:rPr>
          <w:sz w:val="24"/>
        </w:rPr>
        <w:t>2. Šis karališkasis dekretas taip pat taikomas subjektams, atsakingiems už elektroninių ryšių tinklus, kurie nėra prieinami visuomenei, tačiau leidžia skambinti viešaisiais tinklais, ypač tais atvejais, kai jie nesuteikia alternatyvios ir paprastos prieigos prie skubios pagalbos paslaugos.</w:t>
      </w:r>
    </w:p>
    <w:p w14:paraId="75994B45" w14:textId="7364F965" w:rsidR="00111AF9" w:rsidRPr="00665FA8" w:rsidRDefault="004B14A3" w:rsidP="00DD0A72">
      <w:pPr>
        <w:jc w:val="both"/>
        <w:rPr>
          <w:rFonts w:cstheme="minorHAnsi"/>
          <w:bCs/>
          <w:sz w:val="24"/>
          <w:szCs w:val="24"/>
        </w:rPr>
      </w:pPr>
      <w:r>
        <w:rPr>
          <w:sz w:val="24"/>
        </w:rPr>
        <w:t>3. Šis karališkasis dekretas taikomas balso ryšių paslaugoms, įskaitant ryšio priemones, specialiai skirtas neįgaliems galutiniams paslaugų gavėjams, kurie teksto režimu naudojasi teksto į kalbą arba pilnojo pokalbio paslaugomis.</w:t>
      </w:r>
    </w:p>
    <w:p w14:paraId="6AC0226C" w14:textId="5E3F13E6" w:rsidR="00B3150A" w:rsidRPr="00665FA8" w:rsidRDefault="00111AF9" w:rsidP="00491EF9">
      <w:pPr>
        <w:jc w:val="both"/>
        <w:rPr>
          <w:rFonts w:cstheme="minorHAnsi"/>
          <w:bCs/>
          <w:sz w:val="24"/>
          <w:szCs w:val="24"/>
        </w:rPr>
      </w:pPr>
      <w:r>
        <w:rPr>
          <w:sz w:val="24"/>
        </w:rPr>
        <w:t>Be to, skubios pagalbos ryšys gali būti suaktyvintas pagalbos skambučiu, sugeneruotu iš transporto priemonės, naudojančios „eCall“ sistemą, laikantis sąlygų, nustatytų 2015 m. balandžio 29 d. Europos Parlamento ir Tarybos reglamente (ES) 2015/758 dėl tipo patvirtinimo reikalavimų transporto priemonėse montuojamos numeriu 112 grindžiamos eCall iškvietos sistemos įdiegimo atžvilgiu, kuriuo iš dalies keičiama Direktyva 2007/46/EB.</w:t>
      </w:r>
    </w:p>
    <w:p w14:paraId="1363A3BC" w14:textId="3000956A" w:rsidR="004D313F" w:rsidRPr="00665FA8" w:rsidRDefault="00C23106" w:rsidP="00416655">
      <w:pPr>
        <w:jc w:val="both"/>
        <w:rPr>
          <w:rFonts w:cstheme="minorHAnsi"/>
          <w:bCs/>
          <w:sz w:val="24"/>
          <w:szCs w:val="24"/>
        </w:rPr>
      </w:pPr>
      <w:bookmarkStart w:id="0" w:name="_Hlk105786198"/>
      <w:r>
        <w:rPr>
          <w:sz w:val="24"/>
        </w:rPr>
        <w:t>4. Nešiojamų mobiliųjų įrenginių, turinčių kompiuterinių funkcijų (duomenų apdorojimo ir saugojimo pajėgumų požiūriu), operacinių sistemų gamintojai atsako už tai, kad tokios operacinės sistemos galėtų užtikrinti AML pažangios mobiliosios vietos informacijos funkciją iš paties įrenginio, kuris reglamentuojamas šiuo karališkuoju dekretu, kai įjungiamas skubios pagalbos ryšys.</w:t>
      </w:r>
    </w:p>
    <w:bookmarkEnd w:id="0"/>
    <w:p w14:paraId="708D0CCE" w14:textId="11912B3C" w:rsidR="004D313F" w:rsidRPr="00665FA8" w:rsidRDefault="00F74F1A" w:rsidP="00F63CA4">
      <w:pPr>
        <w:jc w:val="both"/>
        <w:rPr>
          <w:rFonts w:cstheme="minorHAnsi"/>
          <w:b/>
          <w:bCs/>
          <w:sz w:val="24"/>
          <w:szCs w:val="24"/>
        </w:rPr>
      </w:pPr>
      <w:r>
        <w:rPr>
          <w:b/>
          <w:sz w:val="24"/>
        </w:rPr>
        <w:t>3 straipsnis. Apibrėžtys</w:t>
      </w:r>
    </w:p>
    <w:p w14:paraId="464E637B" w14:textId="402D4F49" w:rsidR="00FB2916" w:rsidRPr="00665FA8" w:rsidRDefault="00FB2916" w:rsidP="00F63CA4">
      <w:pPr>
        <w:jc w:val="both"/>
        <w:rPr>
          <w:rFonts w:cstheme="minorHAnsi"/>
          <w:bCs/>
          <w:sz w:val="24"/>
          <w:szCs w:val="24"/>
        </w:rPr>
      </w:pPr>
      <w:r>
        <w:rPr>
          <w:sz w:val="24"/>
        </w:rPr>
        <w:t>Be 2022 m. birželio 28 d. Įstatyme Nr. 11/2022 dėl bendrųjų telekomunikacijų jau pateiktų apibrėžčių, šiame karališkajame dekrete pateikiamos šios apibrėžtys:</w:t>
      </w:r>
    </w:p>
    <w:p w14:paraId="73631135" w14:textId="42664903" w:rsidR="00887CFC" w:rsidRDefault="0091514A" w:rsidP="00216CBB">
      <w:pPr>
        <w:pStyle w:val="ListParagraph"/>
        <w:numPr>
          <w:ilvl w:val="0"/>
          <w:numId w:val="19"/>
        </w:numPr>
        <w:jc w:val="both"/>
        <w:rPr>
          <w:rFonts w:cstheme="minorHAnsi"/>
          <w:bCs/>
          <w:iCs/>
          <w:sz w:val="24"/>
          <w:szCs w:val="24"/>
        </w:rPr>
      </w:pPr>
      <w:r>
        <w:rPr>
          <w:i/>
          <w:sz w:val="24"/>
        </w:rPr>
        <w:t xml:space="preserve">Skubios pagalbos ryšių priėmimo centrai – </w:t>
      </w:r>
      <w:r>
        <w:rPr>
          <w:sz w:val="24"/>
        </w:rPr>
        <w:t xml:space="preserve"> fizinė vieta, kurioje iš pradžių gaunami, apdorojami ir įvertinami skubios pagalbos ryšiai bendruoju Europos pagalbos telefono numeriu 112 arba kitais nacionaliniais skubios pagalbos iškvietimo numeriais.</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sz w:val="24"/>
        </w:rPr>
        <w:t>„eCall“</w:t>
      </w:r>
      <w:r>
        <w:rPr>
          <w:sz w:val="24"/>
        </w:rPr>
        <w:t xml:space="preserve"> – apibrėžtis, nustatyta 2015 m. balandžio 29 d. Europos Parlamento ir Tarybos reglamento (ES) 2015/758 dėl tipo patvirtinimo reikalavimų transporto priemonėse montuojamos numeriu 112 grindžiamos eCall iškvietos sistemos </w:t>
      </w:r>
      <w:r>
        <w:rPr>
          <w:sz w:val="24"/>
        </w:rPr>
        <w:lastRenderedPageBreak/>
        <w:t>įdiegimo atžvilgiu, kuriuo iš dalies keičiama Direktyva 2007/46/EB, 3 straipsnio 2 dalyje.</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t>Išplėstinė mobili vieta: sistema, kuri aktyvina vietos nustatymo paslaugas iš mobiliojo įrenginio ir siunčia buvimo vietą 112 pagalbos tarnyboms, kaip apibrėžta Europos telekomunikacijų standartų instituto (ETSI) standarte ETSI-TS-103–625 arba lygiavertėje sistemoje.</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sz w:val="24"/>
        </w:rPr>
        <w:t>112 skubios pagalbos paslauga</w:t>
      </w:r>
      <w:r>
        <w:rPr>
          <w:sz w:val="24"/>
        </w:rPr>
        <w:t xml:space="preserve"> – paslauga, teikianti skubią ir nedelsiamą pagalbą tais atvejais, kai visų pirma kyla tiesioginis pavojus asmenų gyvybei ar sveikatai, visuomenės ar asmens sveikatai ir saugai, viešajai ar privačiai nuosavybei ar aplinkai ir kuri pasiekiama skubios pagalbos ryšiu bendruoju Europos skubios pagalbos numeriu 112.</w:t>
      </w:r>
    </w:p>
    <w:p w14:paraId="548A412B" w14:textId="67427EC0" w:rsidR="00516456" w:rsidRDefault="00516456" w:rsidP="00B25460">
      <w:pPr>
        <w:pStyle w:val="ListParagraph"/>
        <w:numPr>
          <w:ilvl w:val="0"/>
          <w:numId w:val="19"/>
        </w:numPr>
        <w:jc w:val="both"/>
        <w:rPr>
          <w:rFonts w:cstheme="minorHAnsi"/>
          <w:bCs/>
          <w:iCs/>
          <w:sz w:val="24"/>
          <w:szCs w:val="24"/>
        </w:rPr>
      </w:pPr>
      <w:r>
        <w:rPr>
          <w:i/>
          <w:sz w:val="24"/>
        </w:rPr>
        <w:t>Transporto priemonėse montuojama numeriu 112 grindžiama „eCall“ iškvietos sistema</w:t>
      </w:r>
      <w:r>
        <w:rPr>
          <w:sz w:val="24"/>
        </w:rPr>
        <w:t>– 2015 m. balandžio 29 d. Europos Parlamento ir Tarybos reglamento (ES) 2015/758 dėl tipo patvirtinimo reikalavimų transporto priemonėse montuojamos numeriu 112 grindžiamos eCall iškvietos sistemos įdiegimo atžvilgiu, kuriuo iš dalies keičiama Direktyva 2007/46/EB, 3 straipsnio 1 dalyje pateikta apibrėžtis.</w:t>
      </w:r>
    </w:p>
    <w:p w14:paraId="764C2E4F" w14:textId="274F7FF8" w:rsidR="008C23E6" w:rsidRDefault="008C23E6" w:rsidP="00B25460">
      <w:pPr>
        <w:pStyle w:val="ListParagraph"/>
        <w:numPr>
          <w:ilvl w:val="0"/>
          <w:numId w:val="19"/>
        </w:numPr>
        <w:jc w:val="both"/>
        <w:rPr>
          <w:rFonts w:cstheme="minorHAnsi"/>
          <w:bCs/>
          <w:iCs/>
          <w:sz w:val="24"/>
          <w:szCs w:val="24"/>
        </w:rPr>
      </w:pPr>
      <w:r>
        <w:rPr>
          <w:sz w:val="24"/>
        </w:rPr>
        <w:t>Realiuoju laiku perduodamas tekstas – 2019 m. balandžio 17 d. Europos Parlamento ir Tarybos direktyvos (ES) 2019/882 dėl gaminių ir paslaugų prieinamumo reikalavimų 3 straipsnio 14 dalyje pateikta apibrėžtis.</w:t>
      </w:r>
    </w:p>
    <w:p w14:paraId="099769F3" w14:textId="77777777" w:rsidR="00CC3EF6" w:rsidRPr="00665FA8" w:rsidRDefault="00CC3EF6" w:rsidP="00654EA5">
      <w:pPr>
        <w:jc w:val="center"/>
        <w:rPr>
          <w:rFonts w:cstheme="minorHAnsi"/>
          <w:b/>
          <w:bCs/>
          <w:sz w:val="24"/>
          <w:szCs w:val="24"/>
        </w:rPr>
      </w:pPr>
    </w:p>
    <w:p w14:paraId="777CB5BB" w14:textId="19BE94A5" w:rsidR="00B655FC" w:rsidRPr="00665FA8" w:rsidRDefault="00B655FC" w:rsidP="00654EA5">
      <w:pPr>
        <w:jc w:val="center"/>
        <w:rPr>
          <w:rFonts w:cstheme="minorHAnsi"/>
          <w:b/>
          <w:bCs/>
          <w:sz w:val="24"/>
          <w:szCs w:val="24"/>
        </w:rPr>
      </w:pPr>
      <w:r>
        <w:rPr>
          <w:b/>
          <w:sz w:val="24"/>
        </w:rPr>
        <w:t>II SKYRIUS</w:t>
      </w:r>
    </w:p>
    <w:p w14:paraId="3F593816" w14:textId="0D12C1E8" w:rsidR="00B25460" w:rsidRPr="00665FA8" w:rsidRDefault="00B25460" w:rsidP="00654EA5">
      <w:pPr>
        <w:jc w:val="center"/>
        <w:rPr>
          <w:rFonts w:cstheme="minorHAnsi"/>
          <w:b/>
          <w:bCs/>
          <w:sz w:val="24"/>
          <w:szCs w:val="24"/>
        </w:rPr>
      </w:pPr>
      <w:r>
        <w:rPr>
          <w:b/>
          <w:sz w:val="24"/>
        </w:rPr>
        <w:t>Reagavimo į nelaimes tarnyba per bendrąjį Europos pagalbos telefono numerį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4 straipsnis. Skubios pagalbos paslaugos 112 konfigūracija.</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 xml:space="preserve">1. Viešųjų su numeriu siejamo asmenų tarpusavio ryšio paslaugų, kuriomis naudodamiesi galutiniai gavėjai gali skambinti numeriu, nurodytu nacionaliniame arba tarptautiniame numeracijos plane, galutiniai paslaugų gavėjai turi turėti galimybę naudotis pagalbos iškvietimo numeriu 112 paslauga per 6 straipsnyje nurodytus skubios </w:t>
      </w:r>
      <w:r>
        <w:rPr>
          <w:sz w:val="24"/>
        </w:rPr>
        <w:lastRenderedPageBreak/>
        <w:t>pagalbos iškvietimo centrus, kuriuos teikia paslaugų teikėjai, įgalioti teikti pagalbos iškvietimo numeriu 112 paslaugą.</w:t>
      </w:r>
    </w:p>
    <w:p w14:paraId="6513C95A" w14:textId="55A2A6DD" w:rsidR="00141EE8" w:rsidRDefault="008517E9" w:rsidP="00327211">
      <w:pPr>
        <w:jc w:val="both"/>
        <w:rPr>
          <w:rFonts w:cstheme="minorHAnsi"/>
          <w:bCs/>
          <w:sz w:val="24"/>
          <w:szCs w:val="24"/>
        </w:rPr>
      </w:pPr>
      <w:r>
        <w:rPr>
          <w:sz w:val="24"/>
        </w:rPr>
        <w:t>2. Skubios pagalbos iškvietimo paslauga 112 taip pat galima naudotis per pirmesnėje pastraipoje nurodytus skubios pagalbos iškvietimo centrus, naudojantis bendruoju Europos pagalbos telefono numeriu 112 iš taksofonų, mobiliųjų įrenginių be SIM kortelės arba be aktyvuotos SIM kortelės ir transporto priemonių, kuriose įdiegta į transporto priemonę integruota numeriu 112 grindžiama pagalbos iškvietos sistema „eCall“.</w:t>
      </w:r>
    </w:p>
    <w:p w14:paraId="76343F90" w14:textId="6E1E9AC9" w:rsidR="008517E9" w:rsidRPr="008517E9" w:rsidRDefault="008517E9" w:rsidP="00327211">
      <w:pPr>
        <w:jc w:val="both"/>
        <w:rPr>
          <w:rFonts w:cstheme="minorHAnsi"/>
          <w:sz w:val="24"/>
          <w:szCs w:val="24"/>
        </w:rPr>
      </w:pPr>
      <w:r>
        <w:rPr>
          <w:sz w:val="24"/>
        </w:rPr>
        <w:t>3. Skubios pagalbos paslauga 112 bus suderinama su kitomis paslaugomis, kurias įvairios viešojo administravimo institucijos naudoja reaguodamos į piliečių ekstremaliąsias situacijas.</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Pr>
          <w:b/>
          <w:sz w:val="24"/>
        </w:rPr>
        <w:t>5 straipsnis. Skubios pagalbos paslaugą 112 teikiantys subjektai.</w:t>
      </w:r>
    </w:p>
    <w:p w14:paraId="3B7D51D6" w14:textId="62DAE5D4" w:rsidR="00154C68" w:rsidRPr="00665FA8" w:rsidRDefault="00154C68" w:rsidP="00154C68">
      <w:pPr>
        <w:jc w:val="both"/>
        <w:rPr>
          <w:rFonts w:cstheme="minorHAnsi"/>
          <w:bCs/>
          <w:sz w:val="24"/>
          <w:szCs w:val="24"/>
        </w:rPr>
      </w:pPr>
      <w:r>
        <w:rPr>
          <w:sz w:val="24"/>
        </w:rPr>
        <w:t>1. Skubios pagalbos paslaugą 112 teikia autonominės sritys ir Seutos bei Meliljos miestai, kurie įsteigia atitinkamus skubios pagalbos ryšio priėmimo centrus ir tinklus, kurie prireikus turi būti įrengti, kad būtų galima nustatyti kitus priežiūros taškus viešosioms tarnyboms, turinčioms teikti pagalbą.</w:t>
      </w:r>
    </w:p>
    <w:p w14:paraId="51B94879" w14:textId="07C92872" w:rsidR="00154C68" w:rsidRDefault="00154C68" w:rsidP="00154C68">
      <w:pPr>
        <w:jc w:val="both"/>
        <w:rPr>
          <w:rFonts w:cstheme="minorHAnsi"/>
          <w:bCs/>
          <w:sz w:val="24"/>
          <w:szCs w:val="24"/>
        </w:rPr>
      </w:pPr>
      <w:r>
        <w:rPr>
          <w:sz w:val="24"/>
        </w:rPr>
        <w:t>2. Jokiomis aplinkybėmis, teritorijose, kurias aptarnauja skubios pagalbos paslaugą 112 teikiantys subjektai, negali būti teritorinio sutapimo. Šiuo tikslu autonominės sritys ir Seutos bei Meliljos miestai turi kontroliuoti minėtos paslaugos valdymą, kad būtų aiškiai atskirtos skirtingos priežiūros sritys.</w:t>
      </w:r>
    </w:p>
    <w:p w14:paraId="02744B8A" w14:textId="300A7C1C" w:rsidR="00E20E4A" w:rsidRDefault="00E20E4A" w:rsidP="00154C68">
      <w:pPr>
        <w:jc w:val="both"/>
        <w:rPr>
          <w:rFonts w:cstheme="minorHAnsi"/>
          <w:bCs/>
          <w:sz w:val="24"/>
          <w:szCs w:val="24"/>
        </w:rPr>
      </w:pPr>
      <w:r>
        <w:rPr>
          <w:sz w:val="24"/>
        </w:rPr>
        <w:t>3. Siekdami užtikrinti tinkamą reagavimą ir dėmesį į įvykusius skubios pagalbos pranešimus ir užtikrinti, kad pirmiau minėtos tarnybos imtųsi skubių, tvarkingų ir veiksmingų veiksmų, atsižvelgiant į funkcijas ir kompetenciją, kurios atitinka kiekvieną iš jų, subjektai, teikiantys reagavimo skubios pagalbos paslaugą 112, imasi būtinų priemonių dėl nuo jų priklausančių skubios pagalbos paslaugų, ir sudaro būtinas bendradarbiavimo sutartis ar susitarimus, kai tokios paslaugos joms nepriklauso.</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DF4677">
      <w:pPr>
        <w:keepNext/>
        <w:jc w:val="both"/>
        <w:rPr>
          <w:rFonts w:cstheme="minorHAnsi"/>
          <w:b/>
          <w:bCs/>
          <w:sz w:val="24"/>
          <w:szCs w:val="24"/>
        </w:rPr>
      </w:pPr>
      <w:r>
        <w:rPr>
          <w:b/>
          <w:sz w:val="24"/>
        </w:rPr>
        <w:lastRenderedPageBreak/>
        <w:t>6 straipsnis. 112 skubios pagalbos ryšio priėmimo centrai.</w:t>
      </w:r>
    </w:p>
    <w:p w14:paraId="3635A1EC" w14:textId="3763194E" w:rsidR="00154C68" w:rsidRDefault="00154C68" w:rsidP="00154C68">
      <w:pPr>
        <w:jc w:val="both"/>
        <w:rPr>
          <w:rFonts w:cstheme="minorHAnsi"/>
          <w:bCs/>
          <w:sz w:val="24"/>
          <w:szCs w:val="24"/>
        </w:rPr>
      </w:pPr>
      <w:r>
        <w:rPr>
          <w:sz w:val="24"/>
        </w:rPr>
        <w:t>1. Skubios pagalbos paslaugai 112 teikti reikia įsteigti 112 skubios pagalbos ryšių priėmimo centrus. Šie pagalbos telefono numerio 112 pagalbos centrai, taip pat bet kuri kita pagalbą teikiančių viešųjų tarnybų priežiūros vieta, teikianti pagalbą, nepriklauso prieigai prie skubios pagalbos paslaugos naudojantis bendruoju Europos numeriu 112, o jų veiklos sąlygos priklausys nuo paslaugų teikėjų.</w:t>
      </w:r>
    </w:p>
    <w:p w14:paraId="6E7B9775" w14:textId="2A2C20CB" w:rsidR="00DE5401" w:rsidRPr="00DE5401" w:rsidRDefault="00DE5401" w:rsidP="00DE5401">
      <w:pPr>
        <w:jc w:val="both"/>
        <w:rPr>
          <w:rFonts w:cstheme="minorHAnsi"/>
          <w:bCs/>
          <w:sz w:val="24"/>
          <w:szCs w:val="24"/>
        </w:rPr>
      </w:pPr>
      <w:r>
        <w:rPr>
          <w:sz w:val="24"/>
        </w:rPr>
        <w:t>2. Kiekvienas skubios pagalbos iškvietimo centras 112 aptarnauja konkrečią geografinę teritoriją, kurią nustato skubios pagalbos paslaugą 112 teikiantis subjektas ir apie kurią jis praneša 2 straipsnio 1 dalyje nurodytiems operatoriams.</w:t>
      </w:r>
    </w:p>
    <w:p w14:paraId="458656E8" w14:textId="6F2F8FDC" w:rsidR="00DE5401" w:rsidRPr="00665FA8" w:rsidRDefault="00830B70" w:rsidP="00DE5401">
      <w:pPr>
        <w:jc w:val="both"/>
        <w:rPr>
          <w:rFonts w:cstheme="minorHAnsi"/>
          <w:bCs/>
          <w:sz w:val="24"/>
          <w:szCs w:val="24"/>
        </w:rPr>
      </w:pPr>
      <w:r>
        <w:rPr>
          <w:sz w:val="24"/>
        </w:rPr>
        <w:t>3. Prieigos prie skubios pagalbos ryšių priėmimo centro (-ų) viešųjų elektroninių ryšių tinklų išlaidas padengia subjektai, teikiantys skubios pagalbos paslaugą 112.</w:t>
      </w:r>
    </w:p>
    <w:p w14:paraId="1148FB96" w14:textId="6FCE88C5" w:rsidR="00830B70" w:rsidRDefault="00830B70" w:rsidP="00154C68">
      <w:pPr>
        <w:jc w:val="both"/>
        <w:rPr>
          <w:rFonts w:cstheme="minorHAnsi"/>
          <w:bCs/>
          <w:sz w:val="24"/>
          <w:szCs w:val="24"/>
        </w:rPr>
      </w:pPr>
      <w:r>
        <w:rPr>
          <w:sz w:val="24"/>
        </w:rPr>
        <w:t>4. Provincijai gali būti nustatytas ne daugiau kaip vienas prieigos taškas. Šis apribojimas netaikomas salų autonominėms sritims, atsižvelgiant į jų ypatumus, kad būtų galima nustatyti ne daugiau kaip vieną prieigos tašką kiekvienai salai.</w:t>
      </w:r>
    </w:p>
    <w:p w14:paraId="52FEE43A" w14:textId="4A0FD498" w:rsidR="00B972C1" w:rsidRPr="00665FA8" w:rsidRDefault="00DE5401" w:rsidP="00154C68">
      <w:pPr>
        <w:jc w:val="both"/>
        <w:rPr>
          <w:rFonts w:cstheme="minorHAnsi"/>
          <w:bCs/>
          <w:sz w:val="24"/>
          <w:szCs w:val="24"/>
        </w:rPr>
      </w:pPr>
      <w:r>
        <w:rPr>
          <w:sz w:val="24"/>
        </w:rPr>
        <w:t>5. Jei dėl ryšio tarp 112 skubios pagalbos ryšių priėmimo centrų ir kitų viešųjų paslaugų punktų, teikiančių pagalbą, reikia įdiegti elektroninių ryšių tinklus, 2 straipsnio 1 dalyje nurodyti operatoriai neatsako už jų investicijas, eksploatavimą ir techninę priežiūrą, nepažeidžiant šių operatorių galimybės sudaryti susitarimus su subjektais, teikiančiais skubios pagalbos paslaugą 112, dėl dalinio ar visiško tinklo paslaugų, kurias jie nori gauti, teikimo.</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7 straipsnis. Prieiga prie informacijos apie abonentus.</w:t>
      </w:r>
    </w:p>
    <w:p w14:paraId="64B4BDC3" w14:textId="572FC39F" w:rsidR="00446862" w:rsidRDefault="00446862" w:rsidP="00D15DCA">
      <w:pPr>
        <w:jc w:val="both"/>
        <w:rPr>
          <w:rFonts w:cstheme="minorHAnsi"/>
          <w:sz w:val="24"/>
          <w:szCs w:val="24"/>
        </w:rPr>
      </w:pPr>
      <w:r>
        <w:rPr>
          <w:sz w:val="24"/>
        </w:rPr>
        <w:t>1.</w:t>
      </w:r>
      <w:bookmarkStart w:id="1" w:name="_Hlk105582760"/>
      <w:r>
        <w:rPr>
          <w:sz w:val="24"/>
        </w:rPr>
        <w:t xml:space="preserve">Subjektai, teikiantys pagalbos paslaugą 112, taip pat skubios pagalbos ryšio priėmimo centrai 112, </w:t>
      </w:r>
      <w:bookmarkEnd w:id="1"/>
      <w:r>
        <w:rPr>
          <w:sz w:val="24"/>
        </w:rPr>
        <w:t>pagal Bendrųjų telekomunikacijų įstatymo 72 straipsnio 2 dalies c punktą turi turėti prieigą prie informacijos apie abonentų numerius, kad galėtų griežtai vykdyti savo funkcijas.</w:t>
      </w:r>
    </w:p>
    <w:p w14:paraId="298AC744" w14:textId="11357EB4" w:rsidR="00446862" w:rsidRDefault="00446862" w:rsidP="00D15DCA">
      <w:pPr>
        <w:jc w:val="both"/>
        <w:rPr>
          <w:rFonts w:cstheme="minorHAnsi"/>
          <w:sz w:val="24"/>
          <w:szCs w:val="24"/>
        </w:rPr>
      </w:pPr>
      <w:r>
        <w:rPr>
          <w:sz w:val="24"/>
        </w:rPr>
        <w:t xml:space="preserve">2. Šiuo tikslu Nacionalinė rinkų ir konkurencijos komisija nemokamai teiks jiems duomenis apie abonentų numerius, net jei abonentai pasinaudojo savo teise pagal 2002 m. birželio 28 d. Įstatymo Nr. 11/2022 dėl bendrųjų telekomunikacijų 66 straipsnio </w:t>
      </w:r>
      <w:r>
        <w:rPr>
          <w:sz w:val="24"/>
        </w:rPr>
        <w:lastRenderedPageBreak/>
        <w:t>3 dalies c punktą būtų neįtraukti į abonentų knygas arba paprašo nenurodyti kai kurių jų duomenų.</w:t>
      </w:r>
    </w:p>
    <w:p w14:paraId="367E06FD" w14:textId="6F167036" w:rsidR="00794819" w:rsidRDefault="00446862" w:rsidP="00794819">
      <w:pPr>
        <w:jc w:val="both"/>
        <w:rPr>
          <w:rFonts w:cstheme="minorHAnsi"/>
          <w:sz w:val="24"/>
          <w:szCs w:val="24"/>
        </w:rPr>
      </w:pPr>
      <w:r>
        <w:rPr>
          <w:sz w:val="24"/>
        </w:rPr>
        <w:t>3. Nacionalinė rinkų ir konkurencijos komisija duomenis teikia atnaujintu būdu pagal sąlygas, nustatytas abonentų katalogų ir informacijos apie abonentus teikimo paslaugas reglamentuojančiuose teisės aktuose, bei pagal informacijos teikimo ir gavimo tvarką, kurią prireikus aplinkraščiu gali nustatyti Nacionalinė rinkų ir konkurencijos komisija.</w:t>
      </w:r>
    </w:p>
    <w:p w14:paraId="30CD625E" w14:textId="64C12034" w:rsidR="00794819" w:rsidRDefault="00794819" w:rsidP="00794819">
      <w:pPr>
        <w:jc w:val="both"/>
        <w:rPr>
          <w:rFonts w:cstheme="minorHAnsi"/>
          <w:sz w:val="24"/>
          <w:szCs w:val="24"/>
        </w:rPr>
      </w:pPr>
      <w:r>
        <w:rPr>
          <w:sz w:val="24"/>
        </w:rPr>
        <w:t>4. Nacionalinė rinkų ir konkurencijos komisija pateikia bent šiuos turimus abonento duomenis:</w:t>
      </w:r>
    </w:p>
    <w:p w14:paraId="783A7AF4" w14:textId="3B69A674" w:rsidR="00D22728" w:rsidRDefault="00D22728" w:rsidP="00D22728">
      <w:pPr>
        <w:pStyle w:val="ListParagraph"/>
        <w:numPr>
          <w:ilvl w:val="0"/>
          <w:numId w:val="21"/>
        </w:numPr>
        <w:jc w:val="both"/>
        <w:rPr>
          <w:rFonts w:cstheme="minorHAnsi"/>
          <w:sz w:val="24"/>
          <w:szCs w:val="24"/>
        </w:rPr>
      </w:pPr>
      <w:r>
        <w:rPr>
          <w:sz w:val="24"/>
        </w:rPr>
        <w:t>vardas ir pavardė arba įmonės pavadinimas;</w:t>
      </w:r>
    </w:p>
    <w:p w14:paraId="5F2386C2" w14:textId="65B9478E" w:rsidR="00D22728" w:rsidRDefault="00D22728" w:rsidP="00D22728">
      <w:pPr>
        <w:pStyle w:val="ListParagraph"/>
        <w:numPr>
          <w:ilvl w:val="0"/>
          <w:numId w:val="21"/>
        </w:numPr>
        <w:jc w:val="both"/>
        <w:rPr>
          <w:rFonts w:cstheme="minorHAnsi"/>
          <w:sz w:val="24"/>
          <w:szCs w:val="24"/>
        </w:rPr>
      </w:pPr>
      <w:r>
        <w:rPr>
          <w:sz w:val="24"/>
        </w:rPr>
        <w:t>nacionalinė asmens tapatybės kortelė;</w:t>
      </w:r>
    </w:p>
    <w:p w14:paraId="0FFAEDA1" w14:textId="45ED18CF" w:rsidR="00D22728" w:rsidRDefault="00D22728" w:rsidP="00D22728">
      <w:pPr>
        <w:pStyle w:val="ListParagraph"/>
        <w:numPr>
          <w:ilvl w:val="0"/>
          <w:numId w:val="21"/>
        </w:numPr>
        <w:jc w:val="both"/>
        <w:rPr>
          <w:rFonts w:cstheme="minorHAnsi"/>
          <w:sz w:val="24"/>
          <w:szCs w:val="24"/>
        </w:rPr>
      </w:pPr>
      <w:r>
        <w:rPr>
          <w:sz w:val="24"/>
        </w:rPr>
        <w:t>abonento numeris;</w:t>
      </w:r>
    </w:p>
    <w:p w14:paraId="28866C39" w14:textId="39DADDEA" w:rsidR="00D22728" w:rsidRDefault="00D22728" w:rsidP="00D22728">
      <w:pPr>
        <w:pStyle w:val="ListParagraph"/>
        <w:numPr>
          <w:ilvl w:val="0"/>
          <w:numId w:val="21"/>
        </w:numPr>
        <w:jc w:val="both"/>
        <w:rPr>
          <w:rFonts w:cstheme="minorHAnsi"/>
          <w:sz w:val="24"/>
          <w:szCs w:val="24"/>
        </w:rPr>
      </w:pPr>
      <w:r>
        <w:rPr>
          <w:sz w:val="24"/>
        </w:rPr>
        <w:t>adreso pašto adresas, įskaitant aukštą, butą ir duris;</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deklaruotas konkretus terminalas.</w:t>
      </w:r>
    </w:p>
    <w:p w14:paraId="477CDC1F" w14:textId="6B3E44EB" w:rsidR="00D22728" w:rsidRDefault="00B801D5" w:rsidP="00794819">
      <w:pPr>
        <w:jc w:val="both"/>
        <w:rPr>
          <w:rFonts w:cstheme="minorHAnsi"/>
          <w:sz w:val="24"/>
          <w:szCs w:val="24"/>
        </w:rPr>
      </w:pPr>
      <w:r>
        <w:rPr>
          <w:sz w:val="24"/>
        </w:rPr>
        <w:t>5. Gauti duomenys bus naudojami tik kaip parama veiksmingam pagalbos telefono numeriu 112 paslaugų teikimui, o paslaugų teikėjas ir priėmimo centrai bus atsakingi už tinkamą duomenų naudojimą.</w:t>
      </w:r>
    </w:p>
    <w:p w14:paraId="02E4E8FD" w14:textId="18B42222" w:rsidR="00446862" w:rsidRPr="00446862" w:rsidRDefault="00B801D5" w:rsidP="00B801D5">
      <w:pPr>
        <w:jc w:val="both"/>
        <w:rPr>
          <w:rFonts w:cstheme="minorHAnsi"/>
          <w:sz w:val="24"/>
          <w:szCs w:val="24"/>
        </w:rPr>
      </w:pPr>
      <w:r>
        <w:rPr>
          <w:sz w:val="24"/>
        </w:rPr>
        <w:t>6. Šio straipsnio nuostatos nedaro poveikio taikytinų asmens duomenų apsaugos teisės aktų, konkrečiai 2016 m. balandžio 27 d. Europos Parlamento ir Tarybos reglamento (ES) 2016/679 ir 2018 m. gruodžio 5 d. Pagrindinio įstatymo Nr. 3/2018 dėl asmens duomenų apsaugos ir skaitmeninių teisių garantijų, ir jo įgyvendinimo reglamentų, taikymui.</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8 straipsnis. Informacija apie bendrojo Europos pagalbos telefono numerio 112 buvimą ir naudojimą.</w:t>
      </w:r>
    </w:p>
    <w:p w14:paraId="7D50E4F1" w14:textId="6161D9B0" w:rsidR="00D15DCA" w:rsidRPr="00665FA8" w:rsidRDefault="00D15DCA" w:rsidP="00D15DCA">
      <w:pPr>
        <w:jc w:val="both"/>
        <w:rPr>
          <w:rFonts w:cstheme="minorHAnsi"/>
          <w:bCs/>
          <w:sz w:val="24"/>
          <w:szCs w:val="24"/>
        </w:rPr>
      </w:pPr>
      <w:r>
        <w:rPr>
          <w:sz w:val="24"/>
        </w:rPr>
        <w:t>Už pagalbos telefono numeriu 112 paslaugų teikimą atsakingos institucijos užtikrina, kad piliečiai būtų tinkamai informuojami apie bendrojo Europos pagalbos telefono numerio 112 buvimą ir naudojimą bei jo prieinamumo ypatybes, konkrečiai įgyvendinant iniciatyvas, skirtas asmenims, keliaujantiems iš kitų Europos Sąjungos valstybių narių, ir neįgaliems galutiniams paslaugų gavėjams. Tokia informacija pateikiama prieinamais formatais, atsižvelgiant į įvairių rūšių negalią.</w:t>
      </w:r>
    </w:p>
    <w:p w14:paraId="18BD83E7" w14:textId="37EC2D0D" w:rsidR="0006458E" w:rsidRPr="00665FA8" w:rsidRDefault="0006458E" w:rsidP="00F2452F">
      <w:pPr>
        <w:jc w:val="center"/>
        <w:rPr>
          <w:rFonts w:cstheme="minorHAnsi"/>
          <w:b/>
          <w:bCs/>
          <w:sz w:val="24"/>
          <w:szCs w:val="24"/>
        </w:rPr>
      </w:pPr>
      <w:r>
        <w:rPr>
          <w:b/>
          <w:sz w:val="24"/>
        </w:rPr>
        <w:lastRenderedPageBreak/>
        <w:t>III SKYRIUS</w:t>
      </w:r>
    </w:p>
    <w:p w14:paraId="7100A396" w14:textId="1F55FCE0" w:rsidR="00FC0FB2" w:rsidRPr="00665FA8" w:rsidRDefault="00FC0FB2" w:rsidP="00F2452F">
      <w:pPr>
        <w:jc w:val="center"/>
        <w:rPr>
          <w:rFonts w:cstheme="minorHAnsi"/>
          <w:b/>
          <w:bCs/>
          <w:sz w:val="24"/>
          <w:szCs w:val="24"/>
        </w:rPr>
      </w:pPr>
      <w:r>
        <w:rPr>
          <w:b/>
          <w:sz w:val="24"/>
        </w:rPr>
        <w:t>Prieiga prie skubios pagalbos paslaugos naudojantis bendruoju Europos numeriu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9 straipsnis. Galimybė naudotis skubios pagalbos telefono numeriu 112 naudojantis bendruoju Europos numeriu 112 iš viešai prieinamų elektroninių ryšių tinklų.</w:t>
      </w:r>
    </w:p>
    <w:p w14:paraId="2BA03DF5" w14:textId="658D4D37" w:rsidR="00D15643" w:rsidRPr="00665FA8" w:rsidRDefault="00327211" w:rsidP="004A67D9">
      <w:pPr>
        <w:jc w:val="both"/>
        <w:rPr>
          <w:rFonts w:cstheme="minorHAnsi"/>
          <w:bCs/>
          <w:sz w:val="24"/>
          <w:szCs w:val="24"/>
        </w:rPr>
      </w:pPr>
      <w:r>
        <w:rPr>
          <w:sz w:val="24"/>
        </w:rPr>
        <w:t>1. Su numeriu siejamo asmenų tarpusavio ryšio paslaugų galutiniai gavėjai, kai tokios paslaugos leidžia skambinti numeriu, nurodytu nacionaliniame arba tarptautiniame numeracijos plane, surinkę bendrąjį Europos skubios pagalbos iškvietimo numerį 112 turi prieigą prie skubios pagalbos ryšio priėmimo centrų, kuriuos teikia subjektai, teikiantys skubios pagalbos paslaugą 112, nemokamai, neapmokant ir nesinaudodami jokiomis mokėjimo priemonėmis iš bet kurio įrenginio, kuriuo palaikomos su numeriu siejamo asmenų tarpusavio ryšio paslaugos, įskaitant atvejus, kuriais galutiniai paslaugų gavėjai kitoje valstybėje narėje naudojasi tarptinklinio ryšio paslaugomis Ispanijoje.</w:t>
      </w:r>
    </w:p>
    <w:p w14:paraId="1FE9F16E" w14:textId="47E2444C" w:rsidR="005E1BBD" w:rsidRPr="00665FA8" w:rsidRDefault="00D15643" w:rsidP="00327211">
      <w:pPr>
        <w:jc w:val="both"/>
        <w:rPr>
          <w:rFonts w:cstheme="minorHAnsi"/>
          <w:bCs/>
          <w:sz w:val="24"/>
          <w:szCs w:val="24"/>
        </w:rPr>
      </w:pPr>
      <w:r>
        <w:rPr>
          <w:sz w:val="24"/>
        </w:rPr>
        <w:t>Pagal pirmesnę dalį įrenginiai, kuriais teikiamos su numeriu siejamo asmenų tarpusavio ryšio paslaugos, apima fiksuotuosius ir mobiliuosius įrenginius, konkrečiai mobiliuosius įrenginius be SIM kortelės arba be aktyvintos SIM kortelės, viešuosius taksofonus ir transporto priemones, kuriose yra numeriu 112 grindžiama „eCall“ iškvietos sistema.</w:t>
      </w:r>
    </w:p>
    <w:p w14:paraId="2D8DAE3C" w14:textId="01E912FA" w:rsidR="00327211" w:rsidRPr="00665FA8" w:rsidRDefault="005578F4" w:rsidP="00327211">
      <w:pPr>
        <w:jc w:val="both"/>
        <w:rPr>
          <w:rFonts w:cstheme="minorHAnsi"/>
          <w:bCs/>
          <w:sz w:val="24"/>
          <w:szCs w:val="24"/>
        </w:rPr>
      </w:pPr>
      <w:r>
        <w:rPr>
          <w:sz w:val="24"/>
        </w:rPr>
        <w:t>2. Šiuo tikslu šio karališkojo dekreto 2 straipsnio 1 dalyje nurodyti operatoriai siunčia skubios pagalbos pranešimus bendruoju Europos skubios pagalbos numeriu 112 į atitinkamo subjekto, teikiančio skubios pagalbos paslaugą numeriu 112, priėmimo centrą, atsižvelgiant į ryšio kilmės geografinę vietovę. Šis įpareigojimas taikomas net ir tais atvejais, kai prieiga teikiama per operatorius, nepriklausomus nuo su numeriu siejamo asmenų tarpusavio ryšio paslaugų tinklo, kad tokia prieiga būtų panaši į tą, kurios reikalaujama su numeriu siejamo asmenų tarpusavio ryšio paslaugų, teikiamų jų valdomu ryšiu, teikėjams.</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327211">
      <w:pPr>
        <w:jc w:val="both"/>
        <w:rPr>
          <w:rFonts w:cstheme="minorHAnsi"/>
          <w:b/>
          <w:bCs/>
          <w:sz w:val="24"/>
          <w:szCs w:val="24"/>
        </w:rPr>
      </w:pPr>
      <w:r>
        <w:rPr>
          <w:b/>
          <w:sz w:val="24"/>
        </w:rPr>
        <w:lastRenderedPageBreak/>
        <w:t xml:space="preserve">10 straipsnis. Prieiga prie </w:t>
      </w:r>
      <w:bookmarkStart w:id="2" w:name="_Hlk105583432"/>
      <w:r>
        <w:rPr>
          <w:b/>
          <w:sz w:val="24"/>
        </w:rPr>
        <w:t xml:space="preserve">skubios pagalbos paslaugos 112, </w:t>
      </w:r>
      <w:bookmarkEnd w:id="2"/>
      <w:r>
        <w:rPr>
          <w:b/>
          <w:sz w:val="24"/>
        </w:rPr>
        <w:t>naudojantis bendruoju Europos numeriu 112 iš elektroninių ryšių tinklų, kurie nėra prieinami visuomenei, bet leidžia skambinti į viešuosius tinklus.</w:t>
      </w:r>
    </w:p>
    <w:p w14:paraId="68250DF3" w14:textId="2D83A3A3" w:rsidR="00AA54EE" w:rsidRPr="00665FA8" w:rsidRDefault="00AA54EE" w:rsidP="00AA54EE">
      <w:pPr>
        <w:jc w:val="both"/>
        <w:rPr>
          <w:rFonts w:cstheme="minorHAnsi"/>
          <w:bCs/>
          <w:sz w:val="24"/>
          <w:szCs w:val="24"/>
        </w:rPr>
      </w:pPr>
      <w:r>
        <w:rPr>
          <w:sz w:val="24"/>
        </w:rPr>
        <w:t>Prieiga prie bendro Europos skubios pagalbos iškvietimo numerio 112 užtikrinama iš elektroninių ryšių tinklų, kurie nėra viešai prieinami, tačiau leidžia skambinti į viešuosius tinklus, ypač tais atvejais, kai už tokį tinklą atsakinga įmonė nesuteikia alternatyvios ir lengvos prieigos prie skubios pagalbos iškvietimo paslaugos.</w:t>
      </w:r>
    </w:p>
    <w:p w14:paraId="589E741A" w14:textId="0D005FEA" w:rsidR="00AA54EE" w:rsidRPr="00665FA8" w:rsidRDefault="00AA54EE" w:rsidP="00AA54EE">
      <w:pPr>
        <w:jc w:val="both"/>
        <w:rPr>
          <w:rFonts w:cstheme="minorHAnsi"/>
          <w:bCs/>
          <w:sz w:val="24"/>
          <w:szCs w:val="24"/>
        </w:rPr>
      </w:pPr>
      <w:r>
        <w:rPr>
          <w:sz w:val="24"/>
        </w:rPr>
        <w:t>Ekonomikos reikalų ir skaitmeninės transformacijos ministro įsakyme nustatomos prieigos prie bendrojo Europos skubios pagalbos telefono numerio 112 iš šių tinklų sąlygos.</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t>11 straipsnis. Operatorių pareigos, susijusios su skubios pagalbos ryšiais bendruoju Europos pagalbos telefono numeriu 112.</w:t>
      </w:r>
    </w:p>
    <w:p w14:paraId="4A542C99" w14:textId="091D9043" w:rsidR="00EF3F95" w:rsidRPr="00665FA8" w:rsidRDefault="00BD6AF1" w:rsidP="004A67D9">
      <w:pPr>
        <w:jc w:val="both"/>
        <w:rPr>
          <w:rFonts w:cstheme="minorHAnsi"/>
          <w:bCs/>
          <w:sz w:val="24"/>
          <w:szCs w:val="24"/>
        </w:rPr>
      </w:pPr>
      <w:r>
        <w:rPr>
          <w:sz w:val="24"/>
        </w:rPr>
        <w:t>1.</w:t>
      </w:r>
      <w:bookmarkStart w:id="3" w:name="_Hlk105581911"/>
      <w:r>
        <w:rPr>
          <w:sz w:val="24"/>
        </w:rPr>
        <w:t>Šio Karaliaus dekreto 2 straipsnio 1 dalyje nurodyti operatoriai</w:t>
      </w:r>
      <w:bookmarkEnd w:id="3"/>
      <w:r>
        <w:rPr>
          <w:sz w:val="24"/>
        </w:rPr>
        <w:t>, kurių su numeriu siejamo asmenų tarpusavio ryšio paslaugos leidžia skambinti numeriu, nurodytu nacionaliniame arba tarptautiniame numeracijos plane, privalo nukreipti skambučius į bendrąjį Europos numerį 112 nemokamai, netaikydami jokio mokesčio, taip pat mobiliojo su numeriu siejamo asmenų tarpusavio ryšio paslaugos galutinių naudotojų iš kitos valstybės narės tarptinklinio ryšio Ispanijoje, nepriklausomai nuo to, ar jie valdo ryšį.</w:t>
      </w:r>
    </w:p>
    <w:p w14:paraId="0C5260A6" w14:textId="4E60E532" w:rsidR="001D3755" w:rsidRPr="00665FA8" w:rsidRDefault="001D3755" w:rsidP="001D3755">
      <w:pPr>
        <w:jc w:val="both"/>
        <w:rPr>
          <w:rFonts w:cstheme="minorHAnsi"/>
          <w:bCs/>
          <w:sz w:val="24"/>
          <w:szCs w:val="24"/>
        </w:rPr>
      </w:pPr>
      <w:r>
        <w:rPr>
          <w:sz w:val="24"/>
        </w:rPr>
        <w:t>2. Šio Karaliaus dekreto 2 straipsnio 1 dalyje nurodyti operatoriai privalo atlikti būtinus nemokamus maršruto pritaikymus, kad skambučiai iš pagalbos iškvietos sistemos „eCall“ būtų atliekami remiantis transporto priemonėje integruotu numeriu 112 į atitinkamo skubios pagalbos iškvietimo paslaugos 112 teikėjo skubios pagalbos iškvietimo centrą, kad būtų lengviau atskirti rankiniu būdu generuojamus skambučius nuo automatiškai generuojamų skambučių.</w:t>
      </w:r>
    </w:p>
    <w:p w14:paraId="2F621009" w14:textId="632AF1B8" w:rsidR="00327211" w:rsidRDefault="00C23106" w:rsidP="00BD6AF1">
      <w:pPr>
        <w:jc w:val="both"/>
        <w:rPr>
          <w:rFonts w:cstheme="minorHAnsi"/>
          <w:bCs/>
          <w:sz w:val="24"/>
          <w:szCs w:val="24"/>
        </w:rPr>
      </w:pPr>
      <w:r>
        <w:rPr>
          <w:sz w:val="24"/>
        </w:rPr>
        <w:t xml:space="preserve">3. Šio Karaliaus dekreto 2 straipsnio 1 dalyje nurodyti operatoriai privalo padengti srauto į atitinkamo 112 skubios pagalbos iškvietimo paslaugos teikėjo skubios pagalbos iškvietimo centrą išlaidas, įskaitant skubios pagalbos pranešimus iš viešųjų taksofonų, </w:t>
      </w:r>
      <w:r>
        <w:rPr>
          <w:sz w:val="24"/>
        </w:rPr>
        <w:lastRenderedPageBreak/>
        <w:t>mobiliųjų įrenginių be SIM kortelės arba be aktyvintos SIM kortelės ir iš transporto priemonėje montuojamos pagalbos iškvietos sistemos 112 „eCall“ numerio.</w:t>
      </w:r>
    </w:p>
    <w:p w14:paraId="17E95762" w14:textId="27C9FCF0" w:rsidR="00D533A9" w:rsidRPr="00665FA8" w:rsidRDefault="00D533A9" w:rsidP="00BD6AF1">
      <w:pPr>
        <w:jc w:val="both"/>
        <w:rPr>
          <w:rFonts w:cstheme="minorHAnsi"/>
          <w:bCs/>
          <w:sz w:val="24"/>
          <w:szCs w:val="24"/>
        </w:rPr>
      </w:pPr>
      <w:r>
        <w:rPr>
          <w:sz w:val="24"/>
        </w:rPr>
        <w:t>4. Šio Karaliaus dekreto 2 straipsnio 1 dalyje nurodyti operatoriai, kalbant apie mobiliojo su numeriu siejamo asmenų tarpusavio ryšio paslaugos galutinius gavėjus iš kitos valstybės narės, besinaudojančius tarptinkliniu ryšiu Ispanijoje, tarptinklinio ryšio paslaugų teikėjui netaiko mokesčio už skubios pagalbos ryšį su bendruoju Europos skubios pagalbos iškvietimo numeriu 112.</w:t>
      </w:r>
    </w:p>
    <w:p w14:paraId="1DB9FBD5" w14:textId="6589B2B8" w:rsidR="004A0EC8" w:rsidRDefault="00D533A9" w:rsidP="00D82583">
      <w:pPr>
        <w:jc w:val="both"/>
        <w:rPr>
          <w:rFonts w:cstheme="minorHAnsi"/>
          <w:bCs/>
          <w:sz w:val="24"/>
          <w:szCs w:val="24"/>
        </w:rPr>
      </w:pPr>
      <w:r>
        <w:rPr>
          <w:sz w:val="24"/>
        </w:rPr>
        <w:t>5. Šio Karaliaus dekreto 2 straipsnio 1 dalyje nurodyti operatoriai, atsižvelgdami į technines tinklo galimybes ir laikydamiesi nacionalinėse ir Europos reglamentuose nustatytų pateikimo priemonių ir skambinančiojo linijos apribojimo taisyklių, padeda nustatyti pradinę liniją, iš kurios skambinama bendruoju Europos pagalbos telefono numeriu 112. Operatoriai turi pateikti pradinės linijos identifikavimo duomenis, net jei galutinis naudotojas pagal 2022 m. birželio 28 d. Įstatymo Nr. 11/2022 dėl bendrųjų telekomunikacijų 65 straipsnio 1 dalies o punktą pasinaudojo savo teise neleisti pateikti jo tapatybės nustatymo linijos</w:t>
      </w:r>
      <w:r>
        <w:t>.</w:t>
      </w:r>
    </w:p>
    <w:p w14:paraId="43B12FFB" w14:textId="6E9A3BFF" w:rsidR="00D82583" w:rsidRDefault="00D533A9" w:rsidP="00D82583">
      <w:pPr>
        <w:jc w:val="both"/>
        <w:rPr>
          <w:rFonts w:cstheme="minorHAnsi"/>
          <w:bCs/>
          <w:sz w:val="24"/>
          <w:szCs w:val="24"/>
        </w:rPr>
      </w:pPr>
      <w:r>
        <w:rPr>
          <w:sz w:val="24"/>
        </w:rPr>
        <w:t>6. Šio Karaliaus dekreto 2 straipsnio 1 dalyje nurodyti operatoriai, laikydamiesi 2022 m. birželio 28 d. Įstatymo Nr. 11/2022 dėl bendrųjų telekomunikacijų 72 straipsnyje ir jo įgyvendinimo reglamentuose nustatytų sąlygų, Nacionalinei rinkų ir konkurencijos komisijai turi pateikti informaciją apie abonentų numerius, kad ji galėtų nemokamai teikti šiuos duomenis subjektams, teikiantiems 112 skubios pagalbos paslaugą, ir 112 skubios pagalbos ryšio priėmimo centrams. Operatoriai turi pateikti išsamią informaciją net apie tuos abonentus, kurie pasinaudojo savo teise pagal minėto 2022 m. birželio 28 d. Įstatymo Nr. 11/2022 dėl bendrųjų telekomunikacijų 66 straipsnio 3 dalies c punktą, kad jie nebūtų įtraukti į abonentų sąrašus arba prašyti, kad dalis jų duomenų būtų nenurodyti.</w:t>
      </w:r>
    </w:p>
    <w:p w14:paraId="5F85024C" w14:textId="068D4C79" w:rsidR="004851CC" w:rsidRDefault="00D533A9" w:rsidP="00D82583">
      <w:pPr>
        <w:jc w:val="both"/>
        <w:rPr>
          <w:rFonts w:cstheme="minorHAnsi"/>
          <w:bCs/>
          <w:sz w:val="24"/>
          <w:szCs w:val="24"/>
        </w:rPr>
      </w:pPr>
      <w:r>
        <w:rPr>
          <w:sz w:val="24"/>
        </w:rPr>
        <w:t>7. Šio Karaliaus dekreto 2 straipsnio 1 dalyje nurodyti operatoriai privalo pateikti informaciją apie naudotojų, skambinančių bendruoju Europos skubios pagalbos telefono numeriu 112, buvimo vietą, kaip nurodyta tolesniame straipsnyje.</w:t>
      </w:r>
    </w:p>
    <w:p w14:paraId="74736523" w14:textId="538D1DFC" w:rsidR="004851CC" w:rsidRPr="004851CC" w:rsidRDefault="00D533A9" w:rsidP="004851CC">
      <w:pPr>
        <w:jc w:val="both"/>
        <w:rPr>
          <w:rFonts w:cstheme="minorHAnsi"/>
          <w:bCs/>
          <w:sz w:val="24"/>
          <w:szCs w:val="24"/>
        </w:rPr>
      </w:pPr>
      <w:r>
        <w:rPr>
          <w:sz w:val="24"/>
        </w:rPr>
        <w:t xml:space="preserve">8. Šiame ir kitame straipsnyje nurodytam asmens duomenų tvarkymui taikomas 2022 m. birželio 28 d. Įstatymo Nr. 11/2022 dėl bendrųjų telekomunikacijų 74 straipsnyje nustatytas teisinis įpareigojimas užtikrinti 112 skubios pagalbos paslaugą, siekiant </w:t>
      </w:r>
      <w:r>
        <w:rPr>
          <w:sz w:val="24"/>
        </w:rPr>
        <w:lastRenderedPageBreak/>
        <w:t>apsaugoti gyvybinius skambinančiojo interesus, užtikrinti nacionalinį saugumą, gynybą, visuomenės saugumą ir nusikaltimų prevenciją, tyrimą ir baudžiamąjį persekiojimą už juos, žmogaus gyvybės saugumą arba viešojo intereso priežastis.</w:t>
      </w:r>
    </w:p>
    <w:p w14:paraId="37010891" w14:textId="1B9F5213" w:rsidR="004851CC" w:rsidRPr="00665FA8" w:rsidRDefault="00D533A9" w:rsidP="004851CC">
      <w:pPr>
        <w:jc w:val="both"/>
        <w:rPr>
          <w:rFonts w:cstheme="minorHAnsi"/>
          <w:bCs/>
          <w:sz w:val="24"/>
          <w:szCs w:val="24"/>
        </w:rPr>
      </w:pPr>
      <w:r>
        <w:rPr>
          <w:sz w:val="24"/>
        </w:rPr>
        <w:t>9. Bet kuriuo atveju šio straipsnio ir toliau išdėstytos nuostatos nepažeidžia priemonių, priimtų siekiant užtikrinti komunikacijų slaptumą pagal Konstitucijos 18.3 straipsnio nuostatas, ir asmens duomenų apsaugos pagal 2016 m. balandžio 27 d. Europos Parlamento ir Tarybos reglamento (ES) 2016/679 dėl fizinių asmenų apsaugos tvarkant asmens duomenis ir dėl laisvo tokių duomenų judėjimo ir kuriuo panaikinama Direktyva 95/46/EB bei 2018 m. gruodžio 5 d. Pagrindinio įstatymo Nr. 3/2018 dėl asmens duomenų apsaugos ir skaitmeninių teisių garantijų, ir jo įgyvendinimo reglamentų.</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12 straipsnis. Operatorių įpareigojimas teikti vietos nustatymo informaciją naudotojams, skambinantiems bendruoju Europos skubios pagalbos telefono numeriu 112.</w:t>
      </w:r>
    </w:p>
    <w:p w14:paraId="2C9EFE22" w14:textId="65FA7A20" w:rsidR="00EC41B0" w:rsidRDefault="002C4646" w:rsidP="00F2452F">
      <w:pPr>
        <w:jc w:val="both"/>
        <w:rPr>
          <w:rFonts w:cstheme="minorHAnsi"/>
          <w:bCs/>
          <w:sz w:val="24"/>
          <w:szCs w:val="24"/>
        </w:rPr>
      </w:pPr>
      <w:r>
        <w:rPr>
          <w:sz w:val="24"/>
        </w:rPr>
        <w:t>1. Šio Karaliaus dekreto 2 straipsnio 1 dalyje nurodyti operatoriai nedelsdami teikia skambinančiojo buvimo vietos informaciją tiek iš tinklo, tiek iš mobiliojo įrenginio, be kita ko, susijusią su galutiniais mobiliojo su numeriu siejamo asmenų tarpusavio ryšio paslaugų gavėjais iš kitos valstybės narės, besinaudojančiais tarptinkliniu ryšiu Ispanijoje.</w:t>
      </w:r>
    </w:p>
    <w:p w14:paraId="4365FB14" w14:textId="0220707D" w:rsidR="00470472" w:rsidRDefault="00EC41B0" w:rsidP="00EC41B0">
      <w:pPr>
        <w:jc w:val="both"/>
        <w:rPr>
          <w:rFonts w:cstheme="minorHAnsi"/>
          <w:bCs/>
          <w:sz w:val="24"/>
          <w:szCs w:val="24"/>
        </w:rPr>
      </w:pPr>
      <w:r>
        <w:rPr>
          <w:sz w:val="24"/>
        </w:rPr>
        <w:t>Pagal 2022 m. birželio 28 d. Įstatymo Nr. 11/2022 dėl bendrųjų telekomunikacijų 66 straipsnio 2 dalies c punktą operatoriai teikia tokią informaciją net apie galutinius paslaugų gavėjus, kurie pasinaudojo savo teise pagal minėtą straipsnį ir todėl nedavė sutikimo tvarkyti jų vietos nustatymo duomenis.</w:t>
      </w:r>
    </w:p>
    <w:p w14:paraId="5C2A1455" w14:textId="4989846D" w:rsidR="00F2452F" w:rsidRPr="00665FA8" w:rsidRDefault="00F2452F" w:rsidP="00EC41B0">
      <w:pPr>
        <w:jc w:val="both"/>
        <w:rPr>
          <w:rFonts w:cstheme="minorHAnsi"/>
          <w:bCs/>
          <w:sz w:val="24"/>
          <w:szCs w:val="24"/>
        </w:rPr>
      </w:pPr>
      <w:r>
        <w:rPr>
          <w:sz w:val="24"/>
        </w:rPr>
        <w:t>Tokia informacija nemokamai teikiama galutiniam paslaugų gavėjui, 112 skubios pagalbos ryšių priėmimo centrui, mobiliojo ryšio įrenginiu grindžiamam vietos nustatymo informacijos priėmimo ir paskirstymo centrui ir tarptinklinio ryšio paslaugų teikėjui, kiek tai susiję su galutiniais mobiliojo su numeriu siejamo asmenų tarpusavio ryšio paslaugų gavėjais iš kitos valstybės narės, besinaudojančiais tarptinkliniu ryšiu Ispanijoje.</w:t>
      </w:r>
    </w:p>
    <w:p w14:paraId="335EFF9D" w14:textId="4470D2DF" w:rsidR="00D26689" w:rsidRPr="00665FA8" w:rsidRDefault="002C4646" w:rsidP="00327211">
      <w:pPr>
        <w:jc w:val="both"/>
        <w:rPr>
          <w:rFonts w:cstheme="minorHAnsi"/>
          <w:bCs/>
          <w:sz w:val="24"/>
          <w:szCs w:val="24"/>
        </w:rPr>
      </w:pPr>
      <w:r>
        <w:rPr>
          <w:sz w:val="24"/>
        </w:rPr>
        <w:lastRenderedPageBreak/>
        <w:t>2. Šio Karaliaus dekreto 2 straipsnio 1 dalyje nurodyti operatoriai, be kita ko, kiek tai susiję su galutiniais mobiliojo su numeriu siejamo asmenų tarpusavio ryšio paslaugų gavėjais iš kitos valstybės narės, besinaudojančiais tarptinkliniu ryšiu Ispanijoje, turi teikti su tinklu susijusią buvimo vietos informaciją tinkamiausiam skubios pagalbos iškvietimo priėmimo centrui, atsižvelgiant į skambučio kilmę, įskaitant skambučius be SIM kortelės arba neaktyvinus SIM kortelės.</w:t>
      </w:r>
    </w:p>
    <w:p w14:paraId="7F87D888" w14:textId="34C3645D" w:rsidR="00327211" w:rsidRPr="00665FA8" w:rsidRDefault="00327211" w:rsidP="00327211">
      <w:pPr>
        <w:jc w:val="both"/>
        <w:rPr>
          <w:rFonts w:cstheme="minorHAnsi"/>
          <w:bCs/>
          <w:sz w:val="24"/>
          <w:szCs w:val="24"/>
        </w:rPr>
      </w:pPr>
      <w:r>
        <w:rPr>
          <w:sz w:val="24"/>
        </w:rPr>
        <w:t>Telekomunikacijų ir skaitmeninės infrastruktūros valstybės sekretorius gali duoti nurodymus dėl su tinklu susijusios buvimo vietos informacijos formos ir turinio.</w:t>
      </w:r>
    </w:p>
    <w:p w14:paraId="198ACBAD" w14:textId="51DA02D1" w:rsidR="00327211" w:rsidRPr="00665FA8" w:rsidRDefault="002C4646" w:rsidP="00327211">
      <w:pPr>
        <w:jc w:val="both"/>
        <w:rPr>
          <w:rFonts w:cstheme="minorHAnsi"/>
          <w:bCs/>
          <w:sz w:val="24"/>
          <w:szCs w:val="24"/>
        </w:rPr>
      </w:pPr>
      <w:r>
        <w:rPr>
          <w:sz w:val="24"/>
        </w:rPr>
        <w:t>3. Be to, jei judriojo ryšio galinis įrenginys yra suderinamas ir informacija yra prieinama, šio Karaliaus dekreto 2 straipsnio 1 dalyje nurodyti operatoriai, be kita ko, kiek tai susiję su galutiniais mobiliojo su numeriu siejamo asmenų tarpusavio ryšio paslaugų gavėjais iš kitos valstybės narės, besinaudojančiais tarptinkliniu ryšiu Ispanijoje, vietos nustatymo informaciją, gautą naudojantis AML funkcija, nukreipia iš mobiliojo įrenginio, kad pateiktų tiksliausią informaciją apie skambinančio naudotojo buvimo vietą.</w:t>
      </w:r>
    </w:p>
    <w:p w14:paraId="2EBF8491" w14:textId="2DFC9FD9" w:rsidR="00327211" w:rsidRPr="00665FA8" w:rsidRDefault="00327211" w:rsidP="00327211">
      <w:pPr>
        <w:jc w:val="both"/>
        <w:rPr>
          <w:rFonts w:cstheme="minorHAnsi"/>
          <w:bCs/>
          <w:sz w:val="24"/>
          <w:szCs w:val="24"/>
        </w:rPr>
      </w:pPr>
      <w:r>
        <w:rPr>
          <w:sz w:val="24"/>
        </w:rPr>
        <w:t>Vietos nustatymo pagal mobilųjį įrenginį informacijos priėmimo ir platinimo centrą tvarko Vidaus reikalų ministerija. Šis centras gauna ir išplatina vietos nustatymo informaciją tinkamiausiam 112 skubios pagalbos iškvietimo priėmimo centrui, priklausomai nuo skambinančiojo geografinės vietos.</w:t>
      </w:r>
    </w:p>
    <w:p w14:paraId="044D7FD4" w14:textId="490091F1" w:rsidR="00327211" w:rsidRDefault="00327211" w:rsidP="00327211">
      <w:pPr>
        <w:jc w:val="both"/>
        <w:rPr>
          <w:rFonts w:cstheme="minorHAnsi"/>
          <w:bCs/>
          <w:sz w:val="24"/>
          <w:szCs w:val="24"/>
        </w:rPr>
      </w:pPr>
      <w:r>
        <w:rPr>
          <w:sz w:val="24"/>
        </w:rPr>
        <w:t>Telekomunikacijų ir skaitmeninės infrastruktūros valstybės sekretorius gali duoti nurodymus dėl mobiliuoju įrenginiu grindžiamos vietos nustatymo informacijos formos ir turinio.</w:t>
      </w:r>
    </w:p>
    <w:p w14:paraId="18214334" w14:textId="0E6FDD13" w:rsidR="00693F87" w:rsidRDefault="00693F87" w:rsidP="00327211">
      <w:pPr>
        <w:jc w:val="both"/>
        <w:rPr>
          <w:sz w:val="24"/>
          <w:szCs w:val="24"/>
        </w:rPr>
      </w:pPr>
      <w:r>
        <w:rPr>
          <w:sz w:val="24"/>
        </w:rPr>
        <w:t>4. Dėl asmens duomenų, gautų iš mobiliojo įrenginio vietos nustatymo informacijos, gautos naudojantis AML funkcija, tvarkymo, nustatomos šios papildomos atsargumo priemonės:</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t>Laikytis tikslo apribojimo principo, kad vietos nustatymo duomenys būtų naudojami tik tam, kad būtų lengviau nustatyti skambinančiojo buvimo vietą konkretaus skubios pagalbos iškvietimo atveju.</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Laikytis tvarkytinų duomenų kiekio mažinimo principo, kad nebūtų renkami jokie papildomi duomenys, išskyrus tuos, kurie yra griežtai susiję su skambinančiojo galutinio naudotojo buvimo vieta.</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Laikytis asmenų, besinaudojančių duomenimis, konfidencialumo pareigos.</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lastRenderedPageBreak/>
        <w:t>Vietos informacija ištrinama kuo greičiau ir bet kuriuo atveju per vieną mėnesį.</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b/>
          <w:sz w:val="24"/>
        </w:rPr>
        <w:t>13 straipsnis. Skaidrumas, susijęs su prieiga prie skubios pagalbos ryšių naudojantis bendruoju Europos pagalbos telefono numeriu 112 tarptautiniu tarptinkliniu ryšiu.</w:t>
      </w:r>
    </w:p>
    <w:p w14:paraId="35BCA3D0" w14:textId="42F2BB8D" w:rsidR="00B361D9" w:rsidRPr="00114542" w:rsidRDefault="00114542" w:rsidP="00114542">
      <w:pPr>
        <w:jc w:val="both"/>
        <w:rPr>
          <w:rFonts w:cstheme="minorHAnsi"/>
          <w:sz w:val="24"/>
          <w:szCs w:val="24"/>
        </w:rPr>
      </w:pPr>
      <w:r>
        <w:rPr>
          <w:sz w:val="24"/>
        </w:rPr>
        <w:t>1. Šio Karaliaus dekreto 2 straipsnio 1 dalyje nurodyti operatoriai, kaip tarptinklinio ryšio paslaugų teikėjai, užtikrina, kad jų tarptinklinio ryšio galutiniai paslaugų gavėjai būtų tinkamai informuojami apie prieigos prie pagalbos tarnybų lankomoje valstybėje narėje priemones.</w:t>
      </w:r>
    </w:p>
    <w:p w14:paraId="267EBC27" w14:textId="700D464C" w:rsidR="00B361D9" w:rsidRPr="00114542" w:rsidRDefault="00114542" w:rsidP="00114542">
      <w:pPr>
        <w:jc w:val="both"/>
        <w:rPr>
          <w:rFonts w:cstheme="minorHAnsi"/>
          <w:sz w:val="24"/>
          <w:szCs w:val="24"/>
        </w:rPr>
      </w:pPr>
      <w:r>
        <w:rPr>
          <w:sz w:val="24"/>
        </w:rPr>
        <w:t>2. Tarptinklinio ryšio paslaugų teikėjas automatiniu pranešimu informuoja galutinį tarptinklinio ryšio paslaugų gavėją apie galimybę nemokamai naudotis skubios pagalbos iškvietimo paslaugomis skambinant bendruoju Europos skubios pagalbos iškvietimo telefono numeriu 112. Šia žinute galutiniam tarptinklinio ryšio paslaugų gavėjui taip pat nemokamai pateikiama nuoroda į specialią interneto svetainę, prieinamą neįgaliesiems, su informacija apie alternatyvias priemones, kuriomis naudojantis lankomoje valstybėje narėje patvirtintais skubios pagalbos ryšiais galima nemokamai susisiekti su skubios pagalbos iškvietimo tarnybomis. Informacija į tarptinklinio ryšio paslaugų gavėjo mobiliojo ryšio įrenginį siunčiama SMS žinute arba, jei taikoma, tinkamomis pritaikytomis priemonėmis, kad ją būtų lengviau gauti ir lengvai suprasti kiekvieną kartą, kai galutinis tarptinklinio ryšio paslaugų gavėjas atvyksta į kitą valstybę narę. Informacija bus teikiama nemokamai.</w:t>
      </w:r>
    </w:p>
    <w:p w14:paraId="348FAEA9" w14:textId="3D32B9D0" w:rsidR="00327211" w:rsidRPr="00665FA8" w:rsidRDefault="00810C8B" w:rsidP="00B3150A">
      <w:pPr>
        <w:jc w:val="center"/>
        <w:rPr>
          <w:rFonts w:cstheme="minorHAnsi"/>
          <w:b/>
          <w:bCs/>
          <w:sz w:val="24"/>
          <w:szCs w:val="24"/>
        </w:rPr>
      </w:pPr>
      <w:r>
        <w:rPr>
          <w:b/>
          <w:sz w:val="24"/>
        </w:rPr>
        <w:t>IV SKYRIUS</w:t>
      </w:r>
    </w:p>
    <w:p w14:paraId="4271AC67" w14:textId="3340E8D3" w:rsidR="00810C8B" w:rsidRPr="00665FA8" w:rsidRDefault="00810C8B" w:rsidP="00B3150A">
      <w:pPr>
        <w:jc w:val="center"/>
        <w:rPr>
          <w:rFonts w:cstheme="minorHAnsi"/>
          <w:b/>
          <w:bCs/>
          <w:sz w:val="24"/>
          <w:szCs w:val="24"/>
        </w:rPr>
      </w:pPr>
      <w:r>
        <w:rPr>
          <w:b/>
          <w:sz w:val="24"/>
        </w:rPr>
        <w:t>Neįgalių galutinių paslaugų gavėjų prieiga prie 112 skubios pagalbos paslaugos.</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14 straipsnis. Neįgaliųjų galutinių paslaugų gavėjų galimybė naudotis 112 skubios pagalbos paslauga.</w:t>
      </w:r>
    </w:p>
    <w:p w14:paraId="0A547A1A" w14:textId="43457518" w:rsidR="00327211" w:rsidRPr="00665FA8" w:rsidRDefault="00EE306F" w:rsidP="00327211">
      <w:pPr>
        <w:jc w:val="both"/>
        <w:rPr>
          <w:rFonts w:cstheme="minorHAnsi"/>
          <w:bCs/>
          <w:sz w:val="24"/>
          <w:szCs w:val="24"/>
        </w:rPr>
      </w:pPr>
      <w:r>
        <w:rPr>
          <w:sz w:val="24"/>
        </w:rPr>
        <w:t xml:space="preserve">1. Pagal 2022 m. birželio 28 d. Įstatymo Nr. 11/2022 dėl bendrųjų telekomunikacijų 74 straipsnio 3 dalį ir 2019 m. balandžio 17 d. Europos Parlamento ir Tarybos direktyvą 2019/882 dėl gaminių ir paslaugų prieinamumo reikalavimų neįgaliųjų galutinių </w:t>
      </w:r>
      <w:r>
        <w:rPr>
          <w:sz w:val="24"/>
        </w:rPr>
        <w:lastRenderedPageBreak/>
        <w:t>paslaugų gavėjų prieiga prie 112 skubios pagalbos paslaugos turi būti prieinama ir tokia pati kaip kitų galutinių paslaugų gavėjų.</w:t>
      </w:r>
    </w:p>
    <w:p w14:paraId="65DCE00E" w14:textId="63B7AA44" w:rsidR="00327211" w:rsidRPr="00665FA8" w:rsidRDefault="00EE306F" w:rsidP="00FE7B47">
      <w:pPr>
        <w:jc w:val="both"/>
        <w:rPr>
          <w:rFonts w:cstheme="minorHAnsi"/>
          <w:bCs/>
          <w:sz w:val="24"/>
          <w:szCs w:val="24"/>
        </w:rPr>
      </w:pPr>
      <w:r>
        <w:rPr>
          <w:sz w:val="24"/>
        </w:rPr>
        <w:t>2. Į skubios pagalbos pranešimus bendruoju Europos pagalbos telefono numeriu 112 tinkamai atsako skubios pagalbos ryšio priėmimo centrai, naudodamiesi tomis pačiomis ryšio priemonėmis, kaip ir juos priimant, t. y. sinchronizuotu balsu ir tekstu (konkrečiai – realiuoju laiku perduodamu tekstu) arba, jei pateikiamas vaizdo įrašas, sinchronizuotu balsu, tekstu (konkrečiai – realiuoju laiku perduodamu tekstu) ir vaizdo įrašu kaip visas pokalbis.</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15 straipsnis. Neįgaliųjų galutinių paslaugų gavėjų iš kitų valstybių narių galimybė naudotis 112 skubios pagalbos paslauga.</w:t>
      </w:r>
    </w:p>
    <w:p w14:paraId="386F8FBD" w14:textId="7ECBC70D" w:rsidR="00D83518" w:rsidRPr="00665FA8" w:rsidRDefault="0065753F" w:rsidP="00327211">
      <w:pPr>
        <w:jc w:val="both"/>
        <w:rPr>
          <w:rFonts w:cstheme="minorHAnsi"/>
          <w:bCs/>
          <w:sz w:val="24"/>
          <w:szCs w:val="24"/>
        </w:rPr>
      </w:pPr>
      <w:r>
        <w:rPr>
          <w:sz w:val="24"/>
        </w:rPr>
        <w:t>Ekonomikos reikalų ir skaitmeninės transformacijos ministerijos vadovas įsakymu nustato atitinkamas priemones, kuriomis užtikrinama, kad neįgalūs galutiniai paslaugų gavėjai iš kitos valstybės narės, keliaudami į Ispaniją, galėtų naudotis skubios pagalbos iškvietimo paslaugomis tokiomis pačiomis sąlygomis kaip ir kiti galutiniai paslaugų gavėjai.</w:t>
      </w:r>
    </w:p>
    <w:p w14:paraId="6E42BFAF" w14:textId="77777777" w:rsidR="00665FA8" w:rsidRDefault="00665FA8" w:rsidP="00327211">
      <w:pPr>
        <w:jc w:val="both"/>
        <w:rPr>
          <w:rFonts w:cstheme="minorHAnsi"/>
          <w:b/>
          <w:bCs/>
          <w:sz w:val="24"/>
          <w:szCs w:val="24"/>
        </w:rPr>
      </w:pPr>
    </w:p>
    <w:p w14:paraId="71343C01" w14:textId="484ECA78" w:rsidR="00851702" w:rsidRDefault="00851702" w:rsidP="00327211">
      <w:pPr>
        <w:jc w:val="both"/>
        <w:rPr>
          <w:rFonts w:cstheme="minorHAnsi"/>
          <w:b/>
          <w:bCs/>
          <w:sz w:val="24"/>
          <w:szCs w:val="24"/>
        </w:rPr>
      </w:pPr>
      <w:r>
        <w:rPr>
          <w:b/>
          <w:sz w:val="24"/>
        </w:rPr>
        <w:t>Pirmoji papildomoji nuostata. Skubios pagalbos ryšiai kitais telefono numeriais.</w:t>
      </w:r>
    </w:p>
    <w:p w14:paraId="17D0E0BB" w14:textId="6A54DA74" w:rsidR="00A839C2" w:rsidRDefault="002F25B0" w:rsidP="008D7285">
      <w:pPr>
        <w:jc w:val="both"/>
        <w:rPr>
          <w:rFonts w:cstheme="minorHAnsi"/>
          <w:sz w:val="24"/>
          <w:szCs w:val="24"/>
        </w:rPr>
      </w:pPr>
      <w:r>
        <w:rPr>
          <w:sz w:val="24"/>
        </w:rPr>
        <w:t>1. Remiantis 2022 m. birželio 28 d. Įstatymo Nr. 11/2022 dėl bendrųjų telekomunikacijų 74 straipsnio 1 dalimi, viešai prieinamų su numeriu siejamo asmenų tarpusavio ryšio paslaugų galutiniai naudotojai, neskaitant telefono numerio 112, gali teikti skubios pagalbos pranešimus šiais telefono numeriais:</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t>062 Civilinė gvardija.</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 Vietos priešgaisrinės tarnybos.</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 Provincijos priešgaisrinės tarnybos.</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 Regioninės policijos pajėgos.</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 Nacionalinė policija.</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 Vietos policija.</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 Civilinė sauga.</w:t>
      </w:r>
    </w:p>
    <w:p w14:paraId="6CA5B403" w14:textId="1E82A940" w:rsidR="009B4CA7" w:rsidRPr="00ED3F17" w:rsidRDefault="002F25B0" w:rsidP="00881147">
      <w:pPr>
        <w:jc w:val="both"/>
        <w:rPr>
          <w:rFonts w:cstheme="minorHAnsi"/>
          <w:sz w:val="24"/>
          <w:szCs w:val="24"/>
        </w:rPr>
      </w:pPr>
      <w:r>
        <w:rPr>
          <w:sz w:val="24"/>
        </w:rPr>
        <w:lastRenderedPageBreak/>
        <w:t>2. Telekomunikacijų ir skaitmeninės infrastruktūros valstybės sekretorius, priimdamas rezoliuciją, gali nustatyti kitus telefono numerius, kuriais galima kreiptis skubios pagalbos.</w:t>
      </w:r>
    </w:p>
    <w:p w14:paraId="33ACE95D" w14:textId="363E3413" w:rsidR="00DD401C" w:rsidRDefault="009B4CA7" w:rsidP="002F25B0">
      <w:pPr>
        <w:jc w:val="both"/>
        <w:rPr>
          <w:rFonts w:cstheme="minorHAnsi"/>
          <w:sz w:val="24"/>
          <w:szCs w:val="24"/>
        </w:rPr>
      </w:pPr>
      <w:r>
        <w:rPr>
          <w:sz w:val="24"/>
        </w:rPr>
        <w:t>3. Tinkamam skubios pagalbos komunikacijos, adresuojamos telefono numeriais, kuriems taikoma ši nuostata, tvarkymui ir valdymui, išimtinai pagal šio Karaliaus dekreto nuostatas pripažįstami šie įgaliojimai, kaip nustatyta tolesniuose skirsniuose dėl informacijos apie abonento numerį, skambinančiojo vietos nustatymo ir pradinės linijos identifikavimo.</w:t>
      </w:r>
    </w:p>
    <w:p w14:paraId="55AB48A8" w14:textId="6D3662EA" w:rsidR="004B43EE" w:rsidRPr="009B4CA7" w:rsidRDefault="00254ABF" w:rsidP="002F25B0">
      <w:pPr>
        <w:jc w:val="both"/>
        <w:rPr>
          <w:sz w:val="24"/>
          <w:szCs w:val="24"/>
        </w:rPr>
      </w:pPr>
      <w:r>
        <w:rPr>
          <w:sz w:val="24"/>
        </w:rPr>
        <w:t>4. Pagal 2022 m. birželio 28 d. Įstatymo Nr. 11/2022 dėl bendrųjų telekomunikacijų 72 straipsnio 2 dalies c punktą institucijos, atsakingos už skubios pagalbos pranešimų, adresuotų šioje nuostatoje reglamentuojamais telefono numeriais, valdymą, gali turėti prieigą prie informacijos apie abonento numerius, kad galėtų griežtai vykdyti savo funkcijas, tomis pačiomis sąlygomis, kurios nustatytos šio Karaliaus dekreto 7 straipsnyje numatytai skubios pagalbos paslaugai 112.</w:t>
      </w:r>
    </w:p>
    <w:p w14:paraId="45FD934B" w14:textId="2043A11F" w:rsidR="004B43EE" w:rsidRDefault="0014170A" w:rsidP="004B43EE">
      <w:pPr>
        <w:jc w:val="both"/>
        <w:rPr>
          <w:rFonts w:cstheme="minorHAnsi"/>
          <w:bCs/>
          <w:sz w:val="24"/>
          <w:szCs w:val="24"/>
        </w:rPr>
      </w:pPr>
      <w:r>
        <w:t>5.</w:t>
      </w:r>
      <w:r>
        <w:rPr>
          <w:sz w:val="24"/>
        </w:rPr>
        <w:t>Šio Karaliaus dekreto 2 straipsnio 1 dalyje nurodyti operatoriai nedelsdami iš tinklo pateikia institucijoms, atsakingoms už skubios pagalbos pranešimų šioje nuostatoje reglamentuojamais telefono numeriais valdymą, informaciją apie skambinančiųjų buvimo vietą.</w:t>
      </w:r>
    </w:p>
    <w:p w14:paraId="12732828" w14:textId="5009A59B" w:rsidR="004B43EE" w:rsidRDefault="004B43EE" w:rsidP="004B43EE">
      <w:pPr>
        <w:jc w:val="both"/>
        <w:rPr>
          <w:rFonts w:cstheme="minorHAnsi"/>
          <w:bCs/>
          <w:sz w:val="24"/>
          <w:szCs w:val="24"/>
        </w:rPr>
      </w:pPr>
      <w:r>
        <w:rPr>
          <w:sz w:val="24"/>
        </w:rPr>
        <w:t>Pagal 2022 m. birželio 28 d. Įstatymo Nr. 11/2022 dėl bendrųjų telekomunikacijų 66 straipsnio 2 dalies c punktą operatoriai teikia tokią informaciją net apie galutinius paslaugų gavėjus, kurie pasinaudojo savo teise pagal minėtą straipsnį ir todėl nedavė sutikimo tvarkyti jų vietos nustatymo duomenis.</w:t>
      </w:r>
    </w:p>
    <w:p w14:paraId="7C4E150B" w14:textId="11BA36FD" w:rsidR="00F5331B" w:rsidRDefault="0014170A" w:rsidP="00F5331B">
      <w:pPr>
        <w:jc w:val="both"/>
        <w:rPr>
          <w:rFonts w:cstheme="minorHAnsi"/>
          <w:bCs/>
          <w:sz w:val="24"/>
          <w:szCs w:val="24"/>
        </w:rPr>
      </w:pPr>
      <w:r>
        <w:rPr>
          <w:sz w:val="24"/>
        </w:rPr>
        <w:t>6. Šio Karaliaus dekreto 2 straipsnio 1 dalyje nurodyti operatoriai valdžios institucijoms, atsakingoms už skubios pagalbos pranešimų, adresuojamų telefono numeriais, kuriems taikoma ši nuostata, valdymą, nurodo pirminę ryšio liniją, iš kurios skambinama, neviršydami tinklo techninių galimybių ir laikydamiesi nacionaliniuose ir Europos reglamentuose nustatytų pateikimo priemonių ir telefono linijos apribojimo taisyklių. Operatoriai pateikia pirminės linijos identifikavimo duomenis, net jei galutinis naudotojas pagal 2022 m. birželio 28 d. Įstatymo Nr. 11/2022 dėl bendrųjų telekomunikacijų 65 straipsnio 1 dalies o punktą pasinaudojo savo teise užkirsti kelią jo linijos identifikavimo duomenų pateikimui.</w:t>
      </w:r>
    </w:p>
    <w:p w14:paraId="0D51DF69" w14:textId="43BC92BE" w:rsidR="004544CB" w:rsidRPr="004544CB" w:rsidRDefault="0014170A" w:rsidP="004544CB">
      <w:pPr>
        <w:jc w:val="both"/>
        <w:rPr>
          <w:rFonts w:cstheme="minorHAnsi"/>
          <w:bCs/>
          <w:sz w:val="24"/>
          <w:szCs w:val="24"/>
        </w:rPr>
      </w:pPr>
      <w:r>
        <w:rPr>
          <w:sz w:val="24"/>
        </w:rPr>
        <w:lastRenderedPageBreak/>
        <w:t>7. Prieiga prie telefono numerių, kuriems taikoma ši nuostata, užtikrinama iš elektroninių ryšių tinklų, kurie nėra prieinami visuomenei, bet leidžia skambinti viešaisiais tinklais, ypač tais atvejais, kai už tokį tinklą atsakinga įmonė nesuteikia alternatyvios ir lengvos prieigos prie skubios pagalbos iškvietimo paslaugos.</w:t>
      </w:r>
    </w:p>
    <w:p w14:paraId="218D3340" w14:textId="6138FF74" w:rsidR="00ED3F17" w:rsidRDefault="004544CB" w:rsidP="004544CB">
      <w:pPr>
        <w:jc w:val="both"/>
        <w:rPr>
          <w:rFonts w:cstheme="minorHAnsi"/>
          <w:bCs/>
          <w:sz w:val="24"/>
          <w:szCs w:val="24"/>
        </w:rPr>
      </w:pPr>
      <w:r>
        <w:rPr>
          <w:sz w:val="24"/>
        </w:rPr>
        <w:t>Ekonomikos reikalų ir skaitmeninės transformacijos ministro įsakyme nurodomos prieigos prie telefono numerių pagal šią nuostatą iš šių tinklų sąlygos.</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t>Antroji papildomoji nuostata. Papildomos su numeriu siejamo asmenų tarpusavio ryšio paslaugos, tinkamos skubios pagalbos ryšiui.</w:t>
      </w:r>
    </w:p>
    <w:p w14:paraId="0A68585B" w14:textId="56D2BA86" w:rsidR="00AE2097" w:rsidRDefault="00AE2097" w:rsidP="00AE2097">
      <w:pPr>
        <w:jc w:val="both"/>
        <w:rPr>
          <w:rFonts w:cstheme="minorHAnsi"/>
          <w:bCs/>
          <w:sz w:val="24"/>
          <w:szCs w:val="24"/>
        </w:rPr>
      </w:pPr>
      <w:r>
        <w:rPr>
          <w:sz w:val="24"/>
        </w:rPr>
        <w:t>Ekonomikos reikalų ir skaitmeninės transformacijos ministerijos vadovas, po viešo svarstymo ir gavęs Nacionalinės rinkų ir konkurencijos komisijos ataskaitą, gali įsakymu nustatyti, kurios su numeriu siejamo asmenų tarpusavio ryšio paslaugos, papildančios šio Karaliaus dekreto 2 straipsnyje nurodytą balso ryšį, pvz., SMS, pranešimai, vaizdo įrašai, realiuoju laiku perduodamo teksto paslaugos, viso pokalbio paslaugos ar konvertavimo paslaugos, turėtų būti įtrauktos į skubios pagalbos ryšius, atsižvelgiant į naujausius pasiekimus ir elektroninių ryšių rinkos padėtį Ispanijoje, pagrindinių tinklų ir paslaugų, įdiegtų ir teikiamų mūsų šalyje, technines charakteristikas ir 112 skubios pagalbos iškvietimų priėmimo centrų galimybes ir techninę įrangą.</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Trečioji papildoma nuostata. Įvadas į Ispanijos rinką mobiliųjų įrenginių, kurie daro AML pažangių mobiliųjų vietos nustatymo informacijos funkcionalumą veiksmingą.</w:t>
      </w:r>
    </w:p>
    <w:p w14:paraId="6D4A7C52" w14:textId="4A91E8ED" w:rsidR="00B72801" w:rsidRDefault="00B72801" w:rsidP="00B72801">
      <w:pPr>
        <w:jc w:val="both"/>
        <w:rPr>
          <w:rFonts w:cstheme="minorHAnsi"/>
          <w:bCs/>
          <w:sz w:val="24"/>
          <w:szCs w:val="24"/>
        </w:rPr>
      </w:pPr>
      <w:r>
        <w:rPr>
          <w:sz w:val="24"/>
        </w:rPr>
        <w:t>Praėjus trims mėnesiams nuo šio Karaliaus dekreto įsigaliojimo, nešiojamieji mobilieji įrenginiai, kurių funkcijos yra panašios į kompiuterio funkcijas pagal jų gebėjimą tvarkyti ir saugoti duomenis, kurie neleidžia įdiegti pažangios mobiliosios vietos nustatymo informacijos funkcijos AML iš paties prietaiso, reglamentuojamos šiuo Karaliaus dekretu, Ispanijos rinkoje negali būti įdiegti.</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DF4677">
      <w:pPr>
        <w:keepNext/>
        <w:jc w:val="both"/>
        <w:rPr>
          <w:rFonts w:cstheme="minorHAnsi"/>
          <w:b/>
          <w:bCs/>
          <w:sz w:val="24"/>
          <w:szCs w:val="24"/>
        </w:rPr>
      </w:pPr>
      <w:r>
        <w:rPr>
          <w:b/>
          <w:sz w:val="24"/>
        </w:rPr>
        <w:lastRenderedPageBreak/>
        <w:t>Vienintelė nuostata dėl panaikinimo. Taisyklių panaikinimas.</w:t>
      </w:r>
    </w:p>
    <w:p w14:paraId="5C63BA96" w14:textId="77777777" w:rsidR="00A2457F" w:rsidRDefault="0099639A" w:rsidP="001924E4">
      <w:pPr>
        <w:jc w:val="both"/>
        <w:rPr>
          <w:rFonts w:cstheme="minorHAnsi"/>
          <w:bCs/>
          <w:sz w:val="24"/>
          <w:szCs w:val="24"/>
        </w:rPr>
      </w:pPr>
      <w:r>
        <w:rPr>
          <w:sz w:val="24"/>
        </w:rPr>
        <w:t>Panaikinamos šios nuostatos:</w:t>
      </w:r>
    </w:p>
    <w:p w14:paraId="05D92213" w14:textId="6C51D996" w:rsidR="001924E4" w:rsidRDefault="00A2457F" w:rsidP="00A2457F">
      <w:pPr>
        <w:pStyle w:val="ListParagraph"/>
        <w:numPr>
          <w:ilvl w:val="0"/>
          <w:numId w:val="25"/>
        </w:numPr>
        <w:jc w:val="both"/>
        <w:rPr>
          <w:rFonts w:cstheme="minorHAnsi"/>
          <w:sz w:val="24"/>
          <w:szCs w:val="24"/>
        </w:rPr>
      </w:pPr>
      <w:r>
        <w:rPr>
          <w:sz w:val="24"/>
        </w:rPr>
        <w:t>1997 m. birželio 16 d. Karaliaus dekretas Nr. 903/1997, kuriuo reglamentuojama galimybė per telekomunikacijų tinklus naudotis skubios pagalbos iškvietimo telefono numeriu 112.</w:t>
      </w:r>
    </w:p>
    <w:p w14:paraId="3628F2FD" w14:textId="77777777" w:rsidR="0054450D" w:rsidRDefault="0054450D" w:rsidP="00EB26EF">
      <w:pPr>
        <w:pStyle w:val="ListParagraph"/>
        <w:numPr>
          <w:ilvl w:val="0"/>
          <w:numId w:val="25"/>
        </w:numPr>
        <w:jc w:val="both"/>
        <w:rPr>
          <w:rFonts w:cstheme="minorHAnsi"/>
          <w:sz w:val="24"/>
          <w:szCs w:val="24"/>
        </w:rPr>
      </w:pPr>
      <w:r>
        <w:rPr>
          <w:sz w:val="24"/>
        </w:rPr>
        <w:t>1999 m. spalio 14 d. įsakymas dėl svarbios informacijos skubios pagalbos iškvietimo paslaugai teikti telefono numeriu 112 teikimo sąlygų.</w:t>
      </w:r>
    </w:p>
    <w:p w14:paraId="404EBFA0" w14:textId="094EFC12" w:rsidR="00A2457F" w:rsidRDefault="00A2457F" w:rsidP="00EB26EF">
      <w:pPr>
        <w:pStyle w:val="ListParagraph"/>
        <w:numPr>
          <w:ilvl w:val="0"/>
          <w:numId w:val="25"/>
        </w:numPr>
        <w:jc w:val="both"/>
        <w:rPr>
          <w:rFonts w:cstheme="minorHAnsi"/>
          <w:sz w:val="24"/>
          <w:szCs w:val="24"/>
        </w:rPr>
      </w:pPr>
      <w:r>
        <w:rPr>
          <w:sz w:val="24"/>
        </w:rPr>
        <w:t>2010 m. kovo 17 d. Įsakymas Nr. ITC/750/2010, kuriuo nustatomos mobiliojo telefono ryšio paslaugos gavėjo, kuris skambina, vietos nustatymo duomenų teikimo skubios pagalbos iškvietimo paslaugoms, teikiamoms 062 ir 091 numeriais, sąlygos.</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t>Visos kitos tokio paties ar žemesnio rango nuostatos, prieštaraujančios šio Karaliaus dekreto nuostatoms, taip pat panaikinamos.</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rFonts w:ascii="Calibri" w:eastAsia="Times New Roman" w:hAnsi="Calibri" w:cs="Calibri"/>
          <w:b/>
          <w:sz w:val="24"/>
          <w:szCs w:val="24"/>
        </w:rPr>
      </w:pPr>
      <w:r>
        <w:rPr>
          <w:rFonts w:ascii="Calibri" w:hAnsi="Calibri"/>
          <w:b/>
          <w:sz w:val="24"/>
        </w:rPr>
        <w:t>Pirmoji baigiamoji nuostata Įgaliojimų suteikimas.</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Šis Karaliaus dekretas priimtas pagal Ispanijos Konstitucijos 149 straipsnio 1 dalies 21 ir 29 punktus, pagal kuriuos valstybei atitinkamai suteikiama išimtinė kompetencija telekomunikacijų ir visuomenės saugumo srityje.</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Antroji baigiamoji nuostata. Reguliavimo įgyvendinimo įgaliojimai.</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Ekonomikos reikalų ir skaitmeninės transformacijos ministerijos vadovas, taip pat Vidaus reikalų ministerijos vadovas pagal savo kompetenciją turi teisę priimti nuostatas, būtinas, kad būtų laikomasi šio Karaliaus dekreto nuostatų.</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Trečioji baigiamoji nuostata. Įsigaliojimas</w:t>
      </w:r>
    </w:p>
    <w:p w14:paraId="13196BF0" w14:textId="2E4694D9" w:rsidR="001A52DF" w:rsidRPr="00665FA8" w:rsidRDefault="00327211" w:rsidP="005C7465">
      <w:pPr>
        <w:jc w:val="both"/>
        <w:rPr>
          <w:rFonts w:cstheme="minorHAnsi"/>
          <w:sz w:val="24"/>
          <w:szCs w:val="24"/>
        </w:rPr>
      </w:pPr>
      <w:r>
        <w:rPr>
          <w:sz w:val="24"/>
        </w:rPr>
        <w:t>Šis karališkasis dekretas įsigalioja jo paskelbimo Ispanijos oficialiajame leidinyje dieną.</w:t>
      </w: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w:t>
        </w:r>
        <w:r w:rsidR="008160B3">
          <w:t>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DF4677"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0428140"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EKONOMIKOS REIKALŲ IR SKAITMENINĖS TRANSFORMACIJOS MINISTERIJA</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VALSTYBINIS TELEKOMUNIKACIJŲ IR SKAITMENINĖS INFRASTRUKTŪROS SEKRETORIATAS</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TELEKOMUNIKACIJŲ IR AUDIOVIZUALINIŲ RYŠIŲ PASLAUGŲ GENERALINIS DIREKTORATAS</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4677"/>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19</Pages>
  <Words>5614</Words>
  <Characters>32003</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Liana Brili</cp:lastModifiedBy>
  <cp:revision>8</cp:revision>
  <cp:lastPrinted>2021-07-26T12:49:00Z</cp:lastPrinted>
  <dcterms:created xsi:type="dcterms:W3CDTF">2022-07-01T08:10:00Z</dcterms:created>
  <dcterms:modified xsi:type="dcterms:W3CDTF">2022-07-27T08:56:00Z</dcterms:modified>
</cp:coreProperties>
</file>