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87A0" w14:textId="621CF4F4" w:rsidR="00337C55" w:rsidRPr="00972F99" w:rsidRDefault="001030DA" w:rsidP="00972F99">
      <w:pPr>
        <w:tabs>
          <w:tab w:val="left" w:pos="3156"/>
          <w:tab w:val="center" w:pos="4819"/>
        </w:tabs>
        <w:jc w:val="center"/>
        <w:rPr>
          <w:sz w:val="40"/>
        </w:rPr>
      </w:pPr>
      <w:r>
        <w:rPr>
          <w:sz w:val="40"/>
        </w:rPr>
        <w:t xml:space="preserve">Verordening inzake broodtarwe</w:t>
      </w:r>
      <w:r w:rsidR="00B045D0">
        <w:rPr>
          <w:rStyle w:val="FootnoteReference"/>
          <w:sz w:val="40"/>
        </w:rPr>
        <w:footnoteReference w:id="1"/>
      </w:r>
    </w:p>
    <w:p w14:paraId="6B29CF14" w14:textId="77777777" w:rsidR="001030DA" w:rsidRPr="00972F99" w:rsidRDefault="001030DA" w:rsidP="001030DA">
      <w:pPr>
        <w:jc w:val="center"/>
      </w:pPr>
    </w:p>
    <w:p w14:paraId="3DFA16D2" w14:textId="77777777" w:rsidR="001030DA" w:rsidRPr="00972F99" w:rsidRDefault="001030DA" w:rsidP="001030DA">
      <w:r>
        <w:t xml:space="preserve">Krachtens artikel 13, lid 4, van wet nr. 338 van 2 april 2019 betreffende het gebruik van meststoffen in de landbouw en maatregelen ter vermindering van nutriënten, zoals gewijzigd bij wet nr. 1569 van 27 december 2019, wordt bij machtiging bepaald:</w:t>
      </w:r>
    </w:p>
    <w:p w14:paraId="3E4A4723" w14:textId="70ABD018" w:rsidR="001030DA" w:rsidRPr="00972F99" w:rsidRDefault="00A33C35" w:rsidP="00A33C35">
      <w:pPr>
        <w:jc w:val="center"/>
      </w:pPr>
      <w:r>
        <w:t xml:space="preserve">Hoofdstuk 1</w:t>
      </w:r>
    </w:p>
    <w:p w14:paraId="43CED41A" w14:textId="2EC311AC" w:rsidR="00A33C35" w:rsidRPr="00972F99" w:rsidRDefault="00A33C35" w:rsidP="00A33C35">
      <w:pPr>
        <w:jc w:val="center"/>
        <w:rPr>
          <w:i/>
        </w:rPr>
      </w:pPr>
      <w:r>
        <w:rPr>
          <w:i/>
        </w:rPr>
        <w:t xml:space="preserve">Toepassing van de stikstofnorm voor broodtarwe</w:t>
      </w:r>
    </w:p>
    <w:p w14:paraId="62C9B9AA" w14:textId="77777777" w:rsidR="00972F99" w:rsidRPr="00972F99" w:rsidRDefault="001030DA" w:rsidP="001030DA">
      <w:r>
        <w:rPr>
          <w:b/>
        </w:rPr>
        <w:t xml:space="preserve">Artikel 1</w:t>
      </w:r>
      <w:r>
        <w:rPr>
          <w:b/>
        </w:rPr>
        <w:t xml:space="preserve"> </w:t>
      </w:r>
      <w:r>
        <w:t xml:space="preserve">In deze Verordening worden de criteria vastgesteld waaraan tarwerassen moeten voldoen opdat in het register van meststoffen geregistreerde bedrijven de stikstofnorm voor broodtarwe in de teelt kunnen toepassen, zie de Verordening met betrekking tot het landbouwgebruik van meststoffen die van kracht is voor de planningsperiode.</w:t>
      </w:r>
    </w:p>
    <w:p w14:paraId="57F330E7" w14:textId="6FE487FF" w:rsidR="00AF36AF" w:rsidRPr="00972F99" w:rsidRDefault="00AF36AF" w:rsidP="00972F99">
      <w:pPr>
        <w:ind w:firstLine="142"/>
      </w:pPr>
      <w:r>
        <w:rPr>
          <w:i/>
        </w:rPr>
        <w:t xml:space="preserve">(2) </w:t>
      </w:r>
      <w:r>
        <w:t xml:space="preserve">Deze Verordening heeft geen invloed op de aanvullende vereisten voor de toepassing van de stikstofnorm voor broodtarwe als gevolg van andere wetgeving.</w:t>
      </w:r>
      <w:r>
        <w:t xml:space="preserve"> </w:t>
      </w:r>
      <w:r>
        <w:rPr>
          <w:i/>
        </w:rPr>
        <w:t xml:space="preserve"> </w:t>
      </w:r>
    </w:p>
    <w:p w14:paraId="18040792" w14:textId="0EAA54A6" w:rsidR="00A33C35" w:rsidRPr="00972F99" w:rsidRDefault="006B72FF" w:rsidP="00CC7F41">
      <w:pPr>
        <w:jc w:val="center"/>
      </w:pPr>
      <w:r>
        <w:t xml:space="preserve">     </w:t>
      </w:r>
    </w:p>
    <w:p w14:paraId="64649C2E" w14:textId="123810AF" w:rsidR="006B064B" w:rsidRPr="00972F99" w:rsidRDefault="00AB061B" w:rsidP="00AB061B">
      <w:r>
        <w:rPr>
          <w:b/>
        </w:rPr>
        <w:t xml:space="preserve">Artikel 2</w:t>
      </w:r>
      <w:r>
        <w:rPr>
          <w:b/>
        </w:rPr>
        <w:t xml:space="preserve"> </w:t>
      </w:r>
      <w:r>
        <w:t xml:space="preserve">Een onderneming mag de stikstofnorm voor broodtarwe toepassen op de volgende tarwerassen:</w:t>
      </w:r>
    </w:p>
    <w:p w14:paraId="02C885C1" w14:textId="377E1A41" w:rsidR="00AB061B" w:rsidRPr="00972F99" w:rsidRDefault="00BB4BE3" w:rsidP="006B064B">
      <w:pPr>
        <w:pStyle w:val="ListParagraph"/>
        <w:numPr>
          <w:ilvl w:val="0"/>
          <w:numId w:val="7"/>
        </w:numPr>
      </w:pPr>
      <w:r>
        <w:t xml:space="preserve">Wintertarwerassen die voldoen aan de criteria voor kwaliteit en stabiliteit van de teelt, zie artikel 6, lid 1, en worden geschikt geacht voor de broodproductie, zie artikel 8.</w:t>
      </w:r>
    </w:p>
    <w:p w14:paraId="61BFE5F3" w14:textId="54E64959" w:rsidR="003A2725" w:rsidRPr="00972F99" w:rsidRDefault="00BB4BE3" w:rsidP="006B064B">
      <w:pPr>
        <w:pStyle w:val="ListParagraph"/>
        <w:numPr>
          <w:ilvl w:val="0"/>
          <w:numId w:val="7"/>
        </w:numPr>
      </w:pPr>
      <w:r>
        <w:t xml:space="preserve">Wintertarwerassen die in een andere EU-lidstaat onder vergelijkbare teeltomstandigheden als broodtarwe zijn getest en die voldoen aan de in deze Verordening vastgestelde voorwaarden of criteria die gelijkwaardige garanties bieden ten aanzien van de geschiktheid van de soort voor de broodproductie.</w:t>
      </w:r>
    </w:p>
    <w:p w14:paraId="4C29B1A8" w14:textId="7A3A4CDA" w:rsidR="00490E76" w:rsidRPr="00972F99" w:rsidRDefault="00BB4BE3" w:rsidP="006B064B">
      <w:pPr>
        <w:pStyle w:val="ListParagraph"/>
        <w:numPr>
          <w:ilvl w:val="0"/>
          <w:numId w:val="7"/>
        </w:numPr>
        <w:rPr>
          <w:b/>
          <w:i/>
        </w:rPr>
      </w:pPr>
      <w:r>
        <w:t xml:space="preserve">Lentetarwerassen die tijdens de betrokken planningsperiode zijn opgenomen in de gemeenschappelijke rassenlijst van landbouwgewassen van de Unie.</w:t>
      </w:r>
    </w:p>
    <w:p w14:paraId="12C248F7" w14:textId="5124E683" w:rsidR="006B064B" w:rsidRPr="00972F99" w:rsidRDefault="00364412" w:rsidP="00364412">
      <w:pPr>
        <w:pStyle w:val="ListParagraph"/>
        <w:numPr>
          <w:ilvl w:val="0"/>
          <w:numId w:val="7"/>
        </w:numPr>
        <w:rPr>
          <w:b/>
          <w:i/>
        </w:rPr>
      </w:pPr>
      <w:r>
        <w:t xml:space="preserve">Rassen die worden vermeld in de broodtarwelijst, zie bijlage 1, tabel 3, bij de Verordening inzake het gebruik van meststoffen die van tijd tot tijd van kracht zijn.</w:t>
      </w:r>
    </w:p>
    <w:p w14:paraId="0FAC13EC" w14:textId="77777777" w:rsidR="00455B70" w:rsidRPr="00972F99" w:rsidRDefault="00455B70" w:rsidP="00455B70">
      <w:pPr>
        <w:pStyle w:val="ListParagraph"/>
        <w:rPr>
          <w:b/>
          <w:i/>
        </w:rPr>
      </w:pPr>
    </w:p>
    <w:p w14:paraId="756FE47C" w14:textId="330D96E5" w:rsidR="00107261" w:rsidRPr="00972F99" w:rsidRDefault="00A33C35" w:rsidP="00BB4BE3">
      <w:pPr>
        <w:jc w:val="center"/>
      </w:pPr>
      <w:r>
        <w:t xml:space="preserve">Hoofdstuk 2</w:t>
      </w:r>
    </w:p>
    <w:p w14:paraId="1B3DF5DB" w14:textId="2B629BD8" w:rsidR="00A33C35" w:rsidRPr="00972F99" w:rsidRDefault="00A33C35" w:rsidP="00BB4BE3">
      <w:pPr>
        <w:jc w:val="center"/>
        <w:rPr>
          <w:i/>
        </w:rPr>
      </w:pPr>
      <w:r>
        <w:rPr>
          <w:i/>
        </w:rPr>
        <w:t xml:space="preserve">Testen</w:t>
      </w:r>
    </w:p>
    <w:p w14:paraId="2ADEE758" w14:textId="2A4936FF" w:rsidR="006B064B" w:rsidRPr="00972F99" w:rsidRDefault="000711E7" w:rsidP="0037572C">
      <w:r>
        <w:rPr>
          <w:b/>
        </w:rPr>
        <w:t xml:space="preserve">Artikel 3</w:t>
      </w:r>
      <w:r>
        <w:t xml:space="preserve"> </w:t>
      </w:r>
      <w:r>
        <w:t xml:space="preserve">Bij het testen van een ras moeten veldproeven van het ras en de referentierassen worden uitgevoerd, moeten monsters van veldproeven worden geanalyseerd en moet worden beoordeeld of het ras voldoet aan de criteria van kwaliteit en stabiliteit van de teelt en geschikt is voor de broodproductie, zie artikelen 4 tot en met 9.</w:t>
      </w:r>
    </w:p>
    <w:p w14:paraId="1626EC64" w14:textId="77777777" w:rsidR="00455B70" w:rsidRPr="00972F99" w:rsidRDefault="00455B70" w:rsidP="0037572C"/>
    <w:p w14:paraId="23362E41" w14:textId="70993D31" w:rsidR="00BB4BE3" w:rsidRPr="00972F99" w:rsidRDefault="00BB4BE3" w:rsidP="0037572C">
      <w:pPr>
        <w:jc w:val="center"/>
      </w:pPr>
      <w:r>
        <w:t xml:space="preserve">Hoofdstuk 3</w:t>
      </w:r>
    </w:p>
    <w:p w14:paraId="445DD424" w14:textId="77777777" w:rsidR="0037572C" w:rsidRPr="00972F99" w:rsidRDefault="0037572C" w:rsidP="0037572C">
      <w:pPr>
        <w:jc w:val="center"/>
        <w:rPr>
          <w:i/>
        </w:rPr>
      </w:pPr>
      <w:r>
        <w:rPr>
          <w:i/>
        </w:rPr>
        <w:t xml:space="preserve">Vereisten voor veldproeven</w:t>
      </w:r>
    </w:p>
    <w:p w14:paraId="5EA03341" w14:textId="72787531" w:rsidR="00C0373F" w:rsidRPr="00972F99" w:rsidRDefault="00C0373F" w:rsidP="00C805F6">
      <w:pPr>
        <w:rPr>
          <w:b/>
        </w:rPr>
      </w:pPr>
      <w:r>
        <w:rPr>
          <w:b/>
        </w:rPr>
        <w:t xml:space="preserve">Artikel 4</w:t>
      </w:r>
      <w:r>
        <w:rPr>
          <w:b/>
        </w:rPr>
        <w:t xml:space="preserve"> </w:t>
      </w:r>
      <w:r>
        <w:t xml:space="preserve">Een te testen ras moet worden geteeld op ten minste zes geografisch onderscheidende locaties, samen met vijf referentierassen.</w:t>
      </w:r>
      <w:r>
        <w:rPr>
          <w:b/>
        </w:rPr>
        <w:t xml:space="preserve"> </w:t>
      </w:r>
    </w:p>
    <w:p w14:paraId="3D0442DF" w14:textId="1CC0F705" w:rsidR="00014D3B" w:rsidRPr="00972F99" w:rsidRDefault="00ED03CC" w:rsidP="00972F99">
      <w:pPr>
        <w:ind w:firstLine="284"/>
        <w:rPr>
          <w:rFonts w:cstheme="minorHAnsi"/>
        </w:rPr>
      </w:pPr>
      <w:r>
        <w:rPr>
          <w:i/>
        </w:rPr>
        <w:t xml:space="preserve">(2) </w:t>
      </w:r>
      <w:r>
        <w:t xml:space="preserve">Referentierassen moeten worden gebruikt voor de vijf meest geteelde rassen van broodtarwe in Denemarken, zie artikel 2, in het jaar waarin de tests worden uitgevoerd.</w:t>
      </w:r>
      <w:r>
        <w:t xml:space="preserve"> </w:t>
      </w:r>
    </w:p>
    <w:p w14:paraId="0773417D" w14:textId="55CF8B7C" w:rsidR="00E6616D" w:rsidRPr="00972F99" w:rsidRDefault="00014D3B" w:rsidP="00972F99">
      <w:pPr>
        <w:ind w:firstLine="284"/>
        <w:rPr>
          <w:rFonts w:cstheme="minorHAnsi"/>
        </w:rPr>
      </w:pPr>
      <w:r>
        <w:rPr>
          <w:i/>
        </w:rPr>
        <w:t xml:space="preserve">(3)</w:t>
      </w:r>
      <w:r>
        <w:t xml:space="preserve"> Wanneer er geen vijf referentierassen bestaan, moet het ras worden getest samen met alle referentierassen die zijn geteeld in het jaar waarin de tests worden uitgevoerd.</w:t>
      </w:r>
      <w:r>
        <w:t xml:space="preserve"> </w:t>
      </w:r>
    </w:p>
    <w:p w14:paraId="4A8F8537" w14:textId="31D12BF8" w:rsidR="0063537E" w:rsidRPr="00972F99" w:rsidRDefault="00C805F6" w:rsidP="00972F99">
      <w:pPr>
        <w:ind w:firstLine="284"/>
      </w:pPr>
      <w:r>
        <w:rPr>
          <w:i/>
        </w:rPr>
        <w:t xml:space="preserve">(4) </w:t>
      </w:r>
      <w:r>
        <w:t xml:space="preserve">Telen als bedoeld in lid 1 moet worden uitgevoerd met de toewijzing van stikstof overeenkomstig de norm voor broodtarwe en in overeenstemming met de beste praktijken voor de teelt van broodtarwe.</w:t>
      </w:r>
    </w:p>
    <w:p w14:paraId="6FE9233C" w14:textId="77777777" w:rsidR="004E7A2E" w:rsidRPr="00972F99" w:rsidRDefault="004E7A2E" w:rsidP="00C805F6"/>
    <w:p w14:paraId="5DF9A7CF" w14:textId="00E4F231" w:rsidR="0019448A" w:rsidRDefault="0019448A" w:rsidP="00C805F6">
      <w:r>
        <w:rPr>
          <w:b/>
        </w:rPr>
        <w:t xml:space="preserve">Artikel 5</w:t>
      </w:r>
      <w:r>
        <w:rPr>
          <w:b/>
        </w:rPr>
        <w:t xml:space="preserve"> </w:t>
      </w:r>
      <w:r>
        <w:t xml:space="preserve">Locaties met veldproeven, zie artikel 4, waar de gemiddelde daling voor alle geteelde rassen minder dan 230 seconden bedraagt, of waar het gemiddelde eiwitgehalte in de pit voor alle geteelde rassen minder dan 11% bedraagt, moeten worden afgedankt.</w:t>
      </w:r>
      <w:r>
        <w:t xml:space="preserve"> </w:t>
      </w:r>
      <w:r>
        <w:t xml:space="preserve">Monsters van afgedankte locaties zijn niet opgenomen in analyses of steekproefbakken.</w:t>
      </w:r>
    </w:p>
    <w:p w14:paraId="1FC99DE7" w14:textId="77777777" w:rsidR="00D47BBD" w:rsidRPr="00972F99" w:rsidRDefault="00D47BBD" w:rsidP="00C805F6">
      <w:pPr>
        <w:rPr>
          <w:b/>
          <w:i/>
        </w:rPr>
      </w:pPr>
    </w:p>
    <w:p w14:paraId="4DA7A982" w14:textId="0DBF166C" w:rsidR="00C0373F" w:rsidRPr="00972F99" w:rsidRDefault="00CC7F41" w:rsidP="00CC7F41">
      <w:pPr>
        <w:jc w:val="center"/>
      </w:pPr>
      <w:r>
        <w:t xml:space="preserve">Hoofdstuk 4</w:t>
      </w:r>
    </w:p>
    <w:p w14:paraId="1A450ACE" w14:textId="464D552E" w:rsidR="0037572C" w:rsidRPr="00D47BBD" w:rsidRDefault="00C0373F" w:rsidP="00D47BBD">
      <w:pPr>
        <w:jc w:val="center"/>
        <w:rPr>
          <w:b/>
        </w:rPr>
      </w:pPr>
      <w:r>
        <w:rPr>
          <w:i/>
        </w:rPr>
        <w:t xml:space="preserve">Kwaliteits- en teeltstabiliteitscriteria</w:t>
      </w:r>
      <w:r>
        <w:rPr>
          <w:b/>
        </w:rPr>
        <w:t xml:space="preserve"> </w:t>
      </w:r>
    </w:p>
    <w:p w14:paraId="65BC52F5" w14:textId="7366962C" w:rsidR="00AB061B" w:rsidRPr="00972F99" w:rsidRDefault="00AB061B" w:rsidP="00AB061B">
      <w:r>
        <w:rPr>
          <w:b/>
        </w:rPr>
        <w:t xml:space="preserve">Artikel 6</w:t>
      </w:r>
      <w:r>
        <w:t xml:space="preserve"> </w:t>
      </w:r>
      <w:r>
        <w:t xml:space="preserve">Monsters van het onderzochte ras moeten in elk van de twee onafhankelijke teeltjaren voor elke locatie aan de volgende criteria voldoen, met inachtneming van de leden 2 en 3 en artikel 7:</w:t>
      </w:r>
    </w:p>
    <w:p w14:paraId="04C75DD8" w14:textId="010104C9" w:rsidR="00AB061B" w:rsidRPr="00972F99" w:rsidRDefault="00AB061B" w:rsidP="00AB061B">
      <w:r>
        <w:t xml:space="preserve">          </w:t>
      </w:r>
      <w:r>
        <w:t xml:space="preserve">1) Eiwit in pit ≥ 11,0%</w:t>
      </w:r>
      <w:r>
        <w:t xml:space="preserve"> </w:t>
      </w:r>
    </w:p>
    <w:p w14:paraId="6F67DCF7" w14:textId="1F21327E" w:rsidR="00AB061B" w:rsidRPr="00972F99" w:rsidRDefault="00AB061B" w:rsidP="00AB061B">
      <w:r>
        <w:t xml:space="preserve">          </w:t>
      </w:r>
      <w:r>
        <w:t xml:space="preserve">2) Vallend aantal ≥ 250 seconden bepaald volgens de Hagberg-Perten-methode.</w:t>
      </w:r>
      <w:r>
        <w:tab/>
      </w:r>
    </w:p>
    <w:p w14:paraId="7E94E417" w14:textId="10B56A0E" w:rsidR="00AB061B" w:rsidRPr="00972F99" w:rsidRDefault="00AB061B" w:rsidP="00AB061B">
      <w:r>
        <w:t xml:space="preserve">          </w:t>
      </w:r>
      <w:r>
        <w:t xml:space="preserve">3) Eenheidsgewicht ≥ 750 g/l.</w:t>
      </w:r>
    </w:p>
    <w:p w14:paraId="262CAC84" w14:textId="5ED34179" w:rsidR="00ED03CC" w:rsidRPr="00972F99" w:rsidRDefault="008F09B3" w:rsidP="00AB061B">
      <w:r>
        <w:t xml:space="preserve">          </w:t>
      </w:r>
      <w:r>
        <w:t xml:space="preserve">4) Broodvolume ≥ 90% van de gemiddelde waarde van de referentierassen bij het steekproefbakken.</w:t>
      </w:r>
    </w:p>
    <w:p w14:paraId="4CC6E7BF" w14:textId="77777777" w:rsidR="009069B8" w:rsidRPr="00972F99" w:rsidRDefault="00CE79A8" w:rsidP="00972F99">
      <w:pPr>
        <w:ind w:firstLine="142"/>
        <w:rPr>
          <w:i/>
        </w:rPr>
      </w:pPr>
      <w:r>
        <w:rPr>
          <w:i/>
        </w:rPr>
        <w:t xml:space="preserve">(2) </w:t>
      </w:r>
      <w:r>
        <w:t xml:space="preserve">Aan de criteria van lid 1, alinea’s 1 tot en met 3, wordt geacht te zijn voldaan gedurende een teeltjaar, ongeacht het feit dat er voor elk criterium een monster bestaat afkomstig van één locatie waar de grenswaarde niet wordt nageleefd.</w:t>
      </w:r>
    </w:p>
    <w:p w14:paraId="05B56CFF" w14:textId="530D12A2" w:rsidR="006A4073" w:rsidRPr="00972F99" w:rsidRDefault="006A4073" w:rsidP="00972F99">
      <w:pPr>
        <w:ind w:firstLine="142"/>
      </w:pPr>
      <w:r>
        <w:rPr>
          <w:i/>
        </w:rPr>
        <w:t xml:space="preserve">(3) </w:t>
      </w:r>
      <w:r>
        <w:t xml:space="preserve">Het criterium van lid 1, alinea 4, wordt geacht te zijn vervuld gedurende een teeltjaar indien een totaalgemiddelde van het resultaat voor monsters vanaf ten minste twee locaties voldoet aan de grenswaarde.</w:t>
      </w:r>
      <w:r>
        <w:t xml:space="preserve"> </w:t>
      </w:r>
      <w:r>
        <w:t xml:space="preserve">Monsters van het geteste ras en monsters van de referentierassen moeten op dezelfde twee locaties worden geselecteerd.</w:t>
      </w:r>
    </w:p>
    <w:p w14:paraId="1C23279D" w14:textId="77777777" w:rsidR="001848EB" w:rsidRPr="00972F99" w:rsidRDefault="001848EB" w:rsidP="00AB061B">
      <w:pPr>
        <w:rPr>
          <w:b/>
        </w:rPr>
      </w:pPr>
    </w:p>
    <w:p w14:paraId="0BB375A0" w14:textId="6501496A" w:rsidR="00CE79A8" w:rsidRPr="00972F99" w:rsidRDefault="00CE79A8" w:rsidP="00AB061B">
      <w:r>
        <w:rPr>
          <w:b/>
        </w:rPr>
        <w:t xml:space="preserve">Artikel 7</w:t>
      </w:r>
      <w:r>
        <w:rPr>
          <w:b/>
        </w:rPr>
        <w:t xml:space="preserve"> </w:t>
      </w:r>
      <w:r>
        <w:t xml:space="preserve">Een ras dat in één van de twee teeltjaren niet voldoet aan een van de criteria van artikel 6, lid 1, alinea’s 1 tot en met 3, onder voorbehoud van artikel 6, lid 2, maar dat geschikt wordt geacht voor de productie van brood door beide maalbedrijven, zie artikel 8, mag gedurende één extra jaar worden geteeld.</w:t>
      </w:r>
    </w:p>
    <w:p w14:paraId="7EB42874" w14:textId="3E1B5E4D" w:rsidR="005A0FA3" w:rsidRDefault="005A0FA3" w:rsidP="00AB061B">
      <w:r>
        <w:t xml:space="preserve">     </w:t>
      </w:r>
      <w:r>
        <w:rPr>
          <w:i/>
        </w:rPr>
        <w:t xml:space="preserve">(2) </w:t>
      </w:r>
      <w:r>
        <w:t xml:space="preserve">Voor rassen die in drie zelfstandige teeltjaren worden geteeld, zie lid 1, moet in twee van de drie teeltjaren worden voldaan aan alle criteria van artikel 6, lid 1, alinea’s 1 tot en met 3 behoudens artikel 6, lid 2.</w:t>
      </w:r>
    </w:p>
    <w:p w14:paraId="14BB78BE" w14:textId="77777777" w:rsidR="00D47BBD" w:rsidRPr="00972F99" w:rsidRDefault="00D47BBD" w:rsidP="00AB061B"/>
    <w:p w14:paraId="6080E638" w14:textId="1213264E" w:rsidR="004B2A01" w:rsidRPr="00972F99" w:rsidRDefault="00CC7F41" w:rsidP="00E76429">
      <w:pPr>
        <w:keepNext/>
        <w:jc w:val="center"/>
      </w:pPr>
      <w:r>
        <w:t xml:space="preserve">Hoofdstuk 5</w:t>
      </w:r>
    </w:p>
    <w:p w14:paraId="4C0CEAC1" w14:textId="77777777" w:rsidR="004B2A01" w:rsidRPr="00972F99" w:rsidRDefault="00214535" w:rsidP="004B2A01">
      <w:pPr>
        <w:jc w:val="center"/>
        <w:rPr>
          <w:i/>
        </w:rPr>
      </w:pPr>
      <w:r>
        <w:rPr>
          <w:i/>
        </w:rPr>
        <w:t xml:space="preserve">Beoordeling van de geschiktheid voor de broodproductie</w:t>
      </w:r>
    </w:p>
    <w:p w14:paraId="2696C3FC" w14:textId="3DD10667" w:rsidR="004E7A2E" w:rsidRPr="00972F99" w:rsidRDefault="004E7A2E" w:rsidP="00214535">
      <w:r>
        <w:rPr>
          <w:b/>
        </w:rPr>
        <w:t xml:space="preserve">Artikel 8</w:t>
      </w:r>
      <w:r>
        <w:t xml:space="preserve"> </w:t>
      </w:r>
      <w:r>
        <w:t xml:space="preserve">Om de geschiktheid van het ras voor de broodproductie te beoordelen, moet het advies van twee erkende maalbedrijven beschikbaar zijn.</w:t>
      </w:r>
    </w:p>
    <w:p w14:paraId="00E9542C" w14:textId="77777777" w:rsidR="00FF0C74" w:rsidRPr="00972F99" w:rsidRDefault="00382C7F" w:rsidP="00972F99">
      <w:pPr>
        <w:ind w:firstLine="142"/>
      </w:pPr>
      <w:r>
        <w:rPr>
          <w:i/>
        </w:rPr>
        <w:t xml:space="preserve">(2)</w:t>
      </w:r>
      <w:r>
        <w:t xml:space="preserve"> Het ras wordt geschikt geacht als ten minste één van de molenaars het ras beoordeelt als geschikt voor de broodproductie.</w:t>
      </w:r>
    </w:p>
    <w:p w14:paraId="124EC340" w14:textId="36809D47" w:rsidR="00214535" w:rsidRDefault="00214535" w:rsidP="00214535">
      <w:r>
        <w:t xml:space="preserve"> </w:t>
      </w:r>
      <w:r>
        <w:rPr>
          <w:b/>
        </w:rPr>
        <w:t xml:space="preserve">Artikel 9</w:t>
      </w:r>
      <w:r>
        <w:rPr>
          <w:b/>
        </w:rPr>
        <w:t xml:space="preserve"> </w:t>
      </w:r>
      <w:r>
        <w:t xml:space="preserve">De geschiktheid voor de broodproductie moet worden beoordeeld aan de hand van de analyse van monsters van twee teeltjaren van ten minste twee locaties.</w:t>
      </w:r>
    </w:p>
    <w:p w14:paraId="7713D1FC" w14:textId="77777777" w:rsidR="00D47BBD" w:rsidRPr="00972F99" w:rsidRDefault="00D47BBD" w:rsidP="00214535"/>
    <w:p w14:paraId="72A5289E" w14:textId="03B13DE1" w:rsidR="00EC4CDF" w:rsidRPr="00972F99" w:rsidRDefault="00CC7F41" w:rsidP="00EC4CDF">
      <w:pPr>
        <w:jc w:val="center"/>
      </w:pPr>
      <w:r>
        <w:t xml:space="preserve">Hoofdstuk 6</w:t>
      </w:r>
    </w:p>
    <w:p w14:paraId="45142DD8" w14:textId="16EF7A42" w:rsidR="00214535" w:rsidRPr="00972F99" w:rsidRDefault="00EC4CDF" w:rsidP="00EC4CDF">
      <w:pPr>
        <w:jc w:val="center"/>
        <w:rPr>
          <w:i/>
        </w:rPr>
      </w:pPr>
      <w:r>
        <w:rPr>
          <w:i/>
        </w:rPr>
        <w:t xml:space="preserve">Inwerkingtreding en overgangsbepalingen</w:t>
      </w:r>
    </w:p>
    <w:p w14:paraId="322FA40A" w14:textId="7C31EB79" w:rsidR="00214535" w:rsidRPr="00972F99" w:rsidRDefault="00402B38" w:rsidP="001030DA">
      <w:r>
        <w:rPr>
          <w:b/>
        </w:rPr>
        <w:t xml:space="preserve">Artikel 10</w:t>
      </w:r>
      <w:r>
        <w:t xml:space="preserve"> </w:t>
      </w:r>
      <w:r>
        <w:t xml:space="preserve">Deze Verordening treedt in werking op 1 augustus 2022.</w:t>
      </w:r>
    </w:p>
    <w:p w14:paraId="1E6FD2AB" w14:textId="7D67AD2F" w:rsidR="00216F5A" w:rsidRPr="00972F99" w:rsidRDefault="00402B38" w:rsidP="00972F99">
      <w:pPr>
        <w:ind w:firstLine="142"/>
      </w:pPr>
      <w:r>
        <w:rPr>
          <w:i/>
        </w:rPr>
        <w:t xml:space="preserve">(2) </w:t>
      </w:r>
      <w:r>
        <w:t xml:space="preserve">Deze Verordening is van toepassing op rassen waarvoor onderzoeken worden gestart na de inwerkingtreding van de Verordening.</w:t>
      </w:r>
      <w:r>
        <w:t xml:space="preserve"> </w:t>
      </w:r>
    </w:p>
    <w:p w14:paraId="506CBC37" w14:textId="69D77E7C" w:rsidR="00932A8B" w:rsidRPr="00972F99" w:rsidRDefault="00932A8B" w:rsidP="00972F99">
      <w:pPr>
        <w:ind w:firstLine="142"/>
      </w:pPr>
      <w:r>
        <w:t xml:space="preserve">(3) Deze Verordening is ook van toepassing op rassen waarvoor vóór de inwerkingtreding van de Verordening een onderzoek is ingesteld op basis van soortgelijke criteria als die welke in deze Verordening zijn vastgesteld.</w:t>
      </w:r>
    </w:p>
    <w:p w14:paraId="4EBB89E8" w14:textId="52F84E68" w:rsidR="00932A8B" w:rsidRPr="00972F99" w:rsidRDefault="00932A8B" w:rsidP="00972F99">
      <w:pPr>
        <w:ind w:firstLine="142"/>
      </w:pPr>
      <w:r>
        <w:rPr>
          <w:i/>
        </w:rPr>
        <w:t xml:space="preserve">(4)</w:t>
      </w:r>
      <w:r>
        <w:t xml:space="preserve"> Rassen waarvoor tests zijn gestart vóór de inwerkingtreding van deze Verordening in het kader van de vorige regeling, kunnen worden getest in overeenstemming met het vorige systeem of kunnen worden omgezet in tests in overeenstemming met de regels van deze Verordening.</w:t>
      </w:r>
    </w:p>
    <w:sectPr w:rsidR="00932A8B" w:rsidRPr="00972F9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10B0" w14:textId="77777777" w:rsidR="00B045D0" w:rsidRDefault="00B045D0" w:rsidP="00B045D0">
      <w:pPr>
        <w:spacing w:after="0" w:line="240" w:lineRule="auto"/>
      </w:pPr>
      <w:r>
        <w:separator/>
      </w:r>
    </w:p>
  </w:endnote>
  <w:endnote w:type="continuationSeparator" w:id="0">
    <w:p w14:paraId="3ABD6C86" w14:textId="77777777" w:rsidR="00B045D0" w:rsidRDefault="00B045D0" w:rsidP="00B0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6FEC" w14:textId="77777777" w:rsidR="00B045D0" w:rsidRDefault="00B045D0" w:rsidP="00B045D0">
      <w:pPr>
        <w:spacing w:after="0" w:line="240" w:lineRule="auto"/>
      </w:pPr>
      <w:r>
        <w:separator/>
      </w:r>
    </w:p>
  </w:footnote>
  <w:footnote w:type="continuationSeparator" w:id="0">
    <w:p w14:paraId="0CC52656" w14:textId="77777777" w:rsidR="00B045D0" w:rsidRDefault="00B045D0" w:rsidP="00B045D0">
      <w:pPr>
        <w:spacing w:after="0" w:line="240" w:lineRule="auto"/>
      </w:pPr>
      <w:r>
        <w:continuationSeparator/>
      </w:r>
    </w:p>
  </w:footnote>
  <w:footnote w:id="1">
    <w:p w14:paraId="0BEE1261" w14:textId="1B333733" w:rsidR="00B045D0" w:rsidRDefault="00B045D0">
      <w:pPr>
        <w:pStyle w:val="FootnoteText"/>
      </w:pPr>
      <w:r>
        <w:rPr>
          <w:rStyle w:val="FootnoteReference"/>
        </w:rPr>
        <w:footnoteRef/>
      </w:r>
      <w:r>
        <w:t xml:space="preserve"> </w:t>
      </w:r>
      <w:r>
        <w:rPr>
          <w:sz w:val="18"/>
        </w:rPr>
        <w:t xml:space="preserve">De Ontwerpverordening is aangemeld in overeenstemming met Richtlijn 2015/1535/EU van het Europees Parlement en de Raad betreffende een informatieprocedure op het gebied van technische voorschriften en regels betreffende de diensten van de informatiemaatschappij (codificatie).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749"/>
    <w:multiLevelType w:val="hybridMultilevel"/>
    <w:tmpl w:val="CCF20AEE"/>
    <w:lvl w:ilvl="0" w:tplc="99C45FB2">
      <w:start w:val="1"/>
      <w:numFmt w:val="decimal"/>
      <w:lvlText w:val="%1)"/>
      <w:lvlJc w:val="left"/>
      <w:pPr>
        <w:ind w:left="720" w:hanging="360"/>
      </w:pPr>
      <w:rPr>
        <w:rFonts w:hint="default"/>
        <w:b w:val="0"/>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4115F4"/>
    <w:multiLevelType w:val="hybridMultilevel"/>
    <w:tmpl w:val="9A3EDDE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9845CB"/>
    <w:multiLevelType w:val="hybridMultilevel"/>
    <w:tmpl w:val="9A3EDDE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CCA0B1D"/>
    <w:multiLevelType w:val="hybridMultilevel"/>
    <w:tmpl w:val="9A3EDDE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DA37270"/>
    <w:multiLevelType w:val="hybridMultilevel"/>
    <w:tmpl w:val="1BDAD6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3D679F1"/>
    <w:multiLevelType w:val="hybridMultilevel"/>
    <w:tmpl w:val="3B9C453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9DC622C"/>
    <w:multiLevelType w:val="hybridMultilevel"/>
    <w:tmpl w:val="7B865092"/>
    <w:lvl w:ilvl="0" w:tplc="7CC61C68">
      <w:start w:val="1"/>
      <w:numFmt w:val="decimal"/>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73446A8"/>
    <w:multiLevelType w:val="hybridMultilevel"/>
    <w:tmpl w:val="5C4C243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CB506A6"/>
    <w:multiLevelType w:val="hybridMultilevel"/>
    <w:tmpl w:val="B30E9862"/>
    <w:lvl w:ilvl="0" w:tplc="9760A788">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5"/>
  </w:num>
  <w:num w:numId="6">
    <w:abstractNumId w:val="4"/>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rgEICarsSijp4Rts5eKOl0nU/O69mHIKWzYB3G583bAsaWKgRZ/+797cvBYqR7h"/>
  </w:docVars>
  <w:rsids>
    <w:rsidRoot w:val="001030DA"/>
    <w:rsid w:val="000050BF"/>
    <w:rsid w:val="000106B3"/>
    <w:rsid w:val="00012BFD"/>
    <w:rsid w:val="00012CAE"/>
    <w:rsid w:val="00014D3B"/>
    <w:rsid w:val="00016265"/>
    <w:rsid w:val="00020981"/>
    <w:rsid w:val="00035CF7"/>
    <w:rsid w:val="00046A1C"/>
    <w:rsid w:val="00051B39"/>
    <w:rsid w:val="00056E6B"/>
    <w:rsid w:val="00060D11"/>
    <w:rsid w:val="000711E7"/>
    <w:rsid w:val="0009775F"/>
    <w:rsid w:val="000E54C0"/>
    <w:rsid w:val="000F3B26"/>
    <w:rsid w:val="00102108"/>
    <w:rsid w:val="001030DA"/>
    <w:rsid w:val="00106AC0"/>
    <w:rsid w:val="00107261"/>
    <w:rsid w:val="0012657A"/>
    <w:rsid w:val="00132352"/>
    <w:rsid w:val="001741A6"/>
    <w:rsid w:val="00181AF8"/>
    <w:rsid w:val="001848EB"/>
    <w:rsid w:val="0019448A"/>
    <w:rsid w:val="00196F21"/>
    <w:rsid w:val="001B1535"/>
    <w:rsid w:val="001C133F"/>
    <w:rsid w:val="001C3B80"/>
    <w:rsid w:val="001C5780"/>
    <w:rsid w:val="001D04F8"/>
    <w:rsid w:val="001F3224"/>
    <w:rsid w:val="002033DA"/>
    <w:rsid w:val="002101AA"/>
    <w:rsid w:val="00210947"/>
    <w:rsid w:val="00214535"/>
    <w:rsid w:val="00216F5A"/>
    <w:rsid w:val="00217E73"/>
    <w:rsid w:val="00224DF7"/>
    <w:rsid w:val="00234B3D"/>
    <w:rsid w:val="00234DD1"/>
    <w:rsid w:val="00237834"/>
    <w:rsid w:val="00242438"/>
    <w:rsid w:val="00253C09"/>
    <w:rsid w:val="00260FD0"/>
    <w:rsid w:val="0029750A"/>
    <w:rsid w:val="002A4819"/>
    <w:rsid w:val="002B7D92"/>
    <w:rsid w:val="002D2F28"/>
    <w:rsid w:val="002D728D"/>
    <w:rsid w:val="002E2D99"/>
    <w:rsid w:val="002F0DCE"/>
    <w:rsid w:val="00302B76"/>
    <w:rsid w:val="003057AA"/>
    <w:rsid w:val="003059B7"/>
    <w:rsid w:val="00310A06"/>
    <w:rsid w:val="00321E77"/>
    <w:rsid w:val="00326493"/>
    <w:rsid w:val="00337C55"/>
    <w:rsid w:val="003435E2"/>
    <w:rsid w:val="003566C0"/>
    <w:rsid w:val="00364412"/>
    <w:rsid w:val="0037572C"/>
    <w:rsid w:val="00376B12"/>
    <w:rsid w:val="00382C7F"/>
    <w:rsid w:val="00383411"/>
    <w:rsid w:val="00385D7F"/>
    <w:rsid w:val="003918EB"/>
    <w:rsid w:val="003A1473"/>
    <w:rsid w:val="003A2725"/>
    <w:rsid w:val="003B2F58"/>
    <w:rsid w:val="003D0471"/>
    <w:rsid w:val="003F39E3"/>
    <w:rsid w:val="00402B38"/>
    <w:rsid w:val="0040551E"/>
    <w:rsid w:val="00405EF0"/>
    <w:rsid w:val="004142D9"/>
    <w:rsid w:val="0042712A"/>
    <w:rsid w:val="00431EBC"/>
    <w:rsid w:val="004354D7"/>
    <w:rsid w:val="0044761F"/>
    <w:rsid w:val="004548F0"/>
    <w:rsid w:val="00455B70"/>
    <w:rsid w:val="00455F94"/>
    <w:rsid w:val="0046437B"/>
    <w:rsid w:val="00475E18"/>
    <w:rsid w:val="00482D34"/>
    <w:rsid w:val="00490E76"/>
    <w:rsid w:val="00493794"/>
    <w:rsid w:val="00493DA6"/>
    <w:rsid w:val="004B2A01"/>
    <w:rsid w:val="004D3332"/>
    <w:rsid w:val="004D715D"/>
    <w:rsid w:val="004E7A2E"/>
    <w:rsid w:val="004F6986"/>
    <w:rsid w:val="00506A21"/>
    <w:rsid w:val="00512649"/>
    <w:rsid w:val="00516FE9"/>
    <w:rsid w:val="005172C5"/>
    <w:rsid w:val="00522596"/>
    <w:rsid w:val="00546E8F"/>
    <w:rsid w:val="00556FB7"/>
    <w:rsid w:val="0059096B"/>
    <w:rsid w:val="00591503"/>
    <w:rsid w:val="00593690"/>
    <w:rsid w:val="00595145"/>
    <w:rsid w:val="005A0FA3"/>
    <w:rsid w:val="005B12E4"/>
    <w:rsid w:val="005C6569"/>
    <w:rsid w:val="005C6C56"/>
    <w:rsid w:val="005F158C"/>
    <w:rsid w:val="005F4AB2"/>
    <w:rsid w:val="00625EAE"/>
    <w:rsid w:val="0063537E"/>
    <w:rsid w:val="0065670B"/>
    <w:rsid w:val="0067212A"/>
    <w:rsid w:val="00676EFE"/>
    <w:rsid w:val="006868D7"/>
    <w:rsid w:val="006A4073"/>
    <w:rsid w:val="006B064B"/>
    <w:rsid w:val="006B1437"/>
    <w:rsid w:val="006B384B"/>
    <w:rsid w:val="006B72FF"/>
    <w:rsid w:val="006D1937"/>
    <w:rsid w:val="006D2699"/>
    <w:rsid w:val="006E32B8"/>
    <w:rsid w:val="007213A2"/>
    <w:rsid w:val="00723D41"/>
    <w:rsid w:val="007316F1"/>
    <w:rsid w:val="00743B64"/>
    <w:rsid w:val="00745EE5"/>
    <w:rsid w:val="007477BA"/>
    <w:rsid w:val="007664F4"/>
    <w:rsid w:val="007828BF"/>
    <w:rsid w:val="007846B0"/>
    <w:rsid w:val="007925FA"/>
    <w:rsid w:val="007D3052"/>
    <w:rsid w:val="007E4E5D"/>
    <w:rsid w:val="007F05EB"/>
    <w:rsid w:val="00801976"/>
    <w:rsid w:val="008029BC"/>
    <w:rsid w:val="00827BE0"/>
    <w:rsid w:val="00831F15"/>
    <w:rsid w:val="0083244E"/>
    <w:rsid w:val="008352CD"/>
    <w:rsid w:val="008437F5"/>
    <w:rsid w:val="008518AB"/>
    <w:rsid w:val="00853DF0"/>
    <w:rsid w:val="008610B0"/>
    <w:rsid w:val="008840DB"/>
    <w:rsid w:val="008B35F9"/>
    <w:rsid w:val="008B5BC7"/>
    <w:rsid w:val="008C291B"/>
    <w:rsid w:val="008D15C5"/>
    <w:rsid w:val="008D376F"/>
    <w:rsid w:val="008E0352"/>
    <w:rsid w:val="008E192F"/>
    <w:rsid w:val="008F09B3"/>
    <w:rsid w:val="008F5BD9"/>
    <w:rsid w:val="008F7AD6"/>
    <w:rsid w:val="009069B8"/>
    <w:rsid w:val="009177B5"/>
    <w:rsid w:val="00927B1F"/>
    <w:rsid w:val="00932A8B"/>
    <w:rsid w:val="009541CF"/>
    <w:rsid w:val="00967D47"/>
    <w:rsid w:val="009700E7"/>
    <w:rsid w:val="00972F99"/>
    <w:rsid w:val="00981038"/>
    <w:rsid w:val="009910A6"/>
    <w:rsid w:val="009A090D"/>
    <w:rsid w:val="009A284A"/>
    <w:rsid w:val="009B01AC"/>
    <w:rsid w:val="009C0F39"/>
    <w:rsid w:val="009F029C"/>
    <w:rsid w:val="009F2D76"/>
    <w:rsid w:val="00A11A6F"/>
    <w:rsid w:val="00A33C35"/>
    <w:rsid w:val="00A355F6"/>
    <w:rsid w:val="00A35E45"/>
    <w:rsid w:val="00A36EE1"/>
    <w:rsid w:val="00A4250C"/>
    <w:rsid w:val="00A451A1"/>
    <w:rsid w:val="00A56292"/>
    <w:rsid w:val="00A6417A"/>
    <w:rsid w:val="00A73513"/>
    <w:rsid w:val="00A737E3"/>
    <w:rsid w:val="00A91F91"/>
    <w:rsid w:val="00A96AFD"/>
    <w:rsid w:val="00AB061B"/>
    <w:rsid w:val="00AE1791"/>
    <w:rsid w:val="00AF36AF"/>
    <w:rsid w:val="00B0335A"/>
    <w:rsid w:val="00B045D0"/>
    <w:rsid w:val="00B07234"/>
    <w:rsid w:val="00B10532"/>
    <w:rsid w:val="00B23B52"/>
    <w:rsid w:val="00B27F3D"/>
    <w:rsid w:val="00B40EC7"/>
    <w:rsid w:val="00B54F4C"/>
    <w:rsid w:val="00B5510F"/>
    <w:rsid w:val="00B71249"/>
    <w:rsid w:val="00B82E20"/>
    <w:rsid w:val="00B8607C"/>
    <w:rsid w:val="00BA0101"/>
    <w:rsid w:val="00BB4BE3"/>
    <w:rsid w:val="00BC09F6"/>
    <w:rsid w:val="00C02C3C"/>
    <w:rsid w:val="00C0373F"/>
    <w:rsid w:val="00C04566"/>
    <w:rsid w:val="00C103F7"/>
    <w:rsid w:val="00C13778"/>
    <w:rsid w:val="00C34AC6"/>
    <w:rsid w:val="00C5448E"/>
    <w:rsid w:val="00C66EFA"/>
    <w:rsid w:val="00C70CEC"/>
    <w:rsid w:val="00C805F6"/>
    <w:rsid w:val="00C925BC"/>
    <w:rsid w:val="00CA0A93"/>
    <w:rsid w:val="00CA0F5C"/>
    <w:rsid w:val="00CA6649"/>
    <w:rsid w:val="00CC7A9B"/>
    <w:rsid w:val="00CC7F41"/>
    <w:rsid w:val="00CE79A8"/>
    <w:rsid w:val="00CF2D9C"/>
    <w:rsid w:val="00CF2EDB"/>
    <w:rsid w:val="00D02056"/>
    <w:rsid w:val="00D10FB7"/>
    <w:rsid w:val="00D11D19"/>
    <w:rsid w:val="00D27158"/>
    <w:rsid w:val="00D32FC9"/>
    <w:rsid w:val="00D358A7"/>
    <w:rsid w:val="00D36D76"/>
    <w:rsid w:val="00D41D8C"/>
    <w:rsid w:val="00D42FEC"/>
    <w:rsid w:val="00D45FC5"/>
    <w:rsid w:val="00D47BBD"/>
    <w:rsid w:val="00D512D8"/>
    <w:rsid w:val="00D60F51"/>
    <w:rsid w:val="00D70324"/>
    <w:rsid w:val="00DA4334"/>
    <w:rsid w:val="00DE4556"/>
    <w:rsid w:val="00E02BB2"/>
    <w:rsid w:val="00E20EF5"/>
    <w:rsid w:val="00E2188E"/>
    <w:rsid w:val="00E21FE9"/>
    <w:rsid w:val="00E2358F"/>
    <w:rsid w:val="00E3688C"/>
    <w:rsid w:val="00E66030"/>
    <w:rsid w:val="00E6616D"/>
    <w:rsid w:val="00E73392"/>
    <w:rsid w:val="00E73B41"/>
    <w:rsid w:val="00E76429"/>
    <w:rsid w:val="00E76CD3"/>
    <w:rsid w:val="00E8614E"/>
    <w:rsid w:val="00EA0C94"/>
    <w:rsid w:val="00EA1F7B"/>
    <w:rsid w:val="00EB5C47"/>
    <w:rsid w:val="00EB6E3E"/>
    <w:rsid w:val="00EC1735"/>
    <w:rsid w:val="00EC489D"/>
    <w:rsid w:val="00EC4CDF"/>
    <w:rsid w:val="00ED03CC"/>
    <w:rsid w:val="00ED6388"/>
    <w:rsid w:val="00F0174D"/>
    <w:rsid w:val="00F129AF"/>
    <w:rsid w:val="00F17D48"/>
    <w:rsid w:val="00F32375"/>
    <w:rsid w:val="00F614E1"/>
    <w:rsid w:val="00F621A5"/>
    <w:rsid w:val="00F638F1"/>
    <w:rsid w:val="00F67FC3"/>
    <w:rsid w:val="00F70DB8"/>
    <w:rsid w:val="00F73A3D"/>
    <w:rsid w:val="00FE3636"/>
    <w:rsid w:val="00FF0C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3155"/>
  <w15:chartTrackingRefBased/>
  <w15:docId w15:val="{C07947ED-AD29-4E4C-9ABA-0D14EA58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30DA"/>
    <w:rPr>
      <w:sz w:val="16"/>
      <w:szCs w:val="16"/>
    </w:rPr>
  </w:style>
  <w:style w:type="paragraph" w:styleId="CommentText">
    <w:name w:val="annotation text"/>
    <w:basedOn w:val="Normal"/>
    <w:link w:val="CommentTextChar"/>
    <w:uiPriority w:val="99"/>
    <w:unhideWhenUsed/>
    <w:rsid w:val="001030DA"/>
    <w:pPr>
      <w:spacing w:line="240" w:lineRule="auto"/>
    </w:pPr>
    <w:rPr>
      <w:sz w:val="20"/>
      <w:szCs w:val="20"/>
    </w:rPr>
  </w:style>
  <w:style w:type="character" w:customStyle="1" w:styleId="CommentTextChar">
    <w:name w:val="Comment Text Char"/>
    <w:basedOn w:val="DefaultParagraphFont"/>
    <w:link w:val="CommentText"/>
    <w:uiPriority w:val="99"/>
    <w:rsid w:val="001030DA"/>
    <w:rPr>
      <w:sz w:val="20"/>
      <w:szCs w:val="20"/>
    </w:rPr>
  </w:style>
  <w:style w:type="paragraph" w:styleId="CommentSubject">
    <w:name w:val="annotation subject"/>
    <w:basedOn w:val="CommentText"/>
    <w:next w:val="CommentText"/>
    <w:link w:val="CommentSubjectChar"/>
    <w:uiPriority w:val="99"/>
    <w:semiHidden/>
    <w:unhideWhenUsed/>
    <w:rsid w:val="001030DA"/>
    <w:rPr>
      <w:b/>
      <w:bCs/>
    </w:rPr>
  </w:style>
  <w:style w:type="character" w:customStyle="1" w:styleId="CommentSubjectChar">
    <w:name w:val="Comment Subject Char"/>
    <w:basedOn w:val="CommentTextChar"/>
    <w:link w:val="CommentSubject"/>
    <w:uiPriority w:val="99"/>
    <w:semiHidden/>
    <w:rsid w:val="001030DA"/>
    <w:rPr>
      <w:b/>
      <w:bCs/>
      <w:sz w:val="20"/>
      <w:szCs w:val="20"/>
    </w:rPr>
  </w:style>
  <w:style w:type="paragraph" w:styleId="BalloonText">
    <w:name w:val="Balloon Text"/>
    <w:basedOn w:val="Normal"/>
    <w:link w:val="BalloonTextChar"/>
    <w:uiPriority w:val="99"/>
    <w:semiHidden/>
    <w:unhideWhenUsed/>
    <w:rsid w:val="00103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0DA"/>
    <w:rPr>
      <w:rFonts w:ascii="Segoe UI" w:hAnsi="Segoe UI" w:cs="Segoe UI"/>
      <w:sz w:val="18"/>
      <w:szCs w:val="18"/>
    </w:rPr>
  </w:style>
  <w:style w:type="paragraph" w:styleId="ListParagraph">
    <w:name w:val="List Paragraph"/>
    <w:basedOn w:val="Normal"/>
    <w:uiPriority w:val="34"/>
    <w:qFormat/>
    <w:rsid w:val="00AB061B"/>
    <w:pPr>
      <w:ind w:left="720"/>
      <w:contextualSpacing/>
    </w:pPr>
  </w:style>
  <w:style w:type="paragraph" w:styleId="Revision">
    <w:name w:val="Revision"/>
    <w:hidden/>
    <w:uiPriority w:val="99"/>
    <w:semiHidden/>
    <w:rsid w:val="00364412"/>
    <w:pPr>
      <w:spacing w:after="0" w:line="240" w:lineRule="auto"/>
    </w:pPr>
  </w:style>
  <w:style w:type="character" w:styleId="Hyperlink">
    <w:name w:val="Hyperlink"/>
    <w:basedOn w:val="DefaultParagraphFont"/>
    <w:uiPriority w:val="99"/>
    <w:unhideWhenUsed/>
    <w:rsid w:val="003F39E3"/>
    <w:rPr>
      <w:color w:val="0000FF"/>
      <w:u w:val="single"/>
    </w:rPr>
  </w:style>
  <w:style w:type="character" w:styleId="FollowedHyperlink">
    <w:name w:val="FollowedHyperlink"/>
    <w:basedOn w:val="DefaultParagraphFont"/>
    <w:uiPriority w:val="99"/>
    <w:semiHidden/>
    <w:unhideWhenUsed/>
    <w:rsid w:val="00D36D76"/>
    <w:rPr>
      <w:color w:val="954F72" w:themeColor="followedHyperlink"/>
      <w:u w:val="single"/>
    </w:rPr>
  </w:style>
  <w:style w:type="paragraph" w:styleId="FootnoteText">
    <w:name w:val="footnote text"/>
    <w:basedOn w:val="Normal"/>
    <w:link w:val="FootnoteTextChar"/>
    <w:uiPriority w:val="99"/>
    <w:semiHidden/>
    <w:unhideWhenUsed/>
    <w:rsid w:val="00B045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45D0"/>
    <w:rPr>
      <w:sz w:val="20"/>
      <w:szCs w:val="20"/>
    </w:rPr>
  </w:style>
  <w:style w:type="character" w:styleId="FootnoteReference">
    <w:name w:val="footnote reference"/>
    <w:basedOn w:val="DefaultParagraphFont"/>
    <w:uiPriority w:val="99"/>
    <w:semiHidden/>
    <w:unhideWhenUsed/>
    <w:rsid w:val="00B04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7451">
      <w:bodyDiv w:val="1"/>
      <w:marLeft w:val="0"/>
      <w:marRight w:val="0"/>
      <w:marTop w:val="0"/>
      <w:marBottom w:val="0"/>
      <w:divBdr>
        <w:top w:val="none" w:sz="0" w:space="0" w:color="auto"/>
        <w:left w:val="none" w:sz="0" w:space="0" w:color="auto"/>
        <w:bottom w:val="none" w:sz="0" w:space="0" w:color="auto"/>
        <w:right w:val="none" w:sz="0" w:space="0" w:color="auto"/>
      </w:divBdr>
    </w:div>
    <w:div w:id="476535747">
      <w:bodyDiv w:val="1"/>
      <w:marLeft w:val="0"/>
      <w:marRight w:val="0"/>
      <w:marTop w:val="0"/>
      <w:marBottom w:val="0"/>
      <w:divBdr>
        <w:top w:val="none" w:sz="0" w:space="0" w:color="auto"/>
        <w:left w:val="none" w:sz="0" w:space="0" w:color="auto"/>
        <w:bottom w:val="none" w:sz="0" w:space="0" w:color="auto"/>
        <w:right w:val="none" w:sz="0" w:space="0" w:color="auto"/>
      </w:divBdr>
    </w:div>
    <w:div w:id="629365844">
      <w:bodyDiv w:val="1"/>
      <w:marLeft w:val="0"/>
      <w:marRight w:val="0"/>
      <w:marTop w:val="0"/>
      <w:marBottom w:val="0"/>
      <w:divBdr>
        <w:top w:val="none" w:sz="0" w:space="0" w:color="auto"/>
        <w:left w:val="none" w:sz="0" w:space="0" w:color="auto"/>
        <w:bottom w:val="none" w:sz="0" w:space="0" w:color="auto"/>
        <w:right w:val="none" w:sz="0" w:space="0" w:color="auto"/>
      </w:divBdr>
    </w:div>
    <w:div w:id="1670208041">
      <w:bodyDiv w:val="1"/>
      <w:marLeft w:val="0"/>
      <w:marRight w:val="0"/>
      <w:marTop w:val="0"/>
      <w:marBottom w:val="0"/>
      <w:divBdr>
        <w:top w:val="none" w:sz="0" w:space="0" w:color="auto"/>
        <w:left w:val="none" w:sz="0" w:space="0" w:color="auto"/>
        <w:bottom w:val="none" w:sz="0" w:space="0" w:color="auto"/>
        <w:right w:val="none" w:sz="0" w:space="0" w:color="auto"/>
      </w:divBdr>
    </w:div>
    <w:div w:id="1767538172">
      <w:bodyDiv w:val="1"/>
      <w:marLeft w:val="0"/>
      <w:marRight w:val="0"/>
      <w:marTop w:val="0"/>
      <w:marBottom w:val="0"/>
      <w:divBdr>
        <w:top w:val="none" w:sz="0" w:space="0" w:color="auto"/>
        <w:left w:val="none" w:sz="0" w:space="0" w:color="auto"/>
        <w:bottom w:val="none" w:sz="0" w:space="0" w:color="auto"/>
        <w:right w:val="none" w:sz="0" w:space="0" w:color="auto"/>
      </w:divBdr>
    </w:div>
    <w:div w:id="1980914720">
      <w:bodyDiv w:val="1"/>
      <w:marLeft w:val="0"/>
      <w:marRight w:val="0"/>
      <w:marTop w:val="0"/>
      <w:marBottom w:val="0"/>
      <w:divBdr>
        <w:top w:val="none" w:sz="0" w:space="0" w:color="auto"/>
        <w:left w:val="none" w:sz="0" w:space="0" w:color="auto"/>
        <w:bottom w:val="none" w:sz="0" w:space="0" w:color="auto"/>
        <w:right w:val="none" w:sz="0" w:space="0" w:color="auto"/>
      </w:divBdr>
    </w:div>
    <w:div w:id="20964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F71B3-324C-4D95-BDA2-5FDBCB3A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4702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NaturErhvervstyrelsen</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Gudmann Christensen (LFST)</dc:creator>
  <cp:keywords/>
  <dc:description/>
  <cp:lastModifiedBy>Liana Brili</cp:lastModifiedBy>
  <cp:revision>3</cp:revision>
  <cp:lastPrinted>2022-01-12T09:57:00Z</cp:lastPrinted>
  <dcterms:created xsi:type="dcterms:W3CDTF">2022-01-12T09:58:00Z</dcterms:created>
  <dcterms:modified xsi:type="dcterms:W3CDTF">2022-01-24T08:52:00Z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