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E32F3" w14:textId="77777777" w:rsidR="00320DD3" w:rsidRDefault="00945D70" w:rsidP="00C8463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DejaVuSansCondensed,DejaVuSansC" w:hAnsi="DejaVuSansCondensed,DejaVuSansC" w:cs="DejaVuSansCondensed,DejaVuSansC"/>
          <w:color w:val="000000"/>
          <w:sz w:val="24"/>
          <w:szCs w:val="24"/>
        </w:rPr>
      </w:pPr>
      <w:r>
        <w:rPr>
          <w:rFonts w:ascii="DejaVuSansCondensed,DejaVuSansC" w:hAnsi="DejaVuSansCondensed,DejaVuSansC"/>
          <w:color w:val="000000"/>
          <w:sz w:val="24"/>
        </w:rPr>
        <w:t xml:space="preserve"> </w:t>
      </w:r>
    </w:p>
    <w:p w14:paraId="53A555C4" w14:textId="77777777" w:rsidR="00320DD3" w:rsidRDefault="00945D7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DejaVuSansCondensed,DejaVuSansC" w:hAnsi="DejaVuSansCondensed,DejaVuSansC" w:cs="DejaVuSansCondensed,DejaVuSansC"/>
          <w:color w:val="000000"/>
          <w:sz w:val="24"/>
          <w:szCs w:val="24"/>
        </w:rPr>
      </w:pPr>
      <w:r>
        <w:rPr>
          <w:rFonts w:ascii="DejaVuSansCondensed,DejaVuSansC" w:hAnsi="DejaVuSansCondensed,DejaVuSansC"/>
          <w:color w:val="000000"/>
          <w:sz w:val="24"/>
        </w:rPr>
        <w:t xml:space="preserve"> </w:t>
      </w:r>
    </w:p>
    <w:p w14:paraId="08D8109B" w14:textId="77777777" w:rsidR="00320DD3" w:rsidRDefault="00945D70">
      <w:pPr>
        <w:widowControl w:val="0"/>
        <w:tabs>
          <w:tab w:val="left" w:pos="-150"/>
        </w:tabs>
        <w:autoSpaceDE w:val="0"/>
        <w:autoSpaceDN w:val="0"/>
        <w:adjustRightInd w:val="0"/>
        <w:spacing w:before="240" w:after="0" w:line="240" w:lineRule="auto"/>
        <w:ind w:left="-150"/>
        <w:jc w:val="center"/>
        <w:rPr>
          <w:rFonts w:ascii="DejaVuSansCondensed,DejaVuSansC" w:hAnsi="DejaVuSansCondensed,DejaVuSansC" w:cs="DejaVuSansCondensed,DejaVuSansC"/>
          <w:b/>
          <w:bCs/>
          <w:sz w:val="19"/>
          <w:szCs w:val="19"/>
        </w:rPr>
      </w:pPr>
      <w:r>
        <w:rPr>
          <w:rFonts w:ascii="DejaVuSansCondensed,DejaVuSansC" w:hAnsi="DejaVuSansCondensed,DejaVuSansC"/>
          <w:b/>
          <w:sz w:val="19"/>
        </w:rPr>
        <w:t>Código civil</w:t>
      </w:r>
    </w:p>
    <w:p w14:paraId="6401B9F6" w14:textId="77777777" w:rsidR="00320DD3" w:rsidRDefault="00945D70">
      <w:pPr>
        <w:widowControl w:val="0"/>
        <w:tabs>
          <w:tab w:val="left" w:pos="150"/>
        </w:tabs>
        <w:autoSpaceDE w:val="0"/>
        <w:autoSpaceDN w:val="0"/>
        <w:adjustRightInd w:val="0"/>
        <w:spacing w:after="0" w:line="240" w:lineRule="auto"/>
        <w:ind w:left="150"/>
        <w:jc w:val="center"/>
        <w:rPr>
          <w:rFonts w:ascii="DejaVuSansCondensed,DejaVuSansC" w:hAnsi="DejaVuSansCondensed,DejaVuSansC" w:cs="DejaVuSansCondensed,DejaVuSansC"/>
          <w:sz w:val="19"/>
          <w:szCs w:val="19"/>
        </w:rPr>
      </w:pPr>
      <w:r>
        <w:rPr>
          <w:rFonts w:ascii="DejaVuSansCondensed,DejaVuSansC" w:hAnsi="DejaVuSansCondensed,DejaVuSansC"/>
          <w:sz w:val="19"/>
        </w:rPr>
        <w:t> </w:t>
      </w:r>
    </w:p>
    <w:p w14:paraId="3148004A" w14:textId="77777777" w:rsidR="00320DD3" w:rsidRDefault="00945D70">
      <w:pPr>
        <w:widowControl w:val="0"/>
        <w:tabs>
          <w:tab w:val="left" w:pos="-150"/>
        </w:tabs>
        <w:autoSpaceDE w:val="0"/>
        <w:autoSpaceDN w:val="0"/>
        <w:adjustRightInd w:val="0"/>
        <w:spacing w:before="60" w:after="240" w:line="240" w:lineRule="auto"/>
        <w:ind w:left="-150"/>
        <w:jc w:val="center"/>
        <w:rPr>
          <w:rFonts w:ascii="DejaVuSansCondensed,DejaVuSansC" w:hAnsi="DejaVuSansCondensed,DejaVuSansC" w:cs="DejaVuSansCondensed,DejaVuSansC"/>
          <w:b/>
          <w:bCs/>
          <w:sz w:val="19"/>
          <w:szCs w:val="19"/>
        </w:rPr>
      </w:pPr>
      <w:r>
        <w:rPr>
          <w:rFonts w:ascii="DejaVuSansCondensed,DejaVuSansC" w:hAnsi="DejaVuSansCondensed,DejaVuSansC"/>
          <w:b/>
          <w:sz w:val="19"/>
        </w:rPr>
        <w:t>«Artigo 312.º-K</w:t>
      </w:r>
      <w:r>
        <w:rPr>
          <w:rFonts w:ascii="DejaVuSansCondensed,DejaVuSansC" w:hAnsi="DejaVuSansCondensed,DejaVuSansC"/>
          <w:b/>
          <w:sz w:val="19"/>
        </w:rPr>
        <w:br/>
        <w:t>Rescisão dos contratos de consumo no comércio eletrónico</w:t>
      </w:r>
    </w:p>
    <w:p w14:paraId="323FDC45" w14:textId="77777777" w:rsidR="00320DD3" w:rsidRDefault="00945D70">
      <w:pPr>
        <w:widowControl w:val="0"/>
        <w:tabs>
          <w:tab w:val="left" w:pos="405"/>
        </w:tabs>
        <w:autoSpaceDE w:val="0"/>
        <w:autoSpaceDN w:val="0"/>
        <w:adjustRightInd w:val="0"/>
        <w:spacing w:before="216" w:after="0" w:line="240" w:lineRule="auto"/>
        <w:ind w:left="405"/>
        <w:rPr>
          <w:rFonts w:ascii="DejaVuSansCondensed,DejaVuSansC" w:hAnsi="DejaVuSansCondensed,DejaVuSansC" w:cs="DejaVuSansCondensed,DejaVuSansC"/>
          <w:sz w:val="19"/>
          <w:szCs w:val="19"/>
        </w:rPr>
      </w:pPr>
      <w:r>
        <w:rPr>
          <w:rFonts w:ascii="DejaVuSansCondensed,DejaVuSansC" w:hAnsi="DejaVuSansCondensed,DejaVuSansC"/>
          <w:sz w:val="19"/>
        </w:rPr>
        <w:t xml:space="preserve">(1) </w:t>
      </w:r>
      <w:r>
        <w:rPr>
          <w:rFonts w:ascii="DejaVuSansCondensed,DejaVuSansC" w:hAnsi="DejaVuSansCondensed,DejaVuSansC"/>
          <w:i/>
          <w:sz w:val="20"/>
          <w:vertAlign w:val="superscript"/>
        </w:rPr>
        <w:t>1</w:t>
      </w:r>
      <w:r>
        <w:rPr>
          <w:rFonts w:ascii="DejaVuSansCondensed,DejaVuSansC" w:hAnsi="DejaVuSansCondensed,DejaVuSansC"/>
        </w:rPr>
        <w:t>Sempre que um sítio da Web permita aos consumidores celebrar um contrato de comércio eletrónico destinado a estabelecer uma relação de dívida permanente e a obrigar uma empresa a prestar um serviço em contrapartida, a empresa deve cumprir as obrigações previstas nessa disposição.</w:t>
      </w:r>
      <w:r>
        <w:rPr>
          <w:rFonts w:ascii="DejaVuSansCondensed,DejaVuSansC" w:hAnsi="DejaVuSansCondensed,DejaVuSansC"/>
          <w:sz w:val="19"/>
        </w:rPr>
        <w:t xml:space="preserve"> </w:t>
      </w:r>
      <w:r>
        <w:rPr>
          <w:rFonts w:ascii="DejaVuSansCondensed,DejaVuSansC" w:hAnsi="DejaVuSansCondensed,DejaVuSansC"/>
          <w:i/>
          <w:sz w:val="20"/>
          <w:vertAlign w:val="superscript"/>
        </w:rPr>
        <w:t>2</w:t>
      </w:r>
      <w:r>
        <w:rPr>
          <w:rFonts w:ascii="DejaVuSansCondensed,DejaVuSansC" w:hAnsi="DejaVuSansCondensed,DejaVuSansC"/>
        </w:rPr>
        <w:t>Esta disposição não se aplica a</w:t>
      </w:r>
    </w:p>
    <w:p w14:paraId="56F1FE2F" w14:textId="77777777" w:rsidR="00320DD3" w:rsidRDefault="00945D70">
      <w:pPr>
        <w:widowControl w:val="0"/>
        <w:tabs>
          <w:tab w:val="left" w:pos="705"/>
        </w:tabs>
        <w:autoSpaceDE w:val="0"/>
        <w:autoSpaceDN w:val="0"/>
        <w:adjustRightInd w:val="0"/>
        <w:spacing w:before="192" w:after="156" w:line="240" w:lineRule="auto"/>
        <w:ind w:left="705" w:hanging="300"/>
        <w:rPr>
          <w:rFonts w:ascii="DejaVuSansCondensed,DejaVuSansC" w:hAnsi="DejaVuSansCondensed,DejaVuSansC" w:cs="DejaVuSansCondensed,DejaVuSansC"/>
          <w:sz w:val="19"/>
          <w:szCs w:val="19"/>
        </w:rPr>
      </w:pPr>
      <w:r>
        <w:rPr>
          <w:rFonts w:ascii="DejaVuSansCondensed,DejaVuSansC" w:hAnsi="DejaVuSansCondensed,DejaVuSansC"/>
          <w:sz w:val="19"/>
        </w:rPr>
        <w:t>1.</w:t>
      </w:r>
      <w:r>
        <w:rPr>
          <w:rFonts w:ascii="DejaVuSansCondensed,DejaVuSansC" w:hAnsi="DejaVuSansCondensed,DejaVuSansC"/>
          <w:sz w:val="19"/>
        </w:rPr>
        <w:tab/>
        <w:t>contratos cuja rescisão só esteja prevista de forma mais rigorosa do que a apresentada pelo texto; e</w:t>
      </w:r>
    </w:p>
    <w:p w14:paraId="1CB136FB" w14:textId="77777777" w:rsidR="00320DD3" w:rsidRDefault="00945D70">
      <w:pPr>
        <w:widowControl w:val="0"/>
        <w:tabs>
          <w:tab w:val="left" w:pos="705"/>
        </w:tabs>
        <w:autoSpaceDE w:val="0"/>
        <w:autoSpaceDN w:val="0"/>
        <w:adjustRightInd w:val="0"/>
        <w:spacing w:after="156" w:line="240" w:lineRule="auto"/>
        <w:ind w:left="705" w:hanging="300"/>
        <w:rPr>
          <w:rFonts w:ascii="DejaVuSansCondensed,DejaVuSansC" w:hAnsi="DejaVuSansCondensed,DejaVuSansC" w:cs="DejaVuSansCondensed,DejaVuSansC"/>
          <w:sz w:val="19"/>
          <w:szCs w:val="19"/>
        </w:rPr>
      </w:pPr>
      <w:r>
        <w:rPr>
          <w:rFonts w:ascii="DejaVuSansCondensed,DejaVuSansC" w:hAnsi="DejaVuSansCondensed,DejaVuSansC"/>
          <w:sz w:val="19"/>
        </w:rPr>
        <w:t>2.</w:t>
      </w:r>
      <w:r>
        <w:rPr>
          <w:rFonts w:ascii="DejaVuSansCondensed,DejaVuSansC" w:hAnsi="DejaVuSansCondensed,DejaVuSansC"/>
          <w:sz w:val="19"/>
        </w:rPr>
        <w:tab/>
        <w:t>sítios Web relacionados com serviços financeiros ou contratos relacionados com serviços financeiros.</w:t>
      </w:r>
    </w:p>
    <w:p w14:paraId="5596EFDB" w14:textId="77777777" w:rsidR="00320DD3" w:rsidRDefault="00945D70">
      <w:pPr>
        <w:widowControl w:val="0"/>
        <w:tabs>
          <w:tab w:val="left" w:pos="405"/>
        </w:tabs>
        <w:autoSpaceDE w:val="0"/>
        <w:autoSpaceDN w:val="0"/>
        <w:adjustRightInd w:val="0"/>
        <w:spacing w:before="216" w:after="0" w:line="240" w:lineRule="auto"/>
        <w:ind w:left="405"/>
        <w:rPr>
          <w:rFonts w:ascii="DejaVuSansCondensed,DejaVuSansC" w:hAnsi="DejaVuSansCondensed,DejaVuSansC" w:cs="DejaVuSansCondensed,DejaVuSansC"/>
          <w:sz w:val="19"/>
          <w:szCs w:val="19"/>
        </w:rPr>
      </w:pPr>
      <w:r>
        <w:rPr>
          <w:rFonts w:ascii="DejaVuSansCondensed,DejaVuSansC" w:hAnsi="DejaVuSansCondensed,DejaVuSansC"/>
          <w:sz w:val="19"/>
        </w:rPr>
        <w:t xml:space="preserve">(2) A empresa deve assegurar que o consumidor consegue fazer, no sítio da Web, uma declaração da rescisão ordinária ou extraordinária de um contrato celebrado no sítio da Web, em conformidade com a Frase 1 do Parágrafo 1, através de um botão de rescisão. O botão de rescisão deve ser facilmente legível com nada mais do que as palavras «cancelar contratos aqui» ou estar rotulado com um texto adequado sem ambiguidades. Deve conduzir o consumidor diretamente para uma página de confirmação que </w:t>
      </w:r>
    </w:p>
    <w:p w14:paraId="1A7C9900" w14:textId="77777777" w:rsidR="00320DD3" w:rsidRDefault="00945D70">
      <w:pPr>
        <w:widowControl w:val="0"/>
        <w:tabs>
          <w:tab w:val="left" w:pos="705"/>
        </w:tabs>
        <w:autoSpaceDE w:val="0"/>
        <w:autoSpaceDN w:val="0"/>
        <w:adjustRightInd w:val="0"/>
        <w:spacing w:before="192" w:after="0" w:line="240" w:lineRule="auto"/>
        <w:ind w:left="705" w:hanging="300"/>
        <w:rPr>
          <w:rFonts w:ascii="DejaVuSansCondensed,DejaVuSansC" w:hAnsi="DejaVuSansCondensed,DejaVuSansC" w:cs="DejaVuSansCondensed,DejaVuSansC"/>
          <w:sz w:val="19"/>
          <w:szCs w:val="19"/>
        </w:rPr>
      </w:pPr>
      <w:r>
        <w:rPr>
          <w:rFonts w:ascii="DejaVuSansCondensed,DejaVuSansC" w:hAnsi="DejaVuSansCondensed,DejaVuSansC"/>
          <w:sz w:val="19"/>
        </w:rPr>
        <w:t>1.</w:t>
      </w:r>
      <w:r>
        <w:rPr>
          <w:rFonts w:ascii="DejaVuSansCondensed,DejaVuSansC" w:hAnsi="DejaVuSansCondensed,DejaVuSansC"/>
          <w:sz w:val="19"/>
        </w:rPr>
        <w:tab/>
        <w:t>alerte o consumidor e lhe permita fornecer informações</w:t>
      </w:r>
    </w:p>
    <w:p w14:paraId="390652D1" w14:textId="77777777" w:rsidR="00320DD3" w:rsidRDefault="00945D70">
      <w:pPr>
        <w:widowControl w:val="0"/>
        <w:tabs>
          <w:tab w:val="left" w:pos="1025"/>
        </w:tabs>
        <w:autoSpaceDE w:val="0"/>
        <w:autoSpaceDN w:val="0"/>
        <w:adjustRightInd w:val="0"/>
        <w:spacing w:before="192" w:after="156" w:line="240" w:lineRule="auto"/>
        <w:ind w:left="1025" w:hanging="320"/>
        <w:rPr>
          <w:rFonts w:ascii="DejaVuSansCondensed,DejaVuSansC" w:hAnsi="DejaVuSansCondensed,DejaVuSansC" w:cs="DejaVuSansCondensed,DejaVuSansC"/>
          <w:sz w:val="19"/>
          <w:szCs w:val="19"/>
        </w:rPr>
      </w:pPr>
      <w:r>
        <w:rPr>
          <w:rFonts w:ascii="DejaVuSansCondensed,DejaVuSansC" w:hAnsi="DejaVuSansCondensed,DejaVuSansC"/>
          <w:sz w:val="19"/>
        </w:rPr>
        <w:t>a)</w:t>
      </w:r>
      <w:r>
        <w:rPr>
          <w:rFonts w:ascii="DejaVuSansCondensed,DejaVuSansC" w:hAnsi="DejaVuSansCondensed,DejaVuSansC"/>
          <w:sz w:val="19"/>
        </w:rPr>
        <w:tab/>
        <w:t>relativamente à natureza da rescisão e, em caso de rescisão extraordinária, ao motivo da rescisão,</w:t>
      </w:r>
    </w:p>
    <w:p w14:paraId="42A3F025" w14:textId="77777777" w:rsidR="00320DD3" w:rsidRDefault="00945D70">
      <w:pPr>
        <w:widowControl w:val="0"/>
        <w:tabs>
          <w:tab w:val="left" w:pos="1025"/>
        </w:tabs>
        <w:autoSpaceDE w:val="0"/>
        <w:autoSpaceDN w:val="0"/>
        <w:adjustRightInd w:val="0"/>
        <w:spacing w:after="156" w:line="240" w:lineRule="auto"/>
        <w:ind w:left="1025" w:hanging="320"/>
        <w:rPr>
          <w:rFonts w:ascii="DejaVuSansCondensed,DejaVuSansC" w:hAnsi="DejaVuSansCondensed,DejaVuSansC" w:cs="DejaVuSansCondensed,DejaVuSansC"/>
          <w:sz w:val="19"/>
          <w:szCs w:val="19"/>
        </w:rPr>
      </w:pPr>
      <w:r>
        <w:rPr>
          <w:rFonts w:ascii="DejaVuSansCondensed,DejaVuSansC" w:hAnsi="DejaVuSansCondensed,DejaVuSansC"/>
          <w:sz w:val="19"/>
        </w:rPr>
        <w:t>b)</w:t>
      </w:r>
      <w:r>
        <w:rPr>
          <w:rFonts w:ascii="DejaVuSansCondensed,DejaVuSansC" w:hAnsi="DejaVuSansCondensed,DejaVuSansC"/>
          <w:sz w:val="19"/>
        </w:rPr>
        <w:tab/>
        <w:t>relativamente à sua identificação inequívoca,</w:t>
      </w:r>
    </w:p>
    <w:p w14:paraId="26409B94" w14:textId="77777777" w:rsidR="00320DD3" w:rsidRDefault="00945D70">
      <w:pPr>
        <w:widowControl w:val="0"/>
        <w:tabs>
          <w:tab w:val="left" w:pos="1025"/>
        </w:tabs>
        <w:autoSpaceDE w:val="0"/>
        <w:autoSpaceDN w:val="0"/>
        <w:adjustRightInd w:val="0"/>
        <w:spacing w:after="156" w:line="240" w:lineRule="auto"/>
        <w:ind w:left="1025" w:hanging="320"/>
        <w:rPr>
          <w:rFonts w:ascii="DejaVuSansCondensed,DejaVuSansC" w:hAnsi="DejaVuSansCondensed,DejaVuSansC" w:cs="DejaVuSansCondensed,DejaVuSansC"/>
          <w:sz w:val="19"/>
          <w:szCs w:val="19"/>
        </w:rPr>
      </w:pPr>
      <w:r>
        <w:rPr>
          <w:rFonts w:ascii="DejaVuSansCondensed,DejaVuSansC" w:hAnsi="DejaVuSansCondensed,DejaVuSansC"/>
          <w:sz w:val="19"/>
        </w:rPr>
        <w:t>c)</w:t>
      </w:r>
      <w:r>
        <w:rPr>
          <w:rFonts w:ascii="DejaVuSansCondensed,DejaVuSansC" w:hAnsi="DejaVuSansCondensed,DejaVuSansC"/>
          <w:sz w:val="19"/>
        </w:rPr>
        <w:tab/>
        <w:t>relativamente à designação inequívoca do Tratado,</w:t>
      </w:r>
    </w:p>
    <w:p w14:paraId="179D31F8" w14:textId="77777777" w:rsidR="00320DD3" w:rsidRDefault="00945D70">
      <w:pPr>
        <w:widowControl w:val="0"/>
        <w:tabs>
          <w:tab w:val="left" w:pos="1025"/>
        </w:tabs>
        <w:autoSpaceDE w:val="0"/>
        <w:autoSpaceDN w:val="0"/>
        <w:adjustRightInd w:val="0"/>
        <w:spacing w:after="156" w:line="240" w:lineRule="auto"/>
        <w:ind w:left="1025" w:hanging="320"/>
        <w:rPr>
          <w:rFonts w:ascii="DejaVuSansCondensed,DejaVuSansC" w:hAnsi="DejaVuSansCondensed,DejaVuSansC" w:cs="DejaVuSansCondensed,DejaVuSansC"/>
          <w:sz w:val="19"/>
          <w:szCs w:val="19"/>
        </w:rPr>
      </w:pPr>
      <w:r>
        <w:rPr>
          <w:rFonts w:ascii="DejaVuSansCondensed,DejaVuSansC" w:hAnsi="DejaVuSansCondensed,DejaVuSansC"/>
          <w:sz w:val="19"/>
        </w:rPr>
        <w:t>d)</w:t>
      </w:r>
      <w:r>
        <w:rPr>
          <w:rFonts w:ascii="DejaVuSansCondensed,DejaVuSansC" w:hAnsi="DejaVuSansCondensed,DejaVuSansC"/>
          <w:sz w:val="19"/>
        </w:rPr>
        <w:tab/>
        <w:t>no momento em que a rescisão deve rescindir a relação contratual,</w:t>
      </w:r>
    </w:p>
    <w:p w14:paraId="0492A93A" w14:textId="28F76E92" w:rsidR="00320DD3" w:rsidRDefault="00A14F6B">
      <w:pPr>
        <w:widowControl w:val="0"/>
        <w:tabs>
          <w:tab w:val="left" w:pos="1025"/>
        </w:tabs>
        <w:autoSpaceDE w:val="0"/>
        <w:autoSpaceDN w:val="0"/>
        <w:adjustRightInd w:val="0"/>
        <w:spacing w:after="156" w:line="240" w:lineRule="auto"/>
        <w:ind w:left="1025" w:hanging="320"/>
        <w:rPr>
          <w:rFonts w:ascii="DejaVuSansCondensed,DejaVuSansC" w:hAnsi="DejaVuSansCondensed,DejaVuSansC" w:cs="DejaVuSansCondensed,DejaVuSansC"/>
          <w:sz w:val="19"/>
          <w:szCs w:val="19"/>
        </w:rPr>
      </w:pPr>
      <w:r>
        <w:rPr>
          <w:rFonts w:ascii="DejaVuSansCondensed,DejaVuSansC" w:hAnsi="DejaVuSansCondensed,DejaVuSansC"/>
          <w:sz w:val="19"/>
        </w:rPr>
        <w:t>e</w:t>
      </w:r>
      <w:r w:rsidR="00945D70">
        <w:rPr>
          <w:rFonts w:ascii="DejaVuSansCondensed,DejaVuSansC" w:hAnsi="DejaVuSansCondensed,DejaVuSansC"/>
          <w:sz w:val="19"/>
        </w:rPr>
        <w:t>)</w:t>
      </w:r>
      <w:r w:rsidR="00945D70">
        <w:rPr>
          <w:rFonts w:ascii="DejaVuSansCondensed,DejaVuSansC" w:hAnsi="DejaVuSansCondensed,DejaVuSansC"/>
          <w:sz w:val="19"/>
        </w:rPr>
        <w:tab/>
        <w:t>para a rápida transmissão eletrónica da confirmação da rescisão para o mesmo e</w:t>
      </w:r>
    </w:p>
    <w:p w14:paraId="0972B70B" w14:textId="77777777" w:rsidR="00320DD3" w:rsidRDefault="00945D70">
      <w:pPr>
        <w:widowControl w:val="0"/>
        <w:tabs>
          <w:tab w:val="left" w:pos="705"/>
        </w:tabs>
        <w:autoSpaceDE w:val="0"/>
        <w:autoSpaceDN w:val="0"/>
        <w:adjustRightInd w:val="0"/>
        <w:spacing w:after="156" w:line="240" w:lineRule="auto"/>
        <w:ind w:left="705" w:hanging="300"/>
        <w:rPr>
          <w:rFonts w:ascii="DejaVuSansCondensed,DejaVuSansC" w:hAnsi="DejaVuSansCondensed,DejaVuSansC" w:cs="DejaVuSansCondensed,DejaVuSansC"/>
          <w:sz w:val="19"/>
          <w:szCs w:val="19"/>
        </w:rPr>
      </w:pPr>
      <w:r>
        <w:rPr>
          <w:rFonts w:ascii="DejaVuSansCondensed,DejaVuSansC" w:hAnsi="DejaVuSansCondensed,DejaVuSansC"/>
          <w:sz w:val="19"/>
        </w:rPr>
        <w:t>2.</w:t>
      </w:r>
      <w:r>
        <w:rPr>
          <w:rFonts w:ascii="DejaVuSansCondensed,DejaVuSansC" w:hAnsi="DejaVuSansCondensed,DejaVuSansC"/>
          <w:sz w:val="19"/>
        </w:rPr>
        <w:tab/>
        <w:t>contenha um botão de confirmação através do qual o consumidor possa apresentar o aviso de rescisão e seja facilmente legível com nada mais do que as palavras «cancelar agora» ou marcado com um texto adequado sem ambiguidades.</w:t>
      </w:r>
    </w:p>
    <w:p w14:paraId="10E4D17A" w14:textId="77777777" w:rsidR="00320DD3" w:rsidRPr="009F13EB" w:rsidRDefault="00945D70">
      <w:pPr>
        <w:widowControl w:val="0"/>
        <w:tabs>
          <w:tab w:val="left" w:pos="405"/>
        </w:tabs>
        <w:autoSpaceDE w:val="0"/>
        <w:autoSpaceDN w:val="0"/>
        <w:adjustRightInd w:val="0"/>
        <w:spacing w:before="216" w:after="0" w:line="240" w:lineRule="auto"/>
        <w:ind w:left="405"/>
        <w:rPr>
          <w:rFonts w:ascii="DejaVuSansCondensed,DejaVuSansC" w:hAnsi="DejaVuSansCondensed,DejaVuSansC"/>
        </w:rPr>
      </w:pPr>
      <w:r>
        <w:rPr>
          <w:rFonts w:ascii="DejaVuSansCondensed,DejaVuSansC" w:hAnsi="DejaVuSansCondensed,DejaVuSansC"/>
        </w:rPr>
        <w:t>(3) O consumidor deve poder armazenar, em suporte duradouro, a declaração de rescisão que apresentou pressionando o botão de confirmação com a data e a hora da entrega de modo a que possa verificar que a declaração de rescisão foi apresentada pressionando o botão de confirmação.</w:t>
      </w:r>
    </w:p>
    <w:p w14:paraId="3544FCCE" w14:textId="77777777" w:rsidR="00320DD3" w:rsidRDefault="00945D70">
      <w:pPr>
        <w:widowControl w:val="0"/>
        <w:tabs>
          <w:tab w:val="left" w:pos="405"/>
        </w:tabs>
        <w:autoSpaceDE w:val="0"/>
        <w:autoSpaceDN w:val="0"/>
        <w:adjustRightInd w:val="0"/>
        <w:spacing w:before="216" w:after="0" w:line="240" w:lineRule="auto"/>
        <w:ind w:left="405"/>
        <w:rPr>
          <w:rFonts w:ascii="DejaVuSansCondensed,DejaVuSansC" w:hAnsi="DejaVuSansCondensed,DejaVuSansC" w:cs="DejaVuSansCondensed,DejaVuSansC"/>
          <w:sz w:val="19"/>
          <w:szCs w:val="19"/>
        </w:rPr>
      </w:pPr>
      <w:r>
        <w:rPr>
          <w:rFonts w:ascii="DejaVuSansCondensed,DejaVuSansC" w:hAnsi="DejaVuSansCondensed,DejaVuSansC"/>
          <w:sz w:val="19"/>
        </w:rPr>
        <w:t xml:space="preserve">(4) </w:t>
      </w:r>
      <w:r>
        <w:rPr>
          <w:rFonts w:ascii="DejaVuSansCondensed,DejaVuSansC" w:hAnsi="DejaVuSansCondensed,DejaVuSansC"/>
          <w:i/>
          <w:sz w:val="20"/>
          <w:vertAlign w:val="superscript"/>
        </w:rPr>
        <w:t>1</w:t>
      </w:r>
      <w:r>
        <w:rPr>
          <w:rFonts w:ascii="DejaVuSansCondensed,DejaVuSansC" w:hAnsi="DejaVuSansCondensed,DejaVuSansC"/>
        </w:rPr>
        <w:t>A empresa deve confirmar imediatamente ao consumidor o conteúdo e a data e hora de receção do aviso de rescisão, bem como a data em que o contrato deve ser rescindido por meio da rescisão, por escrito, por meios eletrónicos.</w:t>
      </w:r>
      <w:r>
        <w:rPr>
          <w:rFonts w:ascii="DejaVuSansCondensed,DejaVuSansC" w:hAnsi="DejaVuSansCondensed,DejaVuSansC"/>
          <w:sz w:val="19"/>
        </w:rPr>
        <w:t xml:space="preserve"> </w:t>
      </w:r>
      <w:r>
        <w:rPr>
          <w:rFonts w:ascii="DejaVuSansCondensed,DejaVuSansC" w:hAnsi="DejaVuSansCondensed,DejaVuSansC"/>
          <w:i/>
          <w:sz w:val="20"/>
          <w:vertAlign w:val="superscript"/>
        </w:rPr>
        <w:t>2</w:t>
      </w:r>
      <w:r>
        <w:rPr>
          <w:rFonts w:ascii="DejaVuSansCondensed,DejaVuSansC" w:hAnsi="DejaVuSansCondensed,DejaVuSansC"/>
        </w:rPr>
        <w:t>Presume-se que um aviso de rescisão apresentado pressionando o botão de confirmação tenha sido enviado à empresa imediatamente após a sua apresentação.</w:t>
      </w:r>
    </w:p>
    <w:p w14:paraId="32A32941" w14:textId="77777777" w:rsidR="00320DD3" w:rsidRDefault="00945D70">
      <w:pPr>
        <w:widowControl w:val="0"/>
        <w:tabs>
          <w:tab w:val="left" w:pos="405"/>
        </w:tabs>
        <w:autoSpaceDE w:val="0"/>
        <w:autoSpaceDN w:val="0"/>
        <w:adjustRightInd w:val="0"/>
        <w:spacing w:before="216" w:after="0" w:line="240" w:lineRule="auto"/>
        <w:ind w:left="405"/>
        <w:rPr>
          <w:rFonts w:ascii="DejaVuSansCondensed,DejaVuSansC" w:hAnsi="DejaVuSansCondensed,DejaVuSansC" w:cs="DejaVuSansCondensed,DejaVuSansC"/>
          <w:sz w:val="19"/>
          <w:szCs w:val="19"/>
        </w:rPr>
      </w:pPr>
      <w:r>
        <w:rPr>
          <w:rFonts w:ascii="DejaVuSansCondensed,DejaVuSansC" w:hAnsi="DejaVuSansCondensed,DejaVuSansC"/>
          <w:sz w:val="19"/>
        </w:rPr>
        <w:t>(</w:t>
      </w:r>
      <w:r>
        <w:rPr>
          <w:rFonts w:ascii="DejaVuSansCondensed,DejaVuSansC" w:hAnsi="DejaVuSansCondensed,DejaVuSansC"/>
        </w:rPr>
        <w:t>5) Se, aquando da apresentação do aviso de rescisão, o consumidor não indicar a data pretendida para a rescisão da relação contratual, a rescisão entrará em efeito o mais rapidamente possível.</w:t>
      </w:r>
    </w:p>
    <w:p w14:paraId="387261DB" w14:textId="77777777" w:rsidR="00320DD3" w:rsidRDefault="00945D70">
      <w:pPr>
        <w:widowControl w:val="0"/>
        <w:tabs>
          <w:tab w:val="left" w:pos="405"/>
        </w:tabs>
        <w:autoSpaceDE w:val="0"/>
        <w:autoSpaceDN w:val="0"/>
        <w:adjustRightInd w:val="0"/>
        <w:spacing w:before="216" w:after="0" w:line="240" w:lineRule="auto"/>
        <w:ind w:left="405"/>
        <w:rPr>
          <w:rFonts w:ascii="DejaVuSansCondensed,DejaVuSansC" w:hAnsi="DejaVuSansCondensed,DejaVuSansC" w:cs="DejaVuSansCondensed,DejaVuSansC"/>
          <w:sz w:val="19"/>
          <w:szCs w:val="19"/>
        </w:rPr>
      </w:pPr>
      <w:r>
        <w:rPr>
          <w:rFonts w:ascii="DejaVuSansCondensed,DejaVuSansC" w:hAnsi="DejaVuSansCondensed,DejaVuSansC"/>
          <w:sz w:val="19"/>
        </w:rPr>
        <w:t xml:space="preserve">(6) </w:t>
      </w:r>
      <w:r>
        <w:rPr>
          <w:rFonts w:ascii="DejaVuSansCondensed,DejaVuSansC" w:hAnsi="DejaVuSansCondensed,DejaVuSansC"/>
          <w:i/>
          <w:sz w:val="20"/>
          <w:vertAlign w:val="superscript"/>
        </w:rPr>
        <w:t>1</w:t>
      </w:r>
      <w:r>
        <w:rPr>
          <w:rFonts w:ascii="DejaVuSansCondensed,DejaVuSansC" w:hAnsi="DejaVuSansCondensed,DejaVuSansC"/>
        </w:rPr>
        <w:t>Se os botões e a página de confirmação não forem disponibilizados de acordo com os Parágrafos 1 e 2, o consumidor pode rescindir um contrato, para o qual os botões de rescisão e a página de confirmação deveriam ter sido disponibilizados, a qualquer momento e sem obedecer a um prazo de pré-aviso.</w:t>
      </w:r>
      <w:r>
        <w:rPr>
          <w:rFonts w:ascii="DejaVuSansCondensed,DejaVuSansC" w:hAnsi="DejaVuSansCondensed,DejaVuSansC"/>
          <w:sz w:val="19"/>
        </w:rPr>
        <w:t xml:space="preserve"> </w:t>
      </w:r>
      <w:r>
        <w:rPr>
          <w:rFonts w:ascii="DejaVuSansCondensed,DejaVuSansC" w:hAnsi="DejaVuSansCondensed,DejaVuSansC"/>
          <w:i/>
          <w:sz w:val="20"/>
          <w:vertAlign w:val="superscript"/>
        </w:rPr>
        <w:t>2</w:t>
      </w:r>
      <w:r>
        <w:rPr>
          <w:rFonts w:ascii="DejaVuSansCondensed,DejaVuSansC" w:hAnsi="DejaVuSansCondensed,DejaVuSansC"/>
        </w:rPr>
        <w:t>Isto não afeta a capacidade do consumidor para rescindir excecionalmente.</w:t>
      </w:r>
    </w:p>
    <w:p w14:paraId="1720CDBA" w14:textId="77777777" w:rsidR="00320DD3" w:rsidRDefault="00320D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20DD3">
      <w:headerReference w:type="even" r:id="rId6"/>
      <w:headerReference w:type="default" r:id="rId7"/>
      <w:footerReference w:type="default" r:id="rId8"/>
      <w:pgSz w:w="11900" w:h="16840"/>
      <w:pgMar w:top="1280" w:right="1020" w:bottom="560" w:left="1140" w:header="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C6B8C" w14:textId="77777777" w:rsidR="00FA289E" w:rsidRDefault="00FA289E">
      <w:pPr>
        <w:spacing w:after="0" w:line="240" w:lineRule="auto"/>
      </w:pPr>
      <w:r>
        <w:separator/>
      </w:r>
    </w:p>
  </w:endnote>
  <w:endnote w:type="continuationSeparator" w:id="0">
    <w:p w14:paraId="52C2652D" w14:textId="77777777" w:rsidR="00FA289E" w:rsidRDefault="00FA2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SansCondensed,DejaVuSans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31AAE" w14:textId="77777777" w:rsidR="00320DD3" w:rsidRDefault="00945D70">
    <w:pPr>
      <w:widowControl w:val="0"/>
      <w:tabs>
        <w:tab w:val="left" w:pos="283"/>
      </w:tabs>
      <w:autoSpaceDE w:val="0"/>
      <w:autoSpaceDN w:val="0"/>
      <w:adjustRightInd w:val="0"/>
      <w:spacing w:before="283" w:after="283" w:line="240" w:lineRule="auto"/>
      <w:ind w:left="283"/>
      <w:jc w:val="center"/>
      <w:rPr>
        <w:rFonts w:ascii="DejaVuSansCondensed" w:hAnsi="DejaVuSansCondensed" w:cs="DejaVuSansCondensed"/>
        <w:sz w:val="20"/>
        <w:szCs w:val="20"/>
      </w:rPr>
    </w:pPr>
    <w:r>
      <w:rPr>
        <w:rFonts w:ascii="DejaVuSansCondensed" w:hAnsi="DejaVuSansCondensed"/>
        <w:sz w:val="20"/>
      </w:rPr>
      <w:t xml:space="preserve">- Página </w:t>
    </w:r>
    <w:r>
      <w:rPr>
        <w:rFonts w:ascii="DejaVuSansCondensed" w:hAnsi="DejaVuSansCondensed" w:cs="DejaVuSansCondensed"/>
        <w:sz w:val="20"/>
      </w:rPr>
      <w:fldChar w:fldCharType="begin"/>
    </w:r>
    <w:r>
      <w:rPr>
        <w:rFonts w:ascii="DejaVuSansCondensed" w:hAnsi="DejaVuSansCondensed" w:cs="DejaVuSansCondensed"/>
        <w:sz w:val="20"/>
      </w:rPr>
      <w:instrText xml:space="preserve">PAGE </w:instrText>
    </w:r>
    <w:r>
      <w:rPr>
        <w:rFonts w:ascii="DejaVuSansCondensed" w:hAnsi="DejaVuSansCondensed" w:cs="DejaVuSansCondensed"/>
        <w:sz w:val="20"/>
      </w:rPr>
      <w:fldChar w:fldCharType="separate"/>
    </w:r>
    <w:r w:rsidR="00C8463D">
      <w:rPr>
        <w:rFonts w:ascii="DejaVuSansCondensed" w:hAnsi="DejaVuSansCondensed" w:cs="DejaVuSansCondensed"/>
        <w:sz w:val="20"/>
      </w:rPr>
      <w:t>1</w:t>
    </w:r>
    <w:r>
      <w:rPr>
        <w:rFonts w:ascii="DejaVuSansCondensed" w:hAnsi="DejaVuSansCondensed" w:cs="DejaVuSansCondensed"/>
        <w:sz w:val="20"/>
      </w:rPr>
      <w:fldChar w:fldCharType="end"/>
    </w:r>
    <w:r>
      <w:rPr>
        <w:rFonts w:ascii="DejaVuSansCondensed" w:hAnsi="DejaVuSansCondensed"/>
        <w:sz w:val="20"/>
      </w:rPr>
      <w:t xml:space="preserve"> de </w:t>
    </w:r>
    <w:r>
      <w:rPr>
        <w:rFonts w:ascii="DejaVuSansCondensed" w:hAnsi="DejaVuSansCondensed" w:cs="DejaVuSansCondensed"/>
        <w:sz w:val="20"/>
      </w:rPr>
      <w:fldChar w:fldCharType="begin"/>
    </w:r>
    <w:r>
      <w:rPr>
        <w:rFonts w:ascii="DejaVuSansCondensed" w:hAnsi="DejaVuSansCondensed" w:cs="DejaVuSansCondensed"/>
        <w:sz w:val="20"/>
      </w:rPr>
      <w:instrText>NUMPAGES</w:instrText>
    </w:r>
    <w:r>
      <w:rPr>
        <w:rFonts w:ascii="DejaVuSansCondensed" w:hAnsi="DejaVuSansCondensed" w:cs="DejaVuSansCondensed"/>
        <w:sz w:val="20"/>
      </w:rPr>
      <w:fldChar w:fldCharType="separate"/>
    </w:r>
    <w:r w:rsidR="00C8463D">
      <w:rPr>
        <w:rFonts w:ascii="DejaVuSansCondensed" w:hAnsi="DejaVuSansCondensed" w:cs="DejaVuSansCondensed"/>
        <w:sz w:val="20"/>
      </w:rPr>
      <w:t>1</w:t>
    </w:r>
    <w:r>
      <w:rPr>
        <w:rFonts w:ascii="DejaVuSansCondensed" w:hAnsi="DejaVuSansCondensed" w:cs="DejaVuSansCondensed"/>
        <w:sz w:val="20"/>
      </w:rPr>
      <w:fldChar w:fldCharType="end"/>
    </w:r>
    <w:r>
      <w:rPr>
        <w:rFonts w:ascii="DejaVuSansCondensed" w:hAnsi="DejaVuSansCondensed"/>
        <w:sz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929B2" w14:textId="77777777" w:rsidR="00FA289E" w:rsidRDefault="00FA289E">
      <w:pPr>
        <w:spacing w:after="0" w:line="240" w:lineRule="auto"/>
      </w:pPr>
      <w:r>
        <w:separator/>
      </w:r>
    </w:p>
  </w:footnote>
  <w:footnote w:type="continuationSeparator" w:id="0">
    <w:p w14:paraId="452199E6" w14:textId="77777777" w:rsidR="00FA289E" w:rsidRDefault="00FA2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6053D" w14:textId="77777777" w:rsidR="00320DD3" w:rsidRDefault="00320DD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39E26" w14:textId="77777777" w:rsidR="00320DD3" w:rsidRDefault="00320DD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D70"/>
    <w:rsid w:val="00320DD3"/>
    <w:rsid w:val="008A574F"/>
    <w:rsid w:val="008B4ECE"/>
    <w:rsid w:val="00945D70"/>
    <w:rsid w:val="009F13EB"/>
    <w:rsid w:val="00A14F6B"/>
    <w:rsid w:val="00C8463D"/>
    <w:rsid w:val="00FA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EF0867"/>
  <w14:defaultImageDpi w14:val="0"/>
  <w15:docId w15:val="{2DAE4D7D-D186-4D6E-9CA0-0F7010CC9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A5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74F"/>
  </w:style>
  <w:style w:type="paragraph" w:styleId="Header">
    <w:name w:val="header"/>
    <w:basedOn w:val="Normal"/>
    <w:link w:val="HeaderChar"/>
    <w:uiPriority w:val="99"/>
    <w:unhideWhenUsed/>
    <w:rsid w:val="008A5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Witzmann</dc:creator>
  <cp:keywords/>
  <dc:description/>
  <cp:lastModifiedBy>Dimitris Dimitriadis</cp:lastModifiedBy>
  <cp:revision>5</cp:revision>
  <dcterms:created xsi:type="dcterms:W3CDTF">2021-10-13T05:30:00Z</dcterms:created>
  <dcterms:modified xsi:type="dcterms:W3CDTF">2022-02-28T08:59:00Z</dcterms:modified>
</cp:coreProperties>
</file>