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7C7AB" w14:textId="4F1CE8E0" w:rsidR="00D43FA1" w:rsidRPr="00D43FA1" w:rsidRDefault="00D43FA1" w:rsidP="00D43FA1">
      <w:pPr>
        <w:spacing w:before="0" w:after="0"/>
        <w:rPr>
          <w:rFonts w:ascii="Courier New" w:hAnsi="Courier New" w:cs="Courier New"/>
          <w:sz w:val="20"/>
          <w:szCs w:val="20"/>
        </w:rPr>
      </w:pPr>
      <w:r>
        <w:rPr>
          <w:rFonts w:ascii="Courier New" w:hAnsi="Courier New"/>
          <w:sz w:val="20"/>
          <w:szCs w:val="20"/>
        </w:rPr>
        <w:t>1. ------IND- 2020 0510 D-- EL- ------ 20200830 --- --- PROJET</w:t>
      </w:r>
    </w:p>
    <w:p w14:paraId="78D3E792" w14:textId="77777777" w:rsidR="00D43FA1" w:rsidRPr="00D43FA1" w:rsidRDefault="00D43FA1" w:rsidP="00612652">
      <w:pPr>
        <w:pStyle w:val="Dokumentstatus"/>
      </w:pPr>
    </w:p>
    <w:p w14:paraId="2ADEED2D" w14:textId="02FDEE8E" w:rsidR="006444D5" w:rsidRPr="00D43FA1" w:rsidRDefault="00A5434C" w:rsidP="00D43FA1">
      <w:pPr>
        <w:pStyle w:val="Dokumentstatus"/>
        <w:keepNext/>
        <w:keepLines/>
      </w:pPr>
      <w:r>
        <w:t>Σχέδιο του Ομοσπονδιακού Υπουργείου Τροφίμων και Γεωργίας</w:t>
      </w:r>
    </w:p>
    <w:p w14:paraId="453D9A69" w14:textId="77777777" w:rsidR="006444D5" w:rsidRPr="00D43FA1" w:rsidRDefault="006444D5" w:rsidP="00D43FA1">
      <w:pPr>
        <w:pStyle w:val="Bezeichnungnderungsdokument"/>
        <w:keepNext/>
        <w:keepLines/>
      </w:pPr>
      <w:r>
        <w:t>22ος κανονισμός για την τροποποίηση του κανονισμού για υλικά και αντικείμενα</w:t>
      </w:r>
      <w:r>
        <w:rPr>
          <w:rStyle w:val="FootnoteReference"/>
        </w:rPr>
        <w:footnoteReference w:customMarkFollows="1" w:id="1"/>
        <w:t>1)</w:t>
      </w:r>
      <w:r>
        <w:t xml:space="preserve"> </w:t>
      </w:r>
    </w:p>
    <w:p w14:paraId="6759776C" w14:textId="77777777" w:rsidR="006444D5" w:rsidRPr="00D43FA1" w:rsidRDefault="006444D5" w:rsidP="00D43FA1">
      <w:pPr>
        <w:pStyle w:val="Ausfertigungsdatumnderungsdokument"/>
        <w:keepNext/>
        <w:keepLines/>
      </w:pPr>
      <w:r>
        <w:t>της …2020</w:t>
      </w:r>
    </w:p>
    <w:p w14:paraId="6E475CCC" w14:textId="77777777" w:rsidR="006444D5" w:rsidRPr="00D43FA1" w:rsidRDefault="006444D5" w:rsidP="000511BF">
      <w:pPr>
        <w:pStyle w:val="EingangsformelStandardnderungsdokument"/>
      </w:pPr>
      <w:r>
        <w:t xml:space="preserve">Το ομοσπονδιακό Υπουργείο Τροφίμων και Γεωργίας ορίζει δυνάμει </w:t>
      </w:r>
    </w:p>
    <w:p w14:paraId="42BFF3E6" w14:textId="77777777" w:rsidR="000511BF" w:rsidRPr="00D43FA1" w:rsidRDefault="006444D5" w:rsidP="00C74C74">
      <w:pPr>
        <w:pStyle w:val="EingangsformelStandardnderungsdokument"/>
        <w:numPr>
          <w:ilvl w:val="0"/>
          <w:numId w:val="1"/>
        </w:numPr>
        <w:ind w:left="0" w:firstLine="425"/>
      </w:pPr>
      <w:r>
        <w:t>του άρθρου 31 παράγραφος 2 εδάφιο 1 σημείο 2, σε συνδυασμό με το άρθρο 4 παράγραφος 2 σημείο 2 και το άρθρο 46 παράγραφος 2 εδάφιο 1 σημείο 1 στοιχείο α) του κώδικα τροφίμων και ζωοτροφών, όπως κοινοποιήθηκε στις 3 Ιουνίου 2013 (BGBl. Ι σ. 1426) καθώς και</w:t>
      </w:r>
    </w:p>
    <w:p w14:paraId="58FC86B6" w14:textId="77777777" w:rsidR="006444D5" w:rsidRPr="00D43FA1" w:rsidRDefault="000511BF" w:rsidP="00C74C74">
      <w:pPr>
        <w:pStyle w:val="EingangsformelStandardnderungsdokument"/>
        <w:numPr>
          <w:ilvl w:val="0"/>
          <w:numId w:val="1"/>
        </w:numPr>
        <w:ind w:left="0" w:firstLine="425"/>
      </w:pPr>
      <w:r>
        <w:t>του άρθρου 34 εδάφιο 1 σημείο 2, το οποίο τροποποιήθηκε με το άρθρο 67 σημείο 6 του κανονισμού της 31ης Αυγούστου 2015 (BGBl. Ι σ. 1474), σε συνδυασμό με το άρθρο 4 παράγραφος 2 σημείο 2 του κώδικα τροφίμων και ζωοτροφών, όπως κοινοποιήθηκε στις 3 Ιουνίου 2013 (BGBl. I S. 1426) από κοινού με το ομοσπονδιακό Υπουργείο Οικονομίας και Ενέργειας:</w:t>
      </w:r>
    </w:p>
    <w:p w14:paraId="6AC8CAE2" w14:textId="1699357E" w:rsidR="006444D5" w:rsidRPr="00D43FA1" w:rsidRDefault="00D43FA1" w:rsidP="00D43FA1">
      <w:pPr>
        <w:pStyle w:val="ArtikelBezeichner"/>
        <w:keepLines/>
        <w:numPr>
          <w:ilvl w:val="0"/>
          <w:numId w:val="0"/>
        </w:numPr>
      </w:pPr>
      <w:r>
        <w:t>Άρθρο 1</w:t>
      </w:r>
    </w:p>
    <w:p w14:paraId="37102DCC" w14:textId="1749B86C" w:rsidR="006444D5" w:rsidRPr="007E01A6" w:rsidRDefault="006444D5" w:rsidP="00D43FA1">
      <w:pPr>
        <w:pStyle w:val="Artikelberschrift"/>
        <w:keepLines/>
      </w:pPr>
      <w:r>
        <w:t>Τροποποίηση του κανονισμού για υλικά και αντικείμενα</w:t>
      </w:r>
    </w:p>
    <w:p w14:paraId="504DEE92" w14:textId="4F2C4E22" w:rsidR="00E24BD3" w:rsidRPr="007E01A6" w:rsidRDefault="00E24BD3" w:rsidP="00D43FA1">
      <w:pPr>
        <w:pStyle w:val="JuristischerAbsatznichtnummeriert"/>
        <w:keepNext/>
        <w:keepLines/>
        <w:rPr>
          <w:rStyle w:val="Marker"/>
          <w:color w:val="auto"/>
        </w:rPr>
      </w:pPr>
      <w:r>
        <w:rPr>
          <w:rStyle w:val="Marker"/>
          <w:color w:val="auto"/>
        </w:rPr>
        <w:t>Ο κανονισμός για υλικά και αντικείμενα, όπως κοινοποιήθηκε στις 23 Δεκεμβρίου 1997 (BGBl. 1998 I σ. 5), όπως τροποποιήθηκε τελευταία με το άρθρο 2 παράγραφος 1 του νόμου της 15ης Φεβρουαρίου 2016 (BGBl. I σ. 198) τροποποιείται ως εξής:</w:t>
      </w:r>
    </w:p>
    <w:p w14:paraId="02B9B0F2" w14:textId="7CA490A4" w:rsidR="00846C2F" w:rsidRPr="00D43FA1" w:rsidRDefault="00846C2F" w:rsidP="00846C2F">
      <w:pPr>
        <w:pStyle w:val="NummerierungStufe1"/>
      </w:pPr>
      <w:r>
        <w:t>Το άρθρο 2 τροποποιείται ως εξής:</w:t>
      </w:r>
    </w:p>
    <w:p w14:paraId="28C5F27B" w14:textId="77777777" w:rsidR="00846C2F" w:rsidRPr="00D43FA1" w:rsidRDefault="00846C2F" w:rsidP="004655E3">
      <w:pPr>
        <w:pStyle w:val="NummerierungStufe2"/>
        <w:rPr>
          <w:rStyle w:val="Marker"/>
          <w:color w:val="auto"/>
        </w:rPr>
      </w:pPr>
      <w:r>
        <w:rPr>
          <w:rStyle w:val="Marker"/>
          <w:color w:val="auto"/>
        </w:rPr>
        <w:t>Στο σημείο 6 η τελεία στο τέλος αντικαθίσταται από άνω τελεία.</w:t>
      </w:r>
    </w:p>
    <w:p w14:paraId="4CF425DD" w14:textId="26F4A3C3" w:rsidR="00846C2F" w:rsidRPr="00D43FA1" w:rsidRDefault="003B2E93" w:rsidP="00846C2F">
      <w:pPr>
        <w:pStyle w:val="NummerierungStufe2"/>
        <w:rPr>
          <w:rStyle w:val="Marker"/>
          <w:color w:val="auto"/>
        </w:rPr>
      </w:pPr>
      <w:r>
        <w:rPr>
          <w:rStyle w:val="Marker"/>
          <w:color w:val="auto"/>
        </w:rPr>
        <w:t>Προστίθενται τα εξής σημεία 7 έως 10:</w:t>
      </w:r>
    </w:p>
    <w:p w14:paraId="4D5D5D36" w14:textId="062BC587" w:rsidR="006444D5" w:rsidRPr="00D43FA1" w:rsidRDefault="00E24BD3" w:rsidP="00067EA9">
      <w:pPr>
        <w:pStyle w:val="JuristischerAbsatznichtnummeriert"/>
        <w:ind w:left="850" w:firstLine="295"/>
        <w:rPr>
          <w:rStyle w:val="Marker"/>
          <w:color w:val="auto"/>
        </w:rPr>
      </w:pPr>
      <w:r>
        <w:rPr>
          <w:rStyle w:val="Marker"/>
          <w:color w:val="auto"/>
        </w:rPr>
        <w:t>«7. ίνες χαρτοπολτού: ινώδη υλικά που λαμβάνονται μέσω διαδικασίας επεξεργασίας απορριμμάτων χάρτου και προορίζονται για την παραγωγή χαρτιού ή χαρτονιού·</w:t>
      </w:r>
    </w:p>
    <w:p w14:paraId="0106737F" w14:textId="4BB05830" w:rsidR="00E24BD3" w:rsidRPr="00D43FA1" w:rsidRDefault="00E24BD3" w:rsidP="00067EA9">
      <w:pPr>
        <w:pStyle w:val="JuristischerAbsatznichtnummeriert"/>
        <w:ind w:left="850" w:firstLine="295"/>
      </w:pPr>
      <w:r>
        <w:rPr>
          <w:rStyle w:val="Marker"/>
          <w:color w:val="auto"/>
        </w:rPr>
        <w:t xml:space="preserve">8. </w:t>
      </w:r>
      <w:r>
        <w:t>αρωματικοί υδρογονάνθρακες ορυκτελαίων: αλκυλιωμένοι αρωματικοί υδρογονάνθρακες με αριθμό ατόμων άνθρακα C16 έως C35, που περιέχουν έναν ή περισσότερους δακτυλίους, εκτός από τη δισισοπροπυλοναφθαλίνη· ο αριθμός ατόμων άνθρακα συνδυάζεται με τις περιοχές έκλουσης ή/και με τους χρόνους κατακράτησης των αντίστοιχων n-αλκάνιων κατά την αεριοχρωματογραφική ανάλυση σε στήλη διαχωρισμού καλυμμένη με πολυδιμεθυλσιλοξάνη·</w:t>
      </w:r>
    </w:p>
    <w:p w14:paraId="1BECF263" w14:textId="3D179D1B" w:rsidR="00846C2F" w:rsidRPr="00D43FA1" w:rsidRDefault="00E24BD3" w:rsidP="00D43FA1">
      <w:pPr>
        <w:pStyle w:val="JuristischerAbsatznichtnummeriert"/>
        <w:keepNext/>
        <w:keepLines/>
        <w:ind w:left="425" w:firstLine="720"/>
      </w:pPr>
      <w:r>
        <w:rPr>
          <w:rStyle w:val="Marker"/>
          <w:color w:val="auto"/>
        </w:rPr>
        <w:lastRenderedPageBreak/>
        <w:t xml:space="preserve">9. </w:t>
      </w:r>
      <w:r>
        <w:t>λειτουργικός φραγμός:</w:t>
      </w:r>
    </w:p>
    <w:p w14:paraId="74FD3E26" w14:textId="39827560" w:rsidR="00B643B8" w:rsidRPr="00D43FA1" w:rsidRDefault="002F7BDF" w:rsidP="00067EA9">
      <w:pPr>
        <w:pStyle w:val="JuristischerAbsatznichtnummeriert"/>
        <w:ind w:left="851" w:firstLine="589"/>
      </w:pPr>
      <w:r>
        <w:rPr>
          <w:rStyle w:val="Marker"/>
          <w:color w:val="auto"/>
        </w:rPr>
        <w:t xml:space="preserve">α) </w:t>
      </w:r>
      <w:r>
        <w:t>μία ή περισσότερες στρώσεις ή επικαλύψεις ενός υλικού ή αντικειμένου που έρχεται σε επαφή με τρόφιμα ή</w:t>
      </w:r>
    </w:p>
    <w:p w14:paraId="6C74E0DD" w14:textId="61F756EB" w:rsidR="002F7BDF" w:rsidRPr="00D43FA1" w:rsidRDefault="002F7BDF" w:rsidP="00067EA9">
      <w:pPr>
        <w:pStyle w:val="JuristischerAbsatznichtnummeriert"/>
        <w:ind w:left="720" w:firstLine="720"/>
      </w:pPr>
      <w:r>
        <w:rPr>
          <w:rStyle w:val="Marker"/>
          <w:color w:val="auto"/>
        </w:rPr>
        <w:t>β) το περίβλημα ενός τροφίμου,</w:t>
      </w:r>
    </w:p>
    <w:p w14:paraId="326B7F41" w14:textId="0B4EE35B" w:rsidR="00E24BD3" w:rsidRPr="00D43FA1" w:rsidRDefault="00E24BD3" w:rsidP="00067EA9">
      <w:pPr>
        <w:pStyle w:val="JuristischerAbsatznichtnummeriert"/>
        <w:ind w:left="851" w:firstLine="0"/>
      </w:pPr>
      <w:r>
        <w:t>με το οποίο διασφαλίζεται ότι αποτρέπεται η μεταφορά στα τρόφιμα συγκεκριμένων ουσιών των υλικών ή αντικειμένων που έρχονται σε επαφή με αυτά·</w:t>
      </w:r>
    </w:p>
    <w:p w14:paraId="4B18F3E3" w14:textId="70788493" w:rsidR="00846C2F" w:rsidRPr="00D43FA1" w:rsidRDefault="00E24BD3" w:rsidP="00067EA9">
      <w:pPr>
        <w:pStyle w:val="JuristischerAbsatznichtnummeriert"/>
        <w:ind w:left="851" w:firstLine="294"/>
      </w:pPr>
      <w:r>
        <w:rPr>
          <w:rStyle w:val="Marker"/>
          <w:color w:val="auto"/>
        </w:rPr>
        <w:t xml:space="preserve">10. </w:t>
      </w:r>
      <w:r>
        <w:t>προσομοιωτής τροφίμων: προσομοιωτής τροφίμων κατά την έννοια του άρθρου 3 σημείο 12 του κανονισμού (ΕΕ) αριθ. 10/2011.»</w:t>
      </w:r>
    </w:p>
    <w:p w14:paraId="17512622" w14:textId="77777777" w:rsidR="00846C2F" w:rsidRPr="00D43FA1" w:rsidRDefault="00846C2F" w:rsidP="00D43FA1">
      <w:pPr>
        <w:pStyle w:val="NummerierungStufe1"/>
        <w:keepNext/>
        <w:keepLines/>
        <w:rPr>
          <w:rStyle w:val="Marker"/>
          <w:color w:val="auto"/>
        </w:rPr>
      </w:pPr>
      <w:r>
        <w:rPr>
          <w:rStyle w:val="Marker"/>
          <w:color w:val="auto"/>
        </w:rPr>
        <w:t>Μετά το άρθρο 6 προστίθεται το ακόλουθο άρθρο 6α:</w:t>
      </w:r>
    </w:p>
    <w:p w14:paraId="254DF9EA" w14:textId="256D5011" w:rsidR="00846C2F" w:rsidRPr="00D43FA1" w:rsidRDefault="00846C2F" w:rsidP="007E01A6">
      <w:pPr>
        <w:pStyle w:val="RevisionParagraphBezeichnermanuell"/>
        <w:keepLines/>
        <w:ind w:left="425" w:hanging="75"/>
        <w:rPr>
          <w:color w:val="auto"/>
        </w:rPr>
      </w:pPr>
      <w:r>
        <w:rPr>
          <w:color w:val="auto"/>
        </w:rPr>
        <w:t xml:space="preserve">«§ </w:t>
      </w:r>
      <w:r>
        <w:rPr>
          <w:rStyle w:val="Marker"/>
          <w:color w:val="auto"/>
        </w:rPr>
        <w:t>6α</w:t>
      </w:r>
      <w:r>
        <w:rPr>
          <w:rStyle w:val="Marker"/>
          <w:color w:val="auto"/>
        </w:rPr>
        <w:br/>
        <w:t>Υλικά ή αντικείμενα από χαρτί ή χαρτόνι που έρχονται σε επαφή με τρόφιμα και περιέχουν ίνες από χαρτοπολτό</w:t>
      </w:r>
    </w:p>
    <w:p w14:paraId="393F6670" w14:textId="6F9EF356" w:rsidR="00756335" w:rsidRPr="007E01A6" w:rsidRDefault="00E24BD3" w:rsidP="00067EA9">
      <w:pPr>
        <w:pStyle w:val="JuristischerAbsatznichtnummeriert"/>
        <w:ind w:left="425" w:firstLine="295"/>
        <w:rPr>
          <w:rStyle w:val="Marker"/>
          <w:color w:val="auto"/>
        </w:rPr>
      </w:pPr>
      <w:r>
        <w:rPr>
          <w:rStyle w:val="Marker"/>
          <w:color w:val="auto"/>
        </w:rPr>
        <w:t xml:space="preserve">1) Τα υλικά ή αντικείμενα από χαρτί ή χαρτόνι που έρχονται σε επαφή με τρόφιμα μπορούν να κατασκευάζονται με χρήση ινών χαρτοπολτού και να διατίθενται στην αγορά μόνον εάν διασφαλίζεται μέσω της ύπαρξης λειτουργικού φραγμού κατά την έννοια του άρθρου 2 σημείο 9 ότι κανένας αρωματικός υδρογονάνθρακας ορυκτελαίων δεν μεταφέρεται στα τρόφιμα από το υλικό ή αντικείμενο που έρχεται σε επαφή με αυτά. Τέτοιου είδους μεταφορά θεωρείται ότι δεν συμβαίνει εάν </w:t>
      </w:r>
    </w:p>
    <w:p w14:paraId="16C207F7" w14:textId="77777777" w:rsidR="002F7BDF" w:rsidRPr="00D43FA1" w:rsidRDefault="002F7BDF" w:rsidP="00067EA9">
      <w:pPr>
        <w:pStyle w:val="JuristischerAbsatznichtnummeriert"/>
        <w:ind w:left="425" w:firstLine="0"/>
        <w:rPr>
          <w:szCs w:val="24"/>
        </w:rPr>
      </w:pPr>
      <w:r>
        <w:t xml:space="preserve">1. δεν υπερβαίνεται το όριο ανίχνευσης των 0,5 milligramm ποσότητας αρωματικών υδρογονανθράκων ορυκτελαίων ανά κιλό τροφίμου, ή </w:t>
      </w:r>
    </w:p>
    <w:p w14:paraId="172F3F97" w14:textId="20287DA3" w:rsidR="00C74C74" w:rsidRPr="007E01A6" w:rsidRDefault="002F7BDF" w:rsidP="00067EA9">
      <w:pPr>
        <w:pStyle w:val="JuristischerAbsatznichtnummeriert"/>
        <w:ind w:left="425" w:firstLine="0"/>
        <w:rPr>
          <w:szCs w:val="24"/>
        </w:rPr>
      </w:pPr>
      <w:r>
        <w:t xml:space="preserve">2. δεν υπερβαίνεται το όριο ανίχνευσης των 0,15 milligramm ποσότητας αρωματικών υδρογονανθράκων ορυκτελαίων ανά κιλό προσομοιωτή τροφίμων. </w:t>
      </w:r>
    </w:p>
    <w:p w14:paraId="4CAF2837" w14:textId="266BC0F6" w:rsidR="00C74C74" w:rsidRPr="00D43FA1" w:rsidRDefault="00E24BD3" w:rsidP="00067EA9">
      <w:pPr>
        <w:pStyle w:val="JuristischerAbsatznichtnummeriert"/>
        <w:ind w:left="425" w:firstLine="295"/>
      </w:pPr>
      <w:r>
        <w:rPr>
          <w:rStyle w:val="Marker"/>
          <w:color w:val="auto"/>
        </w:rPr>
        <w:t>2) Η</w:t>
      </w:r>
      <w:r>
        <w:t xml:space="preserve"> παράγραφος 1 εδάφιο 1 δεν ισχύει εάν αποκλείεται η μεταφορά αρωματικών υδρογονανθράκων ορυκτελαίων στο τρόφιμο από το υλικό ή αντικείμενο που έρχεται σε επαφή με αυτό κατά την έννοια της παραγράφου 1 εδάφιο 2, διότι</w:t>
      </w:r>
    </w:p>
    <w:p w14:paraId="6CBC600B" w14:textId="68240402" w:rsidR="002F7BDF" w:rsidRPr="00D43FA1" w:rsidRDefault="002F7BDF" w:rsidP="00067EA9">
      <w:pPr>
        <w:pStyle w:val="JuristischerAbsatznichtnummeriert"/>
        <w:ind w:left="425" w:firstLine="0"/>
      </w:pPr>
      <w:r>
        <w:rPr>
          <w:rStyle w:val="Marker"/>
          <w:color w:val="auto"/>
        </w:rPr>
        <w:t>1. ισχύουν ειδικές προϋποθέσεις για τα υλικά ή αντικείμενα που έρχονται σε επαφή με τρόφιμα, ιδίως η ύπαρξη μικρής μόνο περιεκτικότητας σε αρωματικούς υδρογονάνθρακες ορυκτελαίων σε αυτά, ή</w:t>
      </w:r>
    </w:p>
    <w:p w14:paraId="05A8EA42" w14:textId="0B5F5620" w:rsidR="00123700" w:rsidRPr="00D43FA1" w:rsidRDefault="002F7BDF" w:rsidP="00067EA9">
      <w:pPr>
        <w:pStyle w:val="JuristischerAbsatznichtnummeriert"/>
        <w:ind w:left="425" w:firstLine="0"/>
      </w:pPr>
      <w:r>
        <w:rPr>
          <w:rStyle w:val="Marker"/>
          <w:color w:val="auto"/>
        </w:rPr>
        <w:t xml:space="preserve">2. </w:t>
      </w:r>
      <w:r>
        <w:t>ο κατασκευαστής ή εκείνος που διαθέτει στην αγορά τα υλικά ή αντικείμενα που έρχονται σε επαφή με τρόφιμα έχει λάβει άλλα κατάλληλα μέτρα για την αποφυγή της μεταφοράς.</w:t>
      </w:r>
    </w:p>
    <w:p w14:paraId="0AD974E6" w14:textId="6D982343" w:rsidR="00735843" w:rsidRPr="00D43FA1" w:rsidRDefault="00E24BD3" w:rsidP="00067EA9">
      <w:pPr>
        <w:pStyle w:val="JuristischerAbsatznichtnummeriert"/>
        <w:ind w:left="425" w:firstLine="295"/>
      </w:pPr>
      <w:r>
        <w:rPr>
          <w:rStyle w:val="Marker"/>
          <w:color w:val="auto"/>
        </w:rPr>
        <w:t xml:space="preserve">3) Κατά </w:t>
      </w:r>
      <w:r>
        <w:t xml:space="preserve">παρέκκλιση από την παράγραφο 1 εδάφιο 1, τα υλικά ή αντικείμενα που έρχονται σε επαφή με τρόφιμα και περιγράφονται σε αυτήν μπορούν να κατασκευαστούν και να διατεθούν στην αγορά χωρίς λειτουργικό φραγμό, εάν η επιχείρηση τροφίμων όπου το υλικό ή αντικείμενο που έρχεται σε επαφή με τρόφιμα έρχεται για πρώτη φορά σε επαφή με τρόφιμο μέσω συσκευασίας ή με άλλο τρόπο δηλώνει πριν από τη παράδοση του υλικού ή αντικειμένου που έρχεται σε επαφή με τρόφιμα γραπτώς ή ηλεκτρονικώς στον κατασκευαστή ή εκείνον που διαθέτει το υλικό ή αντικείμενο που έρχεται σε επαφή με τρόφιμα στην αγορά ότι αυτό δεν διαθέτει τον λειτουργικό φραγμό κατά την έννοια του άρθρου 2 σημείο 9. </w:t>
      </w:r>
    </w:p>
    <w:p w14:paraId="789B1568" w14:textId="520EFB10" w:rsidR="00E24BD3" w:rsidRPr="00D43FA1" w:rsidRDefault="00E24BD3" w:rsidP="00067EA9">
      <w:pPr>
        <w:pStyle w:val="JuristischerAbsatznichtnummeriert"/>
        <w:ind w:left="425" w:firstLine="295"/>
      </w:pPr>
      <w:r>
        <w:rPr>
          <w:rStyle w:val="Marker"/>
          <w:color w:val="auto"/>
        </w:rPr>
        <w:lastRenderedPageBreak/>
        <w:t>4)</w:t>
      </w:r>
      <w:r>
        <w:t xml:space="preserve"> Στις περιπτώσεις της παραγράφου 3 η επιχείρηση τροφίμων που χρησιμοποιεί το υλικό ή αντικείμενο που έρχεται σε επαφή με τρόφιμα οφείλει να διασφαλίζει ότι αποκλείεται η μεταφορά αρωματικών υδρογονανθράκων ορυκτελαίων στο τρόφιμο από το υλικό ή αντικείμενο που έρχεται σε επαφή με τρόφιμα κατά την έννοια της παραγράφου 1 εδάφιο 2. Εν προκειμένω πρέπει να χρησιμοποιείται λειτουργικός φραγμός κατά την έννοια του άρθρου 2 σημείο 9 στοιχείο β) ή να λαμβάνονται άλλα κατάλληλα μέτρα. Το εδάφιο 2 δεν ισχύει εάν λόγω της σύστασης του τροφίμου το οποίο έρχεται σε επαφή με το υλικό ή αντικείμενο που έρχεται σε επαφή με τρόφιμα ή λόγω των προβλεπόμενων όρων χρήσης του υλικού ή αντικειμένου που έρχεται σε επαφή με τρόφιμα ισχύουν ειδικές προϋποθέσεις που αποκλείουν τη μεταφορά αρωματικών υδρογονανθράκων ορυκτελαίων στο τρόφιμο από το υλικό ή αντικείμενο που έρχεται σε επαφή με τρόφιμα κατά την έννοια της παραγράφου 1 εδάφιο 2.</w:t>
      </w:r>
    </w:p>
    <w:p w14:paraId="5366601D" w14:textId="03640CCF" w:rsidR="00313AFD" w:rsidRPr="00D43FA1" w:rsidRDefault="00E24BD3" w:rsidP="00C62066">
      <w:pPr>
        <w:pStyle w:val="JuristischerAbsatznichtnummeriert"/>
        <w:ind w:firstLine="720"/>
      </w:pPr>
      <w:r>
        <w:rPr>
          <w:rStyle w:val="Marker"/>
          <w:color w:val="auto"/>
        </w:rPr>
        <w:t xml:space="preserve">5) </w:t>
      </w:r>
      <w:r>
        <w:t>Κατόπιν αιτήματος της αρμόδιας αρχής αποδεικνύονται τα ακόλουθα:</w:t>
      </w:r>
    </w:p>
    <w:p w14:paraId="77519757" w14:textId="4193C14E" w:rsidR="002F7BDF" w:rsidRPr="007E01A6" w:rsidRDefault="002F7BDF" w:rsidP="00C62066">
      <w:pPr>
        <w:pStyle w:val="JuristischerAbsatznichtnummeriert"/>
        <w:ind w:left="425" w:firstLine="0"/>
        <w:rPr>
          <w:rStyle w:val="Marker"/>
          <w:color w:val="auto"/>
        </w:rPr>
      </w:pPr>
      <w:r>
        <w:rPr>
          <w:rStyle w:val="Marker"/>
          <w:color w:val="auto"/>
        </w:rPr>
        <w:t>1. από τον κατασκευαστή του υλικού ή αντικειμένου που έρχεται σε επαφή με τρόφιμα ή εκείνον που το διαθέτει στην αγορά, η συμμόρφωση με τις απαιτήσεις των παραγράφων 2 και 3 και</w:t>
      </w:r>
    </w:p>
    <w:p w14:paraId="2F2FD13A" w14:textId="19286176" w:rsidR="00313AFD" w:rsidRPr="007E01A6" w:rsidRDefault="002F7BDF" w:rsidP="00C62066">
      <w:pPr>
        <w:pStyle w:val="JuristischerAbsatznichtnummeriert"/>
        <w:ind w:left="425" w:firstLine="0"/>
        <w:rPr>
          <w:rStyle w:val="Marker"/>
          <w:color w:val="auto"/>
        </w:rPr>
      </w:pPr>
      <w:r>
        <w:rPr>
          <w:rStyle w:val="Marker"/>
          <w:color w:val="auto"/>
        </w:rPr>
        <w:t>2. από την επιχείρηση τροφίμων, η συμμόρφωση με τις απαιτήσεις της παραγράφου 4.</w:t>
      </w:r>
    </w:p>
    <w:p w14:paraId="587A74FC" w14:textId="6F4A63D4" w:rsidR="004F1DB4" w:rsidRPr="00D43FA1" w:rsidRDefault="00E24BD3" w:rsidP="00C62066">
      <w:pPr>
        <w:pStyle w:val="JuristischerAbsatznichtnummeriert"/>
        <w:ind w:left="425" w:firstLine="0"/>
      </w:pPr>
      <w:r>
        <w:t>Οι υπόχρεοι κατά την έννοια του εδαφίου 1 πρέπει να προσκομίζουν έγγραφα που αποδεικνύουν ότι αποκλείεται η μεταφορά αρωματικών υδρογονανθράκων ορυκτελαίων από το υλικό ή αντικείμενο που έρχεται σε επαφή με τρόφιμα στο τρόφιμο ή σε προσομοιωτές τροφίμων κατά την έννοια της παραγράφου 1 εδάφιο 2.</w:t>
      </w:r>
    </w:p>
    <w:p w14:paraId="0AA413D8" w14:textId="1C6B2756" w:rsidR="007F06A5" w:rsidRPr="00D43FA1" w:rsidRDefault="00E24BD3" w:rsidP="00C62066">
      <w:pPr>
        <w:pStyle w:val="JuristischerAbsatznichtnummeriert"/>
        <w:ind w:left="425" w:firstLine="295"/>
      </w:pPr>
      <w:r>
        <w:rPr>
          <w:rStyle w:val="Marker"/>
          <w:color w:val="auto"/>
        </w:rPr>
        <w:t>6) Α</w:t>
      </w:r>
      <w:r>
        <w:t>παγορεύεται να διατίθενται στην αγορά τρόφιμα ως τρόφιμα τα οποία υπόκεινται σε διαχείριση με χρήση υλικού ή αντικειμένου που έρχεται σε επαφή με τρόφιμα χωρίς συμμόρφωση με τις απαιτήσεις της παραγράφου 1 εδάφιο 1 ή της παραγράφου 4 εδάφιο 1.»</w:t>
      </w:r>
    </w:p>
    <w:p w14:paraId="6FA09614" w14:textId="77777777" w:rsidR="00D10507" w:rsidRPr="00D43FA1" w:rsidRDefault="00D10507" w:rsidP="00D43FA1">
      <w:pPr>
        <w:pStyle w:val="NummerierungStufe1"/>
        <w:keepNext/>
        <w:keepLines/>
      </w:pPr>
      <w:r>
        <w:t>Στο άρθρο 7 παράγραφος 1 η αναφορά «6» αντικαθίσταται από την αναφορά «6α παράγραφος 4».</w:t>
      </w:r>
    </w:p>
    <w:p w14:paraId="7EAA6364" w14:textId="77777777" w:rsidR="00D10507" w:rsidRPr="00D43FA1" w:rsidRDefault="00634FE4" w:rsidP="00D43FA1">
      <w:pPr>
        <w:pStyle w:val="NummerierungStufe1"/>
        <w:keepNext/>
        <w:keepLines/>
      </w:pPr>
      <w:r>
        <w:t xml:space="preserve">Το άρθρο 12 τροποποιείται ως εξής: </w:t>
      </w:r>
    </w:p>
    <w:p w14:paraId="69B3E358" w14:textId="77777777" w:rsidR="005068AC" w:rsidRPr="00D43FA1" w:rsidRDefault="005068AC" w:rsidP="00D43FA1">
      <w:pPr>
        <w:pStyle w:val="NummerierungStufe2"/>
        <w:keepNext/>
        <w:keepLines/>
        <w:rPr>
          <w:rStyle w:val="Marker"/>
          <w:color w:val="auto"/>
        </w:rPr>
      </w:pPr>
      <w:r>
        <w:rPr>
          <w:rStyle w:val="Marker"/>
          <w:color w:val="auto"/>
        </w:rPr>
        <w:t>Η παράγραφος 2 τροποποιείται ως εξής:</w:t>
      </w:r>
    </w:p>
    <w:p w14:paraId="35259617" w14:textId="05E5730A" w:rsidR="005068AC" w:rsidRPr="00D43FA1" w:rsidRDefault="004655E3" w:rsidP="004655E3">
      <w:pPr>
        <w:pStyle w:val="NummerierungStufe3"/>
        <w:numPr>
          <w:ilvl w:val="0"/>
          <w:numId w:val="0"/>
        </w:numPr>
        <w:ind w:left="1276"/>
        <w:rPr>
          <w:rStyle w:val="Marker"/>
          <w:color w:val="auto"/>
        </w:rPr>
      </w:pPr>
      <w:r>
        <w:rPr>
          <w:rStyle w:val="Marker"/>
          <w:color w:val="auto"/>
        </w:rPr>
        <w:t xml:space="preserve">αα) </w:t>
      </w:r>
      <w:r w:rsidR="00AC0D2A">
        <w:rPr>
          <w:rStyle w:val="Marker"/>
          <w:color w:val="auto"/>
        </w:rPr>
        <w:t>Στο σημείο 3 η λέξη «ή» αντικαθίσταται από κόμμα.</w:t>
      </w:r>
    </w:p>
    <w:p w14:paraId="7DFBB224" w14:textId="670762D5" w:rsidR="005068AC" w:rsidRPr="00D43FA1" w:rsidRDefault="004655E3" w:rsidP="004655E3">
      <w:pPr>
        <w:pStyle w:val="NummerierungStufe3"/>
        <w:numPr>
          <w:ilvl w:val="0"/>
          <w:numId w:val="0"/>
        </w:numPr>
        <w:ind w:left="1276"/>
        <w:rPr>
          <w:rStyle w:val="Marker"/>
          <w:color w:val="auto"/>
        </w:rPr>
      </w:pPr>
      <w:r>
        <w:rPr>
          <w:rStyle w:val="Marker"/>
          <w:color w:val="auto"/>
        </w:rPr>
        <w:t xml:space="preserve">ββ) </w:t>
      </w:r>
      <w:r w:rsidR="00AC0D2A">
        <w:rPr>
          <w:rStyle w:val="Marker"/>
          <w:color w:val="auto"/>
        </w:rPr>
        <w:t>Στο σημείο 4 η τελεία στο τέλος αντικαθίσταται από κόμμα.</w:t>
      </w:r>
    </w:p>
    <w:p w14:paraId="3BEDFB5A" w14:textId="58371A1F" w:rsidR="00AC0D2A" w:rsidRPr="00D43FA1" w:rsidRDefault="004655E3" w:rsidP="004655E3">
      <w:pPr>
        <w:pStyle w:val="NummerierungStufe3"/>
        <w:keepNext/>
        <w:keepLines/>
        <w:numPr>
          <w:ilvl w:val="0"/>
          <w:numId w:val="0"/>
        </w:numPr>
        <w:ind w:left="1276"/>
        <w:rPr>
          <w:rStyle w:val="Marker"/>
          <w:color w:val="auto"/>
        </w:rPr>
      </w:pPr>
      <w:r>
        <w:rPr>
          <w:rStyle w:val="Marker"/>
          <w:color w:val="auto"/>
        </w:rPr>
        <w:t xml:space="preserve">γγ) </w:t>
      </w:r>
      <w:r w:rsidR="003B2E93">
        <w:rPr>
          <w:rStyle w:val="Marker"/>
          <w:color w:val="auto"/>
        </w:rPr>
        <w:t>Προστίθενται τα εξής σημεία 5 και 6:</w:t>
      </w:r>
    </w:p>
    <w:p w14:paraId="33D0714E" w14:textId="1077FDEF" w:rsidR="00241B36" w:rsidRPr="00D43FA1" w:rsidRDefault="00E24BD3" w:rsidP="00E24BD3">
      <w:pPr>
        <w:pStyle w:val="JuristischerAbsatznichtnummeriert"/>
        <w:ind w:left="850" w:firstLine="426"/>
        <w:rPr>
          <w:rStyle w:val="Marker"/>
          <w:color w:val="auto"/>
        </w:rPr>
      </w:pPr>
      <w:r>
        <w:rPr>
          <w:rStyle w:val="Marker"/>
          <w:color w:val="auto"/>
        </w:rPr>
        <w:t xml:space="preserve">«5. διαθέτει στην αγορά υλικό ή αντικείμενο που έρχεται σε επαφή με τρόφιμα ή τρόφιμο αντίθετα προς τις διατάξεις του άρθρου 6α παράγραφος 1 εδάφιο 1 ή παράγραφος 6 ή </w:t>
      </w:r>
    </w:p>
    <w:p w14:paraId="5E978D5C" w14:textId="45631538" w:rsidR="00B77970" w:rsidRPr="00D43FA1" w:rsidRDefault="00E24BD3" w:rsidP="00E24BD3">
      <w:pPr>
        <w:pStyle w:val="JuristischerAbsatznichtnummeriert"/>
        <w:ind w:left="850" w:firstLine="426"/>
      </w:pPr>
      <w:r>
        <w:rPr>
          <w:rStyle w:val="Marker"/>
          <w:color w:val="auto"/>
        </w:rPr>
        <w:t xml:space="preserve">6. δεν διασφαλίζει τον αποκλεισμό της μεταφοράς αρωματικών υδρογονανθράκων ορυκτελαίων αντίθετα προς τις διατάξεις του άρθρου 6α παράγραφος 4 εδάφιο 1.» </w:t>
      </w:r>
    </w:p>
    <w:p w14:paraId="7716DBF5" w14:textId="4D9148FD" w:rsidR="005068AC" w:rsidRPr="00D43FA1" w:rsidRDefault="005068AC" w:rsidP="00D43FA1">
      <w:pPr>
        <w:pStyle w:val="NummerierungStufe2"/>
        <w:keepNext/>
        <w:keepLines/>
        <w:rPr>
          <w:rStyle w:val="Marker"/>
          <w:color w:val="auto"/>
        </w:rPr>
      </w:pPr>
      <w:r>
        <w:rPr>
          <w:rStyle w:val="Marker"/>
          <w:color w:val="auto"/>
        </w:rPr>
        <w:t>Η παράγραφος 6 τροποποιείται ως εξής:</w:t>
      </w:r>
    </w:p>
    <w:p w14:paraId="43014887" w14:textId="1CB0AC06" w:rsidR="005068AC" w:rsidRPr="00D43FA1" w:rsidRDefault="004655E3" w:rsidP="004655E3">
      <w:pPr>
        <w:pStyle w:val="NummerierungStufe3"/>
        <w:keepNext/>
        <w:keepLines/>
        <w:numPr>
          <w:ilvl w:val="0"/>
          <w:numId w:val="0"/>
        </w:numPr>
        <w:ind w:left="1276"/>
        <w:rPr>
          <w:rStyle w:val="Marker"/>
          <w:color w:val="auto"/>
        </w:rPr>
      </w:pPr>
      <w:r>
        <w:rPr>
          <w:rStyle w:val="Marker"/>
          <w:color w:val="auto"/>
        </w:rPr>
        <w:t xml:space="preserve">αα) </w:t>
      </w:r>
      <w:r w:rsidR="003B2E93">
        <w:rPr>
          <w:rStyle w:val="Marker"/>
          <w:color w:val="auto"/>
        </w:rPr>
        <w:t>Του σημείου 1 προηγείται το ακόλουθο σημείο 1:</w:t>
      </w:r>
    </w:p>
    <w:p w14:paraId="008549AE" w14:textId="466291BF" w:rsidR="00E24BD3" w:rsidRPr="007E01A6" w:rsidRDefault="00E24BD3" w:rsidP="00E24BD3">
      <w:pPr>
        <w:pStyle w:val="JuristischerAbsatznichtnummeriert"/>
        <w:ind w:left="720" w:firstLine="556"/>
        <w:rPr>
          <w:rStyle w:val="Marker"/>
          <w:color w:val="auto"/>
        </w:rPr>
      </w:pPr>
      <w:r>
        <w:rPr>
          <w:rStyle w:val="Marker"/>
          <w:color w:val="auto"/>
        </w:rPr>
        <w:t>«1. δεν διαθέτει έγγραφο, δεν διαθέτει ορθό έγγραφο ή διαθέτει ελλιπές έγγραφο, αντίθετα προς τις διατάξεις του άρθρου 6α παράγραφος 5 εδάφιο 2,».</w:t>
      </w:r>
    </w:p>
    <w:p w14:paraId="27C15FD7" w14:textId="6B91F157" w:rsidR="005068AC" w:rsidRPr="00D43FA1" w:rsidRDefault="004655E3" w:rsidP="004655E3">
      <w:pPr>
        <w:pStyle w:val="NummerierungStufe3"/>
        <w:numPr>
          <w:ilvl w:val="0"/>
          <w:numId w:val="0"/>
        </w:numPr>
        <w:ind w:left="1276" w:hanging="426"/>
      </w:pPr>
      <w:r>
        <w:rPr>
          <w:rStyle w:val="Marker"/>
          <w:color w:val="auto"/>
        </w:rPr>
        <w:lastRenderedPageBreak/>
        <w:t xml:space="preserve">ββ) </w:t>
      </w:r>
      <w:r w:rsidR="00504030">
        <w:rPr>
          <w:rStyle w:val="Marker"/>
          <w:color w:val="auto"/>
        </w:rPr>
        <w:t>Το έως σήμερα σημείο 1 αναριθμείται σε σημείο 2.</w:t>
      </w:r>
    </w:p>
    <w:p w14:paraId="40868CB4" w14:textId="77777777" w:rsidR="00DA7A9F" w:rsidRPr="00D43FA1" w:rsidRDefault="00DA7A9F" w:rsidP="00D43FA1">
      <w:pPr>
        <w:pStyle w:val="NummerierungStufe1"/>
        <w:keepNext/>
        <w:keepLines/>
      </w:pPr>
      <w:r>
        <w:t>Στο άρθρο 16 προστίθενται οι ακόλουθες παράγραφοι 15 και 16:</w:t>
      </w:r>
    </w:p>
    <w:p w14:paraId="53C2A8E8" w14:textId="4612D6D2" w:rsidR="002666C4" w:rsidRPr="00D43FA1" w:rsidRDefault="00C07FE5" w:rsidP="00C07FE5">
      <w:pPr>
        <w:pStyle w:val="JuristischerAbsatznichtnummeriert"/>
        <w:ind w:left="425" w:firstLine="295"/>
      </w:pPr>
      <w:r>
        <w:rPr>
          <w:rStyle w:val="Marker"/>
          <w:color w:val="auto"/>
        </w:rPr>
        <w:t xml:space="preserve">«15) Το άρθρο 6α </w:t>
      </w:r>
      <w:r>
        <w:t>ισχύει από την … [εισάγετε: ημερομηνία της πρώτης ημέρας του τριακοστού έβδομου ημερολογιακού μήνα από τη δημοσίευση του παρόντος κανονισμού].</w:t>
      </w:r>
    </w:p>
    <w:p w14:paraId="0BC81A17" w14:textId="18B7C145" w:rsidR="00C07FE5" w:rsidRPr="00D43FA1" w:rsidRDefault="00C07FE5" w:rsidP="00C07FE5">
      <w:pPr>
        <w:pStyle w:val="JuristischerAbsatznichtnummeriert"/>
        <w:tabs>
          <w:tab w:val="left" w:pos="1134"/>
          <w:tab w:val="left" w:pos="1418"/>
        </w:tabs>
        <w:ind w:left="425" w:firstLine="295"/>
      </w:pPr>
      <w:r>
        <w:t>16)</w:t>
      </w:r>
      <w:r>
        <w:tab/>
        <w:t>Υλικά ή αντικείμενα που έρχονται σε επαφή με τρόφιμα, τα οποία παρήχθησαν με χρήση ινών χαρτοπολτού σύμφωνα με τις διατάξεις που ίσχυαν ως το χρονικό σημείο που αναφέρεται στην παράγραφο 15, μπορούν να συνεχίσουν να διατίθενται στην αγορά και να χρησιμοποιούνται έως και … [εισάγετε: ημερομηνία της πρώτης ημέρας του εξηκοστού πρώτου ημερολογιακού μήνα από τη δημοσίευση του παρόντος κανονισμού].»</w:t>
      </w:r>
    </w:p>
    <w:p w14:paraId="6DD6BE05" w14:textId="1E96CDA2" w:rsidR="00C86A55" w:rsidRPr="00D43FA1" w:rsidRDefault="00D43FA1" w:rsidP="00D43FA1">
      <w:pPr>
        <w:pStyle w:val="ArtikelBezeichner"/>
        <w:numPr>
          <w:ilvl w:val="0"/>
          <w:numId w:val="0"/>
        </w:numPr>
        <w:ind w:left="720" w:hanging="720"/>
      </w:pPr>
      <w:r>
        <w:t>Άρθρο 2</w:t>
      </w:r>
    </w:p>
    <w:p w14:paraId="6244BBAD" w14:textId="77777777" w:rsidR="00C86A55" w:rsidRPr="00D43FA1" w:rsidRDefault="000B2DB8" w:rsidP="00C86A55">
      <w:pPr>
        <w:pStyle w:val="Artikelberschrift"/>
      </w:pPr>
      <w:r>
        <w:t>Άδεια γνωστοποίησης</w:t>
      </w:r>
    </w:p>
    <w:p w14:paraId="01E0D16A" w14:textId="3D86B3E2" w:rsidR="00C86A55" w:rsidRPr="00D43FA1" w:rsidRDefault="00C86A55" w:rsidP="00B643B8">
      <w:pPr>
        <w:pStyle w:val="JuristischerAbsatznichtnummeriert"/>
      </w:pPr>
      <w:r>
        <w:t>Το ομοσπονδιακό Υπουργείο Τροφίμων και Γεωργίας δύναται να κοινοποιήσει τη διατύπωση του κανονισμού για υλικά και αντικείμενα στην ισχύουσα από …[εισάγετε: ημερομηνία έναρξης ισχύος του παρόντος κανονισμού] έκδοση στην Ομοσπονδιακή Εφημερίδα της Κυβερνήσεως</w:t>
      </w:r>
    </w:p>
    <w:p w14:paraId="28CE82C3" w14:textId="25904053" w:rsidR="006444D5" w:rsidRPr="00D43FA1" w:rsidRDefault="00D43FA1" w:rsidP="00D43FA1">
      <w:pPr>
        <w:pStyle w:val="ArtikelBezeichner"/>
        <w:numPr>
          <w:ilvl w:val="0"/>
          <w:numId w:val="0"/>
        </w:numPr>
      </w:pPr>
      <w:r>
        <w:t>Άρθρο 3</w:t>
      </w:r>
    </w:p>
    <w:p w14:paraId="157B2F9D" w14:textId="77777777" w:rsidR="006444D5" w:rsidRPr="00D43FA1" w:rsidRDefault="006444D5" w:rsidP="00612652">
      <w:pPr>
        <w:pStyle w:val="Artikelberschrift"/>
      </w:pPr>
      <w:r>
        <w:rPr>
          <w:rStyle w:val="Marker"/>
          <w:color w:val="auto"/>
        </w:rPr>
        <w:t>Θέση σε ισχύ</w:t>
      </w:r>
    </w:p>
    <w:p w14:paraId="31DE4A11" w14:textId="77777777" w:rsidR="006444D5" w:rsidRPr="00D43FA1" w:rsidRDefault="00C86A55" w:rsidP="00612652">
      <w:pPr>
        <w:pStyle w:val="JuristischerAbsatznichtnummeriert"/>
      </w:pPr>
      <w:r>
        <w:rPr>
          <w:rStyle w:val="Marker"/>
          <w:color w:val="auto"/>
        </w:rPr>
        <w:t>Ο παρών κανονισμός τίθεται σε ισχύ την επομένη της δημοσίευσής του.</w:t>
      </w:r>
    </w:p>
    <w:p w14:paraId="37CC3236" w14:textId="77777777" w:rsidR="006444D5" w:rsidRPr="00D43FA1" w:rsidRDefault="006444D5" w:rsidP="006444D5">
      <w:pPr>
        <w:pStyle w:val="Schlussformel"/>
        <w:rPr>
          <w:rStyle w:val="Marker"/>
          <w:color w:val="auto"/>
        </w:rPr>
      </w:pPr>
      <w:r>
        <w:rPr>
          <w:rStyle w:val="Marker"/>
          <w:color w:val="auto"/>
        </w:rPr>
        <w:t>Με την έγκριση του Ομοσπονδιακού Συμβουλίου.</w:t>
      </w:r>
    </w:p>
    <w:p w14:paraId="2FAF18C3" w14:textId="5D4D10CB" w:rsidR="00646A3B" w:rsidRPr="00D43FA1" w:rsidRDefault="001B10CC" w:rsidP="00646A3B">
      <w:pPr>
        <w:pStyle w:val="OrtDatum"/>
      </w:pPr>
      <w:r>
        <w:t>Βόννη, ....2020</w:t>
      </w:r>
    </w:p>
    <w:p w14:paraId="6B55ADD4" w14:textId="5958D35B" w:rsidR="00646A3B" w:rsidRPr="00D43FA1" w:rsidRDefault="00646A3B" w:rsidP="00646A3B">
      <w:pPr>
        <w:pStyle w:val="Organisation"/>
        <w:rPr>
          <w:spacing w:val="0"/>
        </w:rPr>
      </w:pPr>
    </w:p>
    <w:p w14:paraId="50FA98AC" w14:textId="24B1EF63" w:rsidR="00646A3B" w:rsidRPr="00D43FA1" w:rsidRDefault="00646A3B" w:rsidP="00646A3B">
      <w:pPr>
        <w:pStyle w:val="Organisation"/>
        <w:rPr>
          <w:spacing w:val="0"/>
        </w:rPr>
      </w:pPr>
      <w:r>
        <w:t xml:space="preserve">Η ομοσπονδιακή υπουργός </w:t>
      </w:r>
    </w:p>
    <w:p w14:paraId="38BFE5A9" w14:textId="2AF85087" w:rsidR="00646A3B" w:rsidRPr="00D43FA1" w:rsidRDefault="00646A3B" w:rsidP="00646A3B">
      <w:pPr>
        <w:pStyle w:val="Organisation"/>
        <w:rPr>
          <w:spacing w:val="0"/>
        </w:rPr>
      </w:pPr>
      <w:r>
        <w:t>Τροφίμων και Γεωργίας</w:t>
      </w:r>
    </w:p>
    <w:p w14:paraId="390D4D95" w14:textId="18482467" w:rsidR="006444D5" w:rsidRPr="00D43FA1" w:rsidRDefault="006444D5" w:rsidP="00D43FA1">
      <w:pPr>
        <w:pStyle w:val="BegrndungTitel"/>
        <w:keepLines/>
        <w:pageBreakBefore/>
      </w:pPr>
      <w:r>
        <w:lastRenderedPageBreak/>
        <w:t>Αιτιολογική έκθεση</w:t>
      </w:r>
    </w:p>
    <w:p w14:paraId="4E661150" w14:textId="77777777" w:rsidR="006444D5" w:rsidRPr="00D43FA1" w:rsidRDefault="006444D5" w:rsidP="00D43FA1">
      <w:pPr>
        <w:pStyle w:val="BegrndungAllgemeinerTeil"/>
        <w:keepLines/>
      </w:pPr>
      <w:r>
        <w:t>A. Γενικό Μέρος</w:t>
      </w:r>
    </w:p>
    <w:p w14:paraId="3CB30F24" w14:textId="77777777" w:rsidR="006444D5" w:rsidRPr="00D43FA1" w:rsidRDefault="006444D5" w:rsidP="00D43FA1">
      <w:pPr>
        <w:pStyle w:val="berschriftrmischBegrndung"/>
        <w:keepLines/>
      </w:pPr>
      <w:r>
        <w:t>Στόχος και αναγκαιότητα των ρυθμίσεων</w:t>
      </w:r>
    </w:p>
    <w:p w14:paraId="3C58B331" w14:textId="65DA7301" w:rsidR="00CB5E99" w:rsidRPr="00D43FA1" w:rsidRDefault="00CB5E99" w:rsidP="00CB5E99">
      <w:pPr>
        <w:pStyle w:val="Text"/>
      </w:pPr>
      <w:r>
        <w:t xml:space="preserve">Τα τρόφιμα μπορούν να μολυνθούν με ορυκτέλαιο, όπως έδειξαν, μεταξύ άλλων, έρευνες στο πλαίσιο ενός ερευνητικού έργου που χρηματοδοτήθηκε από το ομοσπονδιακό Υπουργείο Τροφίμων και Γεωργίας (Έκταση της μετανάστευσης ανεπιθύμητων ουσιών από υλικά συσκευασίας από απορρίμματα χάρτου σε τρόφιμα - συμπληρωματική έκθεση ανάλυσης «119 τροφίμων» για ανεπιθύμητες ουσίες από απορρίμματα χάρτου, κωδικός χρηματοδότησης 2809HS012). Εν προκειμένω, πέραν από άλλες πηγές εισόδου, μια σημαντική αιτία είναι επίσης συσκευασίες τροφίμων από χαρτί ή χαρτόνι, ειδικά όσες κατασκευάζονται από ανακυκλωμένο χαρτί. </w:t>
      </w:r>
    </w:p>
    <w:p w14:paraId="31DF33D8" w14:textId="77777777" w:rsidR="00CB5E99" w:rsidRPr="00D43FA1" w:rsidRDefault="00CB5E99" w:rsidP="00CB5E99">
      <w:pPr>
        <w:pStyle w:val="Text"/>
      </w:pPr>
      <w:r>
        <w:t>Το ορυκτέλαιο μπορεί να καταλήξει στο ανακυκλωμένο χαρτί μέσω της επεξεργασίας των απορριμμάτων χάρτου. Το ανακυκλωμένο χαρτί περιέχει ινώδη υλικά που προέρχονται από τα απορρίμματα χάρτου (οι επονομαζόμενες ίνες χαρτοπολτού). Τα απορρίμματα χάρτου αποτελούνται κυρίως από εφημερίδες, διαφημιστικά φυλλάδια, περιοδικά, καταλόγους και άλλες μορφές χαρτιού γραφής, καθώς και από χαρτιά συσκευασιών. Για την εκτύπωση αυτών των χαρτιών χρησιμοποιούνται μελάνια τα οποία, ανάλογα με το είδος της εκτύπωσης και της χρήσης, περιέχουν επίσης ορυκτέλαιο.</w:t>
      </w:r>
    </w:p>
    <w:p w14:paraId="5AD4C587" w14:textId="1F6D1D80" w:rsidR="00CB5E99" w:rsidRPr="00D43FA1" w:rsidRDefault="00CB5E99" w:rsidP="00CB5E99">
      <w:pPr>
        <w:pStyle w:val="Text"/>
      </w:pPr>
      <w:r>
        <w:t>Το ορυκτέλαιο λαμβάνεται από πετρέλαιο και είναι ένα σύνθετο μείγμα, το οποίο αποτελείται κυρίως από κορεσμένους (με μορφή αλυσίδας και δακτυλίων) και αρωματικούς (κυρίως αλκυλιωμένους) υδρογονάνθρακες. Σε ορισμένες περιπτώσεις βρέθηκαν σημαντικές ποσότητες υδρογονανθράκων ορυκτελαίων σε τρόφιμα. Σε αυτούς περιλαμβάνονται επίσης αρωματικοί υδρογονάνθρακες ορυκτελαίων (MOAH). Η απορρόφηση MOAH θα πρέπει να ελαχιστοποιηθεί σύμφωνα με το Ομοσπονδιακό Ινστιτούτο Αξιολόγησης Κινδύνου (BfR) (π.χ. γνωμοδότηση BfR αριθ. 008/2010, δελτίο Τύπου BfR 41/2012, συχνές ερωτήσεις και απαντήσεις από BfR της 30ής Νοεμβρίου 2012/26 Νοεμβρίου 2015), διότι δεν μπορεί να αποκλειστεί το ενδεχόμενο να περιέχουν οι MOAH και ουσίες που μπορεί να προκαλέσουν βλάβες στην υγεία, όπως π.χ. καρκίνο, ακόμα και σε ελάχιστες ποσότητες. Η Ευρωπαϊκή Αρχή για την Ασφάλεια των Τροφίμων (EFSA) εξέφρασε επίσης της ανησυχίες στη γνωμοδότηση της 3ης Μαΐου 2012 [EFSA Journal 2012,10(6):2704] σχετικά με την έκθεση σε MOAH, λόγω του πιθανού καρκινογόνου δυναμικού τους. Η EFSA διαπίστωσε επίσης ότι οι συσκευασίες τροφίμων μπορούν να συμβάλουν λόγω των ινών χαρτοπολτού σε σημαντικό βαθμό στην έκθεση των τροφίμων σε υδρογονάνθρακες ορυκτελαίων.</w:t>
      </w:r>
    </w:p>
    <w:p w14:paraId="2FAAA0A3" w14:textId="77777777" w:rsidR="00612652" w:rsidRPr="007E01A6" w:rsidRDefault="00612652">
      <w:pPr>
        <w:pStyle w:val="Text"/>
      </w:pPr>
      <w:r>
        <w:t>Σκοπός του παρόντος κανονισμού είναι να βελτιωθεί σαφώς η προστασία των καταναλωτών από πιθανούς κινδύνους για την υγεία που προκαλούνται από υλικά ή αντικείμενα από χαρτί ή χαρτόνι που έρχονται σε επαφή με τρόφιμα, παράγονται με χρήση ινών χαρτοπολτού και οι MOAH των οποίων μπορούν να μεταφερθούν από αυτά στα τρόφιμα.</w:t>
      </w:r>
    </w:p>
    <w:p w14:paraId="3FE169D4" w14:textId="0217AD32" w:rsidR="006444D5" w:rsidRPr="00D43FA1" w:rsidRDefault="006444D5">
      <w:pPr>
        <w:pStyle w:val="berschriftrmischBegrndung"/>
      </w:pPr>
      <w:r>
        <w:t>Ουσιαστικό περιεχόμενο</w:t>
      </w:r>
    </w:p>
    <w:p w14:paraId="45A5B0F9" w14:textId="2B0307C3" w:rsidR="00F04D45" w:rsidRPr="007E01A6" w:rsidRDefault="00F04D45">
      <w:pPr>
        <w:pStyle w:val="Text"/>
        <w:rPr>
          <w:szCs w:val="24"/>
        </w:rPr>
      </w:pPr>
      <w:r>
        <w:t xml:space="preserve">Σκοπός το παρόντος κανονισμού είναι να περιοριστεί όσο το δυνατόν περισσότερο η μεταφορά MOAH στα τρόφιμα από υλικά ή αντικείμενα από χαρτί ή χαρτόνι που έρχονται σε επαφή με τρόφιμα και κατασκευάζονται με χρήση ινών χαρτοπολτού. Μια κατάλληλη δυνατότητα για να επιτευχθεί αυτός ο περιορισμός είναι η ύπαρξη λειτουργικού φραγμού. Ως εκ τούτου, επιβάλλεται η βασική υποχρέωση να διαθέτουν τα σχετικά υλικά ή αντικείμενα που έρχονται σε επαφή με τρόφιμα έναν τέτοιο λειτουργικό φραγμό. Η λειτουργικότητα του φραγμού προσδιορίζεται βάσει του παρόντος κανονισμού μέσω ορίου ανίχνευσης 0,5 </w:t>
      </w:r>
      <w:r>
        <w:lastRenderedPageBreak/>
        <w:t>milligramm MOAH ανά κιλό τροφίμου για μεταφορά από το υλικό ή αντικείμενο που έρχεται σε επαφή με το τρόφιμο. Κατά την απόδειξη με χρήση προσομοιωτών τροφίμων ισχύει όριο ανίχνευσης 0,15 milligramm MOAH ανά κιλό προσομοιωτή τροφίμου. Ωστόσο, η υποχρέωση του κατασκευαστή του υλικού ή αντικειμένου που έρχεται σε επαφή με τρόφιμα ή εκείνου που το διαθέτει στην αγορά να εξοπλίσει τα υλικά ή τα αντικείμενα αυτά με λειτουργικό φραγμό δεν ισχύει εάν η επιχείρηση τροφίμων που χρησιμοποιεί το υλικό ή αντικείμενο που έρχεται σε επαφή με τρόφιμα δηλώνει πριν από την παράδοση στον κατασκευαστή ή εκείνον που το διαθέτει στην αγορά ότι αυτό δεν διαθέτει λειτουργικό φραγμό. Στην περίπτωση αυτή, η επιχείρηση τροφίμων πρέπει να λάβει η ίδια μέτρα με τα οποία θα διασφαλίζεται ότι δεν πραγματοποιείται μεταφορά MOAH στα τρόφιμα ή ότι ισχύουν ειδικές προϋποθέσεις, π.χ. αναφορικά με τη σύσταση του τροφίμου, οι οποίες αποτρέπουν τη μεταφορά MOAH στο τρόφιμο. Η υποχρέωση εξοπλισμού των υλικών ή αντικειμένων που έρχονται σε επαφή με τρόφιμα με λειτουργικό φραγμό δεν ισχύει επίσης εάν ο κατασκευαστής ή εκείνος που διαθέτει στην αγορά το υλικό ή αντικείμενο που έρχεται σε επαφή με τρόφιμα μπορεί να εγγυηθεί με άλλον τρόπο, πέραν της χρήσης λειτουργικού φραγμού, ότι παρεμποδίζεται η μεταφορά MOAH στο τρόφιμο. Αυτό μπορεί π.χ. να ισχύει σε περίπτωση που η περιεκτικότητα σε MOAH του χαρτιού ή του χαρτονιού είναι τόσο μικρή ώστε να μην πραγματοποιείται μεταφορά MOAH στο τρόφιμο που να υπερβαίνει το όριο ανίχνευσης.</w:t>
      </w:r>
    </w:p>
    <w:p w14:paraId="00831AD3" w14:textId="77777777" w:rsidR="006444D5" w:rsidRPr="00D43FA1" w:rsidRDefault="006444D5">
      <w:pPr>
        <w:pStyle w:val="berschriftrmischBegrndung"/>
      </w:pPr>
      <w:r>
        <w:t>Εναλλακτικές</w:t>
      </w:r>
    </w:p>
    <w:p w14:paraId="40A8C660" w14:textId="77777777" w:rsidR="00CB5E99" w:rsidRPr="00D43FA1" w:rsidRDefault="00E53816" w:rsidP="00CB5E99">
      <w:pPr>
        <w:pStyle w:val="Text"/>
      </w:pPr>
      <w:r>
        <w:t xml:space="preserve">Καμία. Προκειμένου να εξασφαλισθεί η προστασία της υγείας των καταναλωτών και η ενιαία εκτέλεση, απαιτούνται κατάλληλες νομικές απαιτήσεις και η υποχρεωτική χρήση ορίου ανίχνευσης των MOAH στα τρόφιμα. </w:t>
      </w:r>
    </w:p>
    <w:p w14:paraId="25CF33C9" w14:textId="77777777" w:rsidR="00F279DE" w:rsidRPr="00D43FA1" w:rsidRDefault="00F279DE">
      <w:pPr>
        <w:pStyle w:val="berschriftrmischBegrndung"/>
      </w:pPr>
      <w:r>
        <w:t>Νομοθετική αρμοδιότητα</w:t>
      </w:r>
    </w:p>
    <w:p w14:paraId="19025BF8" w14:textId="613F8FF1" w:rsidR="00F279DE" w:rsidRPr="00D43FA1" w:rsidRDefault="007525FC" w:rsidP="00F279DE">
      <w:pPr>
        <w:pStyle w:val="Text"/>
      </w:pPr>
      <w:r>
        <w:t>Το ομοσπονδιακό Υπουργείο Τροφίμων και Γεωργίας εξουσιοδοτείται μέσω του άρθρου 31 παράγραφος 2 εδάφιο 1 σημείο 2 LFGB, σε συνδυασμό με το άρθρο 4 παράγραφος 2 σημείο 2 και το άρθρο 46 παράγραφος 2 εδάφιο 1 στοιχείο α) LFGB, καθώς και το άρθρο 34 εδάφιο 1 σημείο 2, σε συνδυασμό με το άρθρο 4 παράγραφος 2 σημείο 2 LFGB να εκδώσει την παρούσα κανονιστική πράξη.</w:t>
      </w:r>
    </w:p>
    <w:p w14:paraId="0A8F0A8B" w14:textId="77777777" w:rsidR="00CD79FA" w:rsidRPr="00D43FA1" w:rsidRDefault="00CD79FA">
      <w:pPr>
        <w:pStyle w:val="berschriftrmischBegrndung"/>
      </w:pPr>
      <w:r>
        <w:t>Συμβατότητα με το δίκαιο της Ευρωπαϊκής Ένωσης και τις διεθνείς συνθήκες</w:t>
      </w:r>
    </w:p>
    <w:p w14:paraId="2C943AFB" w14:textId="0C4761B7" w:rsidR="00CD79FA" w:rsidRPr="00D43FA1" w:rsidRDefault="00CD79FA" w:rsidP="00CD79FA">
      <w:pPr>
        <w:pStyle w:val="Text"/>
      </w:pPr>
      <w:r>
        <w:t>Το δίκαιο της ΕΕ για τα υλικά ή αντικείμενα που έρχονται σε επαφή με τρόφιμα δεν έχει ακόμα εναρμονιστεί πλήρως. Για την ακρίβεια, ο κανονισμός (ΕΚ) αριθ. 1935/2004 προβλέπει γενικές απαιτήσεις. Ωστόσο, μέχρι στιγμής δεν υπάρχουν ειδικά μέτρα παρά μόνο για συγκεκριμένες ομάδες υλικών. Με το άρθρο 6 του κανονισμού 1935/2004 επιτρέπεται στα κράτη μέλη της ΕΕ να διατηρούν ή να θεσπίζουν εθνικές διατάξεις για εκείνες τις ομάδες υλικών και αντικειμένων, για τις οποίες δεν έχει ληφθεί μέχρι στιγμής ειδικό μέτρο σε επίπεδο ΕΕ. Τέτοιου είδους ειδικά μέτρα σε επίπεδο ΕΕ δεν ισχύουν για υλικά και αντικείμενα από χαρτί ή χαρτόνι που έρχονται σε επαφή με τρόφιμα – τόσο από πρωτογενείς ίνες όσο και από ίνες χαρτοπολτού. Από την άποψη αυτή υπάρχει συμβατότητα με το δίκαιο της ΕΕ. Οι διεθνείς συνθήκες δεν επηρεάζονται.</w:t>
      </w:r>
    </w:p>
    <w:p w14:paraId="4DA789C5" w14:textId="77777777" w:rsidR="006444D5" w:rsidRPr="00D43FA1" w:rsidRDefault="006444D5">
      <w:pPr>
        <w:pStyle w:val="berschriftrmischBegrndung"/>
      </w:pPr>
      <w:r>
        <w:t>Νομικές συνέπειες</w:t>
      </w:r>
    </w:p>
    <w:p w14:paraId="2F5D3B8F" w14:textId="77777777" w:rsidR="009809AB" w:rsidRPr="00D43FA1" w:rsidRDefault="009809AB">
      <w:pPr>
        <w:pStyle w:val="berschriftarabischBegrndung"/>
      </w:pPr>
      <w:r>
        <w:t>Νομοθετική και διοικητική απλούστευση</w:t>
      </w:r>
    </w:p>
    <w:p w14:paraId="26C2B37E" w14:textId="16E58B47" w:rsidR="009809AB" w:rsidRPr="00D43FA1" w:rsidRDefault="009809AB" w:rsidP="009809AB">
      <w:pPr>
        <w:pStyle w:val="Text"/>
      </w:pPr>
      <w:r>
        <w:t xml:space="preserve">Δεν προβλέπεται απλούστευση ή κατάργηση κανονιστικών ρυθμίσεων μέσω του παρόντος κανονισμού. Ωστόσο, απλοποιούνται οι απαιτήσεις που αφορούν την αποφυγή της μεταφοράς MOAH από υλικά και αντικείμενα από χαρτί ή χαρτόνι που έρχονται σε επαφή </w:t>
      </w:r>
      <w:r>
        <w:lastRenderedPageBreak/>
        <w:t xml:space="preserve">με τρόφιμα και περιέχουν ίνες χαρτοπολτού και, ως εκ τούτου, βελτιώνεται σημαντικά η ασφάλεια δικαίου τόσο για τις αρμόδιες αρχές των ομόσπονδων κρατιδίων όσο και για τον σχετικό κλάδο της οικονομίας. </w:t>
      </w:r>
    </w:p>
    <w:p w14:paraId="166CBABF" w14:textId="77777777" w:rsidR="006444D5" w:rsidRPr="00D43FA1" w:rsidRDefault="006444D5">
      <w:pPr>
        <w:pStyle w:val="berschriftarabischBegrndung"/>
      </w:pPr>
      <w:r>
        <w:t>Πτυχές βιωσιμότητας</w:t>
      </w:r>
    </w:p>
    <w:p w14:paraId="64450049" w14:textId="6C431023" w:rsidR="00612652" w:rsidRPr="00D43FA1" w:rsidRDefault="00B269E6">
      <w:pPr>
        <w:pStyle w:val="Text"/>
      </w:pPr>
      <w:r>
        <w:t xml:space="preserve">Έχει πραγματοποιηθεί εκτίμηση των επιπτώσεων στη βιωσιμότητα σύμφωνα με το άρθρο 44 παράγραφος 1 εδάφιο 4 του κοινού εσωτερικού κανονισμού των ομοσπονδιακών υπουργείων (GGO). Οι παρούσες κανονιστικές ρυθμίσεις είναι βιώσιμες στο πνεύμα της στρατηγικής της Γερμανίας για τη βιωσιμότητα. Ιδιαίτερα σημαντικός είναι ο διεθνής στόχος βιωσιμότητας αριθ. 3. «Εγγύηση μιας ζωής με υγεία για ανθρώπους κάθε ηλικίας και προώθηση της ευημερίας τους». Ακόμα λαμβάνεται υπόψη η αρχή της βιώσιμης ανάπτυξης αριθμός 3 β) «Αποφυγή κινδύνων και αδικαιολόγητων ρίσκων για την ανθρώπινη υγεία». Επίσης, επέρχεται συμβολή στον διεθνή στόχο αριθ. 12 «Διασφάλιση μεθόδων βιώσιμης κατανάλωσης και παραγωγής». Από την άποψη της βιωσιμότητας θα βελτιωθεί μελλοντικά η χρήση ανακυκλωμένων υλικών για υλικά και αντικείμενα από χαρτί ή χαρτόνι που έρχονται σε επαφή με τρόφιμα, εφόσον πληρούνται οι απαιτήσεις αναφορικά με την προστασία των καταναλωτών που συγκεκριμενοποιούνται στον παρόντα κανονισμό. Με τον κανονισμό διασφαλίζεται ότι οι καταναλωτές δεν θα επιβαρύνονται από συστατικά ορυκτελαίων που περιέχονται σε υλικά και αντικείμενα από χαρτί ή χαρτόνι που έρχονται σε επαφή με τρόφιμα και κατασκευάζονται με χρήση ινών χαρτοπολτού. Ο κανονισμός εξυπηρετεί την προστασία της υγείας των καταναλωτών συμβάλλοντας επομένως στη βιώσιμη ανάπτυξη. </w:t>
      </w:r>
    </w:p>
    <w:p w14:paraId="4628D4A0" w14:textId="77777777" w:rsidR="006444D5" w:rsidRPr="00D43FA1" w:rsidRDefault="006444D5">
      <w:pPr>
        <w:pStyle w:val="berschriftarabischBegrndung"/>
      </w:pPr>
      <w:r>
        <w:t>Δημοσιονομικές δαπάνες χωρίς κόστος συμμόρφωσης</w:t>
      </w:r>
    </w:p>
    <w:p w14:paraId="2771CB61" w14:textId="77777777" w:rsidR="003923C4" w:rsidRPr="00D43FA1" w:rsidRDefault="00CB5E99">
      <w:pPr>
        <w:pStyle w:val="Text"/>
      </w:pPr>
      <w:r>
        <w:t>Οι δημόσιοι προϋπολογισμοί δεν επιβαρύνονται από δημοσιονομικές δαπάνες χωρίς κόστος συμμόρφωσης.</w:t>
      </w:r>
    </w:p>
    <w:p w14:paraId="53940621" w14:textId="77777777" w:rsidR="006444D5" w:rsidRPr="00D43FA1" w:rsidRDefault="006444D5" w:rsidP="0070360F">
      <w:pPr>
        <w:pStyle w:val="berschriftarabischBegrndung"/>
        <w:keepLines/>
      </w:pPr>
      <w:r>
        <w:t>Κόστος συμμόρφωσης</w:t>
      </w:r>
    </w:p>
    <w:p w14:paraId="70BBFB2C" w14:textId="77777777" w:rsidR="00D25113" w:rsidRPr="00D43FA1" w:rsidRDefault="00D25113" w:rsidP="0070360F">
      <w:pPr>
        <w:pStyle w:val="Text"/>
        <w:keepNext/>
        <w:keepLines/>
        <w:rPr>
          <w:u w:val="single"/>
        </w:rPr>
      </w:pPr>
      <w:r>
        <w:rPr>
          <w:u w:val="single"/>
        </w:rPr>
        <w:t>α) Κόστος συμμόρφωσης για τη διοίκηση</w:t>
      </w:r>
    </w:p>
    <w:p w14:paraId="769FC95B" w14:textId="77777777" w:rsidR="00612652" w:rsidRPr="00D43FA1" w:rsidRDefault="00612652" w:rsidP="0070360F">
      <w:pPr>
        <w:pStyle w:val="Text"/>
        <w:keepNext/>
        <w:keepLines/>
      </w:pPr>
      <w:r>
        <w:t xml:space="preserve">Δεν προκύπτει πρόσθετο κόστος για τη διοίκηση του ομοσπονδιακού κράτους λόγω του κανονισμού. </w:t>
      </w:r>
    </w:p>
    <w:p w14:paraId="6AFCAA5B" w14:textId="77777777" w:rsidR="00AD0A9D" w:rsidRPr="00D43FA1" w:rsidRDefault="006A578D" w:rsidP="0070360F">
      <w:pPr>
        <w:pStyle w:val="Text"/>
        <w:keepNext/>
        <w:keepLines/>
      </w:pPr>
      <w:r>
        <w:t>Βάσει των στοιχείων που παρασχέθησαν από τα ομόσπονδα κρατίδια προκύπτει το ακόλουθο πρόσθετο κόστος συμμόρφωσης για τη διοίκηση των ομόσπονδων κρατιδίων εξαιτίας των πρόσθετων δραστηριοτήτων παρακολούθησης και ελέγχου που θα προκύψουν λόγω του κανονισμού:</w:t>
      </w:r>
    </w:p>
    <w:tbl>
      <w:tblPr>
        <w:tblStyle w:val="TableGrid"/>
        <w:tblW w:w="0" w:type="auto"/>
        <w:tblLook w:val="04A0" w:firstRow="1" w:lastRow="0" w:firstColumn="1" w:lastColumn="0" w:noHBand="0" w:noVBand="1"/>
      </w:tblPr>
      <w:tblGrid>
        <w:gridCol w:w="4394"/>
        <w:gridCol w:w="4385"/>
      </w:tblGrid>
      <w:tr w:rsidR="00AD0A9D" w:rsidRPr="00D43FA1" w14:paraId="6E6BEC6C" w14:textId="77777777" w:rsidTr="007905CF">
        <w:tc>
          <w:tcPr>
            <w:tcW w:w="4464" w:type="dxa"/>
          </w:tcPr>
          <w:p w14:paraId="7A206076" w14:textId="77777777" w:rsidR="00AD0A9D" w:rsidRPr="00D43FA1" w:rsidRDefault="00E77C05" w:rsidP="007905CF">
            <w:pPr>
              <w:pStyle w:val="Text"/>
            </w:pPr>
            <w:r>
              <w:t>Άπαξ δαπάνες υλικών</w:t>
            </w:r>
          </w:p>
        </w:tc>
        <w:tc>
          <w:tcPr>
            <w:tcW w:w="4465" w:type="dxa"/>
          </w:tcPr>
          <w:p w14:paraId="4721955D" w14:textId="77777777" w:rsidR="00AD0A9D" w:rsidRPr="00D43FA1" w:rsidRDefault="00AD0A9D" w:rsidP="009969BE">
            <w:pPr>
              <w:pStyle w:val="Text"/>
              <w:jc w:val="left"/>
            </w:pPr>
            <w:r>
              <w:t>περίπου 1 058 000 EUR</w:t>
            </w:r>
          </w:p>
        </w:tc>
      </w:tr>
      <w:tr w:rsidR="00AD0A9D" w:rsidRPr="00D43FA1" w14:paraId="7EA31554" w14:textId="77777777" w:rsidTr="007905CF">
        <w:tc>
          <w:tcPr>
            <w:tcW w:w="4464" w:type="dxa"/>
          </w:tcPr>
          <w:p w14:paraId="3D59CAB2" w14:textId="77777777" w:rsidR="00AD0A9D" w:rsidRPr="00D43FA1" w:rsidRDefault="00E77C05" w:rsidP="007905CF">
            <w:pPr>
              <w:pStyle w:val="Text"/>
            </w:pPr>
            <w:r>
              <w:t>Άπαξ δαπάνες προσωπικού</w:t>
            </w:r>
          </w:p>
        </w:tc>
        <w:tc>
          <w:tcPr>
            <w:tcW w:w="4465" w:type="dxa"/>
          </w:tcPr>
          <w:p w14:paraId="38C1D206" w14:textId="77777777" w:rsidR="00AD0A9D" w:rsidRPr="00D43FA1" w:rsidRDefault="00AD0A9D" w:rsidP="009969BE">
            <w:pPr>
              <w:pStyle w:val="Text"/>
              <w:jc w:val="left"/>
            </w:pPr>
            <w:r>
              <w:t>περίπου 123 000 EUR</w:t>
            </w:r>
          </w:p>
        </w:tc>
      </w:tr>
      <w:tr w:rsidR="00AD0A9D" w:rsidRPr="00D43FA1" w14:paraId="1F558430" w14:textId="77777777" w:rsidTr="007905CF">
        <w:tc>
          <w:tcPr>
            <w:tcW w:w="4464" w:type="dxa"/>
          </w:tcPr>
          <w:p w14:paraId="51763FF6" w14:textId="77777777" w:rsidR="00AD0A9D" w:rsidRPr="00D43FA1" w:rsidRDefault="00E77C05" w:rsidP="007905CF">
            <w:pPr>
              <w:pStyle w:val="Text"/>
            </w:pPr>
            <w:r>
              <w:t>Ετήσιες δαπάνες υλικών</w:t>
            </w:r>
          </w:p>
        </w:tc>
        <w:tc>
          <w:tcPr>
            <w:tcW w:w="4465" w:type="dxa"/>
          </w:tcPr>
          <w:p w14:paraId="4080915D" w14:textId="77777777" w:rsidR="00AD0A9D" w:rsidRPr="00D43FA1" w:rsidRDefault="00AD0A9D" w:rsidP="009969BE">
            <w:pPr>
              <w:pStyle w:val="Text"/>
              <w:jc w:val="left"/>
            </w:pPr>
            <w:r>
              <w:t>περίπου 80 000 EUR</w:t>
            </w:r>
          </w:p>
        </w:tc>
      </w:tr>
      <w:tr w:rsidR="00AD0A9D" w:rsidRPr="00D43FA1" w14:paraId="525A416D" w14:textId="77777777" w:rsidTr="007905CF">
        <w:tc>
          <w:tcPr>
            <w:tcW w:w="4464" w:type="dxa"/>
          </w:tcPr>
          <w:p w14:paraId="2EBCF264" w14:textId="77777777" w:rsidR="00AD0A9D" w:rsidRPr="00D43FA1" w:rsidRDefault="00E77C05" w:rsidP="007905CF">
            <w:pPr>
              <w:pStyle w:val="Text"/>
            </w:pPr>
            <w:r>
              <w:t>Ετήσιες δαπάνες προσωπικού</w:t>
            </w:r>
          </w:p>
        </w:tc>
        <w:tc>
          <w:tcPr>
            <w:tcW w:w="4465" w:type="dxa"/>
          </w:tcPr>
          <w:p w14:paraId="21ABAEB6" w14:textId="77777777" w:rsidR="00AD0A9D" w:rsidRPr="00D43FA1" w:rsidRDefault="00AD0A9D" w:rsidP="000636B3">
            <w:pPr>
              <w:pStyle w:val="Text"/>
              <w:jc w:val="left"/>
            </w:pPr>
            <w:r>
              <w:t>περίπου 292 000 EUR</w:t>
            </w:r>
          </w:p>
        </w:tc>
      </w:tr>
    </w:tbl>
    <w:p w14:paraId="6B8CCD1C" w14:textId="77777777" w:rsidR="00E6133B" w:rsidRPr="00D43FA1" w:rsidRDefault="00E6133B" w:rsidP="00612652">
      <w:pPr>
        <w:pStyle w:val="Text"/>
      </w:pPr>
      <w:r>
        <w:t xml:space="preserve">Ως εκ τούτου, προκύπτει μέσο άπαξ κόστος συμμόρφωσης της τάξεως των 236 200 ευρώ και μέσο ετήσιο κόστος συμμόρφωσης της τάξεως των 74 400 ευρώ. </w:t>
      </w:r>
    </w:p>
    <w:p w14:paraId="525979E7" w14:textId="108FCA64" w:rsidR="00891D8C" w:rsidRPr="007E01A6" w:rsidRDefault="007C7B00" w:rsidP="00E24BD3">
      <w:pPr>
        <w:pStyle w:val="Text"/>
      </w:pPr>
      <w:r>
        <w:t xml:space="preserve">Αυτό το κόστος προέρχεται από τα ακόλουθα σημεία βάσει των παρακάτω επιμέρους στοιχείων που απεστάλησαν από τα ομόσπονδα κρατίδια. Δεν ανέφεραν όλα τα ομόσπονδα κρατίδια συνέπειες όσον αφορά το κόστος που θα προκύψουν εξαιτίας του κανονισμού. Αυτό μπορεί να αιτιολογηθεί μεταξύ άλλων από το γεγονός ότι είτε δεν έχουν πραγματοποιηθεί σχετικές έρευνες είτε αυτές πραγματοποιούνται σε συνεργασία με άλλα ομόσπονδα κρατίδια. </w:t>
      </w:r>
    </w:p>
    <w:p w14:paraId="4DA66B7C" w14:textId="77777777" w:rsidR="007C7B00" w:rsidRPr="00D43FA1" w:rsidRDefault="007C7B00" w:rsidP="0070360F">
      <w:pPr>
        <w:pStyle w:val="Text"/>
        <w:keepNext/>
        <w:keepLines/>
        <w:tabs>
          <w:tab w:val="left" w:pos="0"/>
        </w:tabs>
        <w:spacing w:before="0" w:after="0"/>
        <w:rPr>
          <w:u w:val="single"/>
        </w:rPr>
      </w:pPr>
      <w:r>
        <w:rPr>
          <w:u w:val="single"/>
        </w:rPr>
        <w:lastRenderedPageBreak/>
        <w:t>Βάδη-Βυρτεμβέργη:</w:t>
      </w:r>
    </w:p>
    <w:p w14:paraId="0476425A" w14:textId="77777777" w:rsidR="009969BE" w:rsidRPr="00D43FA1" w:rsidRDefault="009969BE" w:rsidP="0070360F">
      <w:pPr>
        <w:pStyle w:val="Text"/>
        <w:keepNext/>
        <w:keepLines/>
        <w:tabs>
          <w:tab w:val="left" w:pos="0"/>
        </w:tabs>
        <w:spacing w:before="0" w:after="0"/>
      </w:pPr>
    </w:p>
    <w:tbl>
      <w:tblPr>
        <w:tblStyle w:val="TableGrid"/>
        <w:tblW w:w="0" w:type="auto"/>
        <w:tblLook w:val="04A0" w:firstRow="1" w:lastRow="0" w:firstColumn="1" w:lastColumn="0" w:noHBand="0" w:noVBand="1"/>
      </w:tblPr>
      <w:tblGrid>
        <w:gridCol w:w="4386"/>
        <w:gridCol w:w="4393"/>
      </w:tblGrid>
      <w:tr w:rsidR="009969BE" w:rsidRPr="00D43FA1" w14:paraId="3386D9CF" w14:textId="77777777" w:rsidTr="0070360F">
        <w:tc>
          <w:tcPr>
            <w:tcW w:w="4464" w:type="dxa"/>
          </w:tcPr>
          <w:p w14:paraId="47DC230D" w14:textId="0F7E0FFB" w:rsidR="009969BE" w:rsidRPr="00D43FA1" w:rsidRDefault="009969BE" w:rsidP="00E24BD3">
            <w:pPr>
              <w:pStyle w:val="Text"/>
              <w:tabs>
                <w:tab w:val="left" w:pos="0"/>
              </w:tabs>
            </w:pPr>
            <w:r>
              <w:t>Άπαξ δαπάνες υλικών:</w:t>
            </w:r>
          </w:p>
        </w:tc>
        <w:tc>
          <w:tcPr>
            <w:tcW w:w="4465" w:type="dxa"/>
          </w:tcPr>
          <w:p w14:paraId="633997F1" w14:textId="77777777" w:rsidR="009969BE" w:rsidRPr="00D43FA1" w:rsidRDefault="000636B3" w:rsidP="000636B3">
            <w:pPr>
              <w:pStyle w:val="Text"/>
            </w:pPr>
            <w:r>
              <w:t xml:space="preserve">220 000 EUR (αγορά εξοπλισμού) </w:t>
            </w:r>
          </w:p>
        </w:tc>
      </w:tr>
      <w:tr w:rsidR="009969BE" w:rsidRPr="00D43FA1" w14:paraId="0B1C7BA1" w14:textId="77777777" w:rsidTr="0070360F">
        <w:tc>
          <w:tcPr>
            <w:tcW w:w="4464" w:type="dxa"/>
          </w:tcPr>
          <w:p w14:paraId="575EAB32" w14:textId="77777777" w:rsidR="009969BE" w:rsidRPr="00D43FA1" w:rsidRDefault="009969BE" w:rsidP="000636B3">
            <w:pPr>
              <w:pStyle w:val="Text"/>
              <w:tabs>
                <w:tab w:val="left" w:pos="0"/>
              </w:tabs>
            </w:pPr>
            <w:r>
              <w:t xml:space="preserve">Άπαξ δαπάνες προσωπικού: </w:t>
            </w:r>
          </w:p>
        </w:tc>
        <w:tc>
          <w:tcPr>
            <w:tcW w:w="4465" w:type="dxa"/>
          </w:tcPr>
          <w:p w14:paraId="65DA8490" w14:textId="77777777" w:rsidR="009969BE" w:rsidRPr="00D43FA1" w:rsidRDefault="000636B3" w:rsidP="000636B3">
            <w:pPr>
              <w:pStyle w:val="Text"/>
              <w:tabs>
                <w:tab w:val="left" w:pos="0"/>
              </w:tabs>
              <w:jc w:val="left"/>
            </w:pPr>
            <w:r>
              <w:t>35 000 EUR (κατάρτιση τυποποιημένης μεθόδου ανάλυσης χωρίς υπολογισμό των τακτικών δειγμάτων)</w:t>
            </w:r>
          </w:p>
        </w:tc>
      </w:tr>
      <w:tr w:rsidR="009969BE" w:rsidRPr="00D43FA1" w14:paraId="55E9234D" w14:textId="77777777" w:rsidTr="0070360F">
        <w:tc>
          <w:tcPr>
            <w:tcW w:w="4464" w:type="dxa"/>
          </w:tcPr>
          <w:p w14:paraId="5EBF97DE" w14:textId="117BCA06" w:rsidR="009969BE" w:rsidRPr="00D43FA1" w:rsidRDefault="009969BE" w:rsidP="00E24BD3">
            <w:pPr>
              <w:pStyle w:val="Text"/>
              <w:tabs>
                <w:tab w:val="left" w:pos="0"/>
              </w:tabs>
            </w:pPr>
            <w:r>
              <w:t>Ετήσιες δαπάνες υλικών:</w:t>
            </w:r>
          </w:p>
        </w:tc>
        <w:tc>
          <w:tcPr>
            <w:tcW w:w="4465" w:type="dxa"/>
          </w:tcPr>
          <w:p w14:paraId="77320B51" w14:textId="77777777" w:rsidR="009969BE" w:rsidRPr="00D43FA1" w:rsidRDefault="009969BE" w:rsidP="000636B3">
            <w:pPr>
              <w:pStyle w:val="Text"/>
              <w:jc w:val="left"/>
            </w:pPr>
            <w:r>
              <w:t>περίπου 10 000 EUR (εκτίμηση) (συντήρηση εξοπλισμού, αναλώσιμα, επισκευές, κοκ.)</w:t>
            </w:r>
          </w:p>
        </w:tc>
      </w:tr>
      <w:tr w:rsidR="009969BE" w:rsidRPr="00D43FA1" w14:paraId="5B2A82B8" w14:textId="77777777" w:rsidTr="0070360F">
        <w:tc>
          <w:tcPr>
            <w:tcW w:w="4464" w:type="dxa"/>
          </w:tcPr>
          <w:p w14:paraId="6BFC2AFE" w14:textId="76CDD47F" w:rsidR="009969BE" w:rsidRPr="00D43FA1" w:rsidRDefault="009969BE" w:rsidP="00E24BD3">
            <w:pPr>
              <w:pStyle w:val="Text"/>
              <w:tabs>
                <w:tab w:val="left" w:pos="0"/>
              </w:tabs>
            </w:pPr>
            <w:r>
              <w:t>Ετήσιες δαπάνες προσωπικού:</w:t>
            </w:r>
          </w:p>
        </w:tc>
        <w:tc>
          <w:tcPr>
            <w:tcW w:w="4465" w:type="dxa"/>
          </w:tcPr>
          <w:p w14:paraId="440A534D" w14:textId="6BDB973C" w:rsidR="000636B3" w:rsidRPr="00D43FA1" w:rsidRDefault="000636B3" w:rsidP="00E24BD3">
            <w:pPr>
              <w:contextualSpacing/>
              <w:jc w:val="left"/>
            </w:pPr>
            <w:r>
              <w:t>περίπου 60 000 EUR (εκτιμώντας ότι θα χρησιμοποιηθεί κατά 50 % βοηθός χημικού εργαστηρίου και επικεφαλής εργαστηρίου· οι ετήσιες δαπάνες προσωπικού που όντως θα προκύψουν εξαρτώνται από τον πραγματικό αριθμό δειγμάτων και την πραγματική επιβάρυνση για τον έλεγχο των εγγράφων).</w:t>
            </w:r>
          </w:p>
        </w:tc>
      </w:tr>
    </w:tbl>
    <w:p w14:paraId="08E5AD35" w14:textId="2F20F6E7" w:rsidR="007C7B00" w:rsidRPr="00D43FA1" w:rsidRDefault="007C7B00" w:rsidP="009969BE">
      <w:pPr>
        <w:pStyle w:val="Text"/>
        <w:spacing w:before="0" w:after="0"/>
      </w:pPr>
    </w:p>
    <w:p w14:paraId="37B8C963" w14:textId="77777777" w:rsidR="00D43FA1" w:rsidRDefault="007C7B00" w:rsidP="00BE6637">
      <w:pPr>
        <w:pStyle w:val="ListParagraph"/>
        <w:ind w:left="0"/>
        <w:contextualSpacing/>
        <w:rPr>
          <w:rFonts w:ascii="Arial" w:hAnsi="Arial" w:cs="Arial"/>
          <w:sz w:val="22"/>
          <w:szCs w:val="22"/>
        </w:rPr>
      </w:pPr>
      <w:r>
        <w:rPr>
          <w:rFonts w:ascii="Arial" w:hAnsi="Arial"/>
          <w:sz w:val="22"/>
          <w:szCs w:val="22"/>
        </w:rPr>
        <w:t xml:space="preserve">Το προαναφερθέν κόστος περιλαμβάνει την επιβάρυνση για την ανάλυση και για μέρος μόνο του ελέγχου των εγγράφων από το ερευνητικό ίδρυμα, διότι στον τομέα της κατασκευής και διάθεσης στην αγορά υλικών και αντικειμένων που έρχονται σε επαφή με τρόφιμα δεν ισχύει υποχρέωση καταχώρισης των επιχειρήσεων και συνεπώς δεν υπάρχουν πλήρη στοιχεία σχετικά με τον αριθμό των κατασκευαστών και όσων διαθέτουν στην αγορά υλικά και αντικείμενα που έρχονται σε επαφή με τρόφιμα, τα οποία περιλαμβάνονται στον κανονισμό. </w:t>
      </w:r>
    </w:p>
    <w:p w14:paraId="2817F13E" w14:textId="50A3D1E9" w:rsidR="00BE6637" w:rsidRPr="00D43FA1" w:rsidRDefault="00BE6637" w:rsidP="00BE6637">
      <w:pPr>
        <w:pStyle w:val="ListParagraph"/>
        <w:ind w:left="0"/>
        <w:contextualSpacing/>
        <w:rPr>
          <w:rFonts w:ascii="Arial" w:hAnsi="Arial" w:cs="Arial"/>
          <w:sz w:val="22"/>
          <w:szCs w:val="22"/>
        </w:rPr>
      </w:pPr>
    </w:p>
    <w:p w14:paraId="151285E1" w14:textId="733E5B75" w:rsidR="007C7B00" w:rsidRPr="00D43FA1" w:rsidRDefault="007C7B00" w:rsidP="0070360F">
      <w:pPr>
        <w:pStyle w:val="Text"/>
        <w:keepNext/>
        <w:keepLines/>
        <w:spacing w:before="0" w:after="0"/>
        <w:rPr>
          <w:u w:val="single"/>
        </w:rPr>
      </w:pPr>
      <w:r>
        <w:rPr>
          <w:u w:val="single"/>
        </w:rPr>
        <w:t>Βαυαρία:</w:t>
      </w:r>
    </w:p>
    <w:p w14:paraId="02A6CCC7"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95"/>
        <w:gridCol w:w="4384"/>
      </w:tblGrid>
      <w:tr w:rsidR="00C27F02" w:rsidRPr="00D43FA1" w14:paraId="34B0347D" w14:textId="77777777" w:rsidTr="00C27F02">
        <w:tc>
          <w:tcPr>
            <w:tcW w:w="4464" w:type="dxa"/>
          </w:tcPr>
          <w:p w14:paraId="540A9F12" w14:textId="26DBDA32" w:rsidR="00C27F02" w:rsidRPr="00D43FA1" w:rsidRDefault="00C27F02" w:rsidP="00E24BD3">
            <w:pPr>
              <w:pStyle w:val="Text"/>
              <w:rPr>
                <w:u w:val="single"/>
              </w:rPr>
            </w:pPr>
            <w:r>
              <w:rPr>
                <w:color w:val="000000"/>
              </w:rPr>
              <w:t>Άπαξ δαπάνες υλικών:</w:t>
            </w:r>
          </w:p>
        </w:tc>
        <w:tc>
          <w:tcPr>
            <w:tcW w:w="4465" w:type="dxa"/>
          </w:tcPr>
          <w:p w14:paraId="368558E6" w14:textId="77777777" w:rsidR="000636B3" w:rsidRPr="00D43FA1" w:rsidRDefault="000636B3" w:rsidP="000636B3">
            <w:pPr>
              <w:pStyle w:val="Text"/>
              <w:rPr>
                <w:color w:val="000000"/>
              </w:rPr>
            </w:pPr>
            <w:r>
              <w:rPr>
                <w:color w:val="000000"/>
              </w:rPr>
              <w:t xml:space="preserve">περίπου 200 000 EUR </w:t>
            </w:r>
          </w:p>
        </w:tc>
      </w:tr>
      <w:tr w:rsidR="00C27F02" w:rsidRPr="00D43FA1" w14:paraId="39092A00" w14:textId="77777777" w:rsidTr="00C27F02">
        <w:tc>
          <w:tcPr>
            <w:tcW w:w="4464" w:type="dxa"/>
          </w:tcPr>
          <w:p w14:paraId="66DA7D71" w14:textId="368D4C6E" w:rsidR="00C27F02" w:rsidRPr="00D43FA1" w:rsidRDefault="00C27F02" w:rsidP="00E24BD3">
            <w:pPr>
              <w:pStyle w:val="Text"/>
              <w:rPr>
                <w:u w:val="single"/>
              </w:rPr>
            </w:pPr>
            <w:r>
              <w:rPr>
                <w:color w:val="000000"/>
              </w:rPr>
              <w:t>Ετήσιες δαπάνες προσωπικού:</w:t>
            </w:r>
          </w:p>
        </w:tc>
        <w:tc>
          <w:tcPr>
            <w:tcW w:w="4465" w:type="dxa"/>
          </w:tcPr>
          <w:p w14:paraId="670B56AD" w14:textId="77777777" w:rsidR="000636B3" w:rsidRPr="00D43FA1" w:rsidRDefault="000636B3" w:rsidP="000636B3">
            <w:pPr>
              <w:pStyle w:val="Text"/>
              <w:rPr>
                <w:color w:val="000000"/>
              </w:rPr>
            </w:pPr>
            <w:r>
              <w:rPr>
                <w:color w:val="000000"/>
              </w:rPr>
              <w:t xml:space="preserve">περίπου 72 000 EUR </w:t>
            </w:r>
          </w:p>
        </w:tc>
      </w:tr>
      <w:tr w:rsidR="00C27F02" w:rsidRPr="00D43FA1" w14:paraId="0687D805" w14:textId="77777777" w:rsidTr="00C27F02">
        <w:tc>
          <w:tcPr>
            <w:tcW w:w="4464" w:type="dxa"/>
          </w:tcPr>
          <w:p w14:paraId="2F9D2535" w14:textId="77777777" w:rsidR="00C27F02" w:rsidRPr="00D43FA1" w:rsidRDefault="00C27F02" w:rsidP="000636B3">
            <w:pPr>
              <w:pStyle w:val="Text"/>
              <w:rPr>
                <w:u w:val="single"/>
              </w:rPr>
            </w:pPr>
            <w:r>
              <w:rPr>
                <w:color w:val="000000"/>
              </w:rPr>
              <w:t xml:space="preserve">Ετήσιες δαπάνες υλικών: </w:t>
            </w:r>
          </w:p>
        </w:tc>
        <w:tc>
          <w:tcPr>
            <w:tcW w:w="4465" w:type="dxa"/>
          </w:tcPr>
          <w:p w14:paraId="3AA9289D" w14:textId="77777777" w:rsidR="000636B3" w:rsidRPr="00D43FA1" w:rsidRDefault="000636B3" w:rsidP="000636B3">
            <w:pPr>
              <w:pStyle w:val="Text"/>
              <w:rPr>
                <w:color w:val="000000"/>
              </w:rPr>
            </w:pPr>
            <w:r>
              <w:rPr>
                <w:color w:val="000000"/>
              </w:rPr>
              <w:t xml:space="preserve">περίπου 10 000 EUR </w:t>
            </w:r>
          </w:p>
        </w:tc>
      </w:tr>
    </w:tbl>
    <w:p w14:paraId="2476E826" w14:textId="77777777" w:rsidR="00C27F02" w:rsidRPr="00D43FA1" w:rsidRDefault="00C27F02" w:rsidP="001D09DD">
      <w:pPr>
        <w:pStyle w:val="Text"/>
        <w:spacing w:before="0" w:after="0"/>
        <w:rPr>
          <w:u w:val="single"/>
        </w:rPr>
      </w:pPr>
    </w:p>
    <w:p w14:paraId="00B4B35B" w14:textId="77777777" w:rsidR="00042625" w:rsidRPr="00D43FA1" w:rsidRDefault="00042625" w:rsidP="0070360F">
      <w:pPr>
        <w:pStyle w:val="Text"/>
        <w:keepNext/>
        <w:keepLines/>
        <w:spacing w:before="0" w:after="0"/>
        <w:rPr>
          <w:u w:val="single"/>
        </w:rPr>
      </w:pPr>
      <w:r>
        <w:rPr>
          <w:u w:val="single"/>
        </w:rPr>
        <w:t>Κάτω Σαξονία:</w:t>
      </w:r>
    </w:p>
    <w:p w14:paraId="2F514A5B" w14:textId="77777777" w:rsidR="00042625" w:rsidRPr="00D43FA1" w:rsidRDefault="00042625"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4"/>
        <w:gridCol w:w="4395"/>
      </w:tblGrid>
      <w:tr w:rsidR="0092712D" w:rsidRPr="00D43FA1" w14:paraId="4A665A3C" w14:textId="77777777" w:rsidTr="0092712D">
        <w:tc>
          <w:tcPr>
            <w:tcW w:w="4464" w:type="dxa"/>
          </w:tcPr>
          <w:p w14:paraId="5C9E438C" w14:textId="77777777" w:rsidR="0092712D" w:rsidRPr="00D43FA1" w:rsidRDefault="0092712D" w:rsidP="001D09DD">
            <w:pPr>
              <w:pStyle w:val="Text"/>
              <w:spacing w:before="0" w:after="0"/>
              <w:rPr>
                <w:u w:val="single"/>
              </w:rPr>
            </w:pPr>
            <w:r>
              <w:t>Άπαξ δαπάνες υλικών: </w:t>
            </w:r>
          </w:p>
        </w:tc>
        <w:tc>
          <w:tcPr>
            <w:tcW w:w="4465" w:type="dxa"/>
          </w:tcPr>
          <w:p w14:paraId="3E9249EF" w14:textId="7A6FADAD" w:rsidR="0092712D" w:rsidRPr="00D43FA1" w:rsidRDefault="0092712D" w:rsidP="00CB2B7C">
            <w:pPr>
              <w:spacing w:before="0" w:after="0"/>
              <w:jc w:val="left"/>
            </w:pPr>
            <w:r>
              <w:t>170 000 EUR (κόστος εξοπλισμού για σύζευξη HPLC-GC)</w:t>
            </w:r>
          </w:p>
          <w:p w14:paraId="0D2B1F8F" w14:textId="77777777" w:rsidR="0092712D" w:rsidRPr="00D43FA1" w:rsidRDefault="0092712D" w:rsidP="00CB2B7C">
            <w:pPr>
              <w:pStyle w:val="Text"/>
              <w:spacing w:before="0" w:after="0"/>
              <w:jc w:val="left"/>
              <w:rPr>
                <w:u w:val="single"/>
              </w:rPr>
            </w:pPr>
          </w:p>
        </w:tc>
      </w:tr>
      <w:tr w:rsidR="0092712D" w:rsidRPr="00D43FA1" w14:paraId="69EEBE27" w14:textId="77777777" w:rsidTr="0092712D">
        <w:tc>
          <w:tcPr>
            <w:tcW w:w="4464" w:type="dxa"/>
          </w:tcPr>
          <w:p w14:paraId="53A08CDB" w14:textId="72CBA0D6" w:rsidR="0092712D" w:rsidRPr="00D43FA1" w:rsidRDefault="0092712D" w:rsidP="00E24BD3">
            <w:pPr>
              <w:pStyle w:val="Text"/>
              <w:spacing w:before="0" w:after="0"/>
              <w:rPr>
                <w:u w:val="single"/>
              </w:rPr>
            </w:pPr>
            <w:r>
              <w:t>Ετήσιες δαπάνες:</w:t>
            </w:r>
          </w:p>
        </w:tc>
        <w:tc>
          <w:tcPr>
            <w:tcW w:w="4465" w:type="dxa"/>
          </w:tcPr>
          <w:p w14:paraId="51489E53" w14:textId="640CCC19" w:rsidR="0092712D" w:rsidRPr="00D43FA1" w:rsidRDefault="0092712D" w:rsidP="00CB2B7C">
            <w:pPr>
              <w:pStyle w:val="Text"/>
              <w:spacing w:before="0" w:after="0"/>
              <w:jc w:val="left"/>
              <w:rPr>
                <w:u w:val="single"/>
              </w:rPr>
            </w:pPr>
            <w:r>
              <w:t>52 000 EUR (προκύπτει από 200 δείγματα που προορίζονται προς εξέταση και 40 ελέγχους εγγράφων ετησίως</w:t>
            </w:r>
            <w:r>
              <w:rPr>
                <w:rFonts w:ascii="Calibri" w:hAnsi="Calibri"/>
              </w:rPr>
              <w:t>)</w:t>
            </w:r>
          </w:p>
        </w:tc>
      </w:tr>
    </w:tbl>
    <w:p w14:paraId="0701BC82" w14:textId="44B2969E" w:rsidR="00042625" w:rsidRPr="00D43FA1" w:rsidRDefault="00042625" w:rsidP="00891D8C">
      <w:pPr>
        <w:spacing w:before="0" w:after="0"/>
        <w:rPr>
          <w:rFonts w:ascii="Calibri" w:hAnsi="Calibri"/>
        </w:rPr>
      </w:pPr>
    </w:p>
    <w:p w14:paraId="68A96EA3" w14:textId="77777777" w:rsidR="007C7B00" w:rsidRPr="00D43FA1" w:rsidRDefault="007C7B00" w:rsidP="0070360F">
      <w:pPr>
        <w:pStyle w:val="Text"/>
        <w:keepNext/>
        <w:keepLines/>
        <w:spacing w:before="0" w:after="0"/>
        <w:rPr>
          <w:u w:val="single"/>
        </w:rPr>
      </w:pPr>
      <w:r>
        <w:rPr>
          <w:u w:val="single"/>
        </w:rPr>
        <w:t>Σλέσβιγκ-Χόλσταϊν:</w:t>
      </w:r>
    </w:p>
    <w:p w14:paraId="470651E2"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7"/>
        <w:gridCol w:w="4392"/>
      </w:tblGrid>
      <w:tr w:rsidR="0092712D" w:rsidRPr="00D43FA1" w14:paraId="2868753F" w14:textId="77777777" w:rsidTr="00CB2B7C">
        <w:tc>
          <w:tcPr>
            <w:tcW w:w="4464" w:type="dxa"/>
          </w:tcPr>
          <w:p w14:paraId="58802FCE" w14:textId="584D20E4" w:rsidR="0092712D" w:rsidRPr="00D43FA1" w:rsidRDefault="0092712D" w:rsidP="00E24BD3">
            <w:pPr>
              <w:pStyle w:val="Text"/>
              <w:rPr>
                <w:u w:val="single"/>
              </w:rPr>
            </w:pPr>
            <w:r>
              <w:rPr>
                <w:color w:val="000000"/>
              </w:rPr>
              <w:t>Άπαξ δαπάνες υλικών:</w:t>
            </w:r>
          </w:p>
        </w:tc>
        <w:tc>
          <w:tcPr>
            <w:tcW w:w="4465" w:type="dxa"/>
          </w:tcPr>
          <w:p w14:paraId="48B6D078" w14:textId="77777777" w:rsidR="0092712D" w:rsidRPr="00D43FA1" w:rsidRDefault="0092712D" w:rsidP="00CB2B7C">
            <w:pPr>
              <w:pStyle w:val="Text"/>
              <w:jc w:val="left"/>
              <w:rPr>
                <w:color w:val="000000"/>
              </w:rPr>
            </w:pPr>
            <w:r>
              <w:rPr>
                <w:color w:val="000000"/>
              </w:rPr>
              <w:t>238 000 EUR (κόστος εξοπλισμού για σύζευξη LC-GC· ο εξοπλισμός αποκτήθηκε τον Μάρτιο/Απρίλιο 2017)</w:t>
            </w:r>
          </w:p>
        </w:tc>
      </w:tr>
      <w:tr w:rsidR="0092712D" w:rsidRPr="00D43FA1" w14:paraId="35D9098E" w14:textId="77777777" w:rsidTr="00CB2B7C">
        <w:tc>
          <w:tcPr>
            <w:tcW w:w="4464" w:type="dxa"/>
          </w:tcPr>
          <w:p w14:paraId="4A66A9B5" w14:textId="1366BFA4" w:rsidR="0092712D" w:rsidRPr="00D43FA1" w:rsidRDefault="0092712D" w:rsidP="00E24BD3">
            <w:pPr>
              <w:pStyle w:val="Text"/>
              <w:rPr>
                <w:u w:val="single"/>
              </w:rPr>
            </w:pPr>
            <w:r>
              <w:rPr>
                <w:color w:val="000000"/>
              </w:rPr>
              <w:t xml:space="preserve">Άπαξ δαπάνες προσωπικού: </w:t>
            </w:r>
          </w:p>
        </w:tc>
        <w:tc>
          <w:tcPr>
            <w:tcW w:w="4465" w:type="dxa"/>
          </w:tcPr>
          <w:p w14:paraId="5F896AF4" w14:textId="77777777" w:rsidR="0092712D" w:rsidRPr="00D43FA1" w:rsidRDefault="0092712D" w:rsidP="0092712D">
            <w:pPr>
              <w:pStyle w:val="Text"/>
              <w:rPr>
                <w:color w:val="000000"/>
              </w:rPr>
            </w:pPr>
            <w:r>
              <w:rPr>
                <w:color w:val="000000"/>
              </w:rPr>
              <w:t>5 000 EUR (επιμόρφωση)</w:t>
            </w:r>
          </w:p>
        </w:tc>
      </w:tr>
      <w:tr w:rsidR="0092712D" w:rsidRPr="00D43FA1" w14:paraId="3E394749" w14:textId="77777777" w:rsidTr="00CB2B7C">
        <w:tc>
          <w:tcPr>
            <w:tcW w:w="4464" w:type="dxa"/>
          </w:tcPr>
          <w:p w14:paraId="62504A2D" w14:textId="77777777" w:rsidR="0092712D" w:rsidRPr="00D43FA1" w:rsidRDefault="0092712D" w:rsidP="0092712D">
            <w:pPr>
              <w:pStyle w:val="Text"/>
              <w:rPr>
                <w:u w:val="single"/>
              </w:rPr>
            </w:pPr>
            <w:r>
              <w:rPr>
                <w:color w:val="000000"/>
              </w:rPr>
              <w:lastRenderedPageBreak/>
              <w:t xml:space="preserve">Ετήσιες δαπάνες προσωπικού: </w:t>
            </w:r>
          </w:p>
        </w:tc>
        <w:tc>
          <w:tcPr>
            <w:tcW w:w="4465" w:type="dxa"/>
          </w:tcPr>
          <w:p w14:paraId="3D3A8607" w14:textId="77777777" w:rsidR="0092712D" w:rsidRPr="00D43FA1" w:rsidRDefault="00234C16" w:rsidP="00CB2B7C">
            <w:pPr>
              <w:pStyle w:val="Text"/>
              <w:tabs>
                <w:tab w:val="left" w:pos="2694"/>
              </w:tabs>
              <w:spacing w:after="0"/>
              <w:jc w:val="left"/>
              <w:rPr>
                <w:color w:val="000000"/>
              </w:rPr>
            </w:pPr>
            <w:r>
              <w:rPr>
                <w:color w:val="000000"/>
              </w:rPr>
              <w:t>περίπου 70 000 EUR (0,5 θέσεις επιστημονικού προσωπικού E14</w:t>
            </w:r>
          </w:p>
          <w:p w14:paraId="093480AE" w14:textId="77777777" w:rsidR="0092712D" w:rsidRPr="00D43FA1" w:rsidRDefault="0092712D" w:rsidP="0092712D">
            <w:pPr>
              <w:pStyle w:val="Text"/>
              <w:tabs>
                <w:tab w:val="left" w:pos="2694"/>
              </w:tabs>
              <w:spacing w:before="0"/>
              <w:rPr>
                <w:color w:val="000000"/>
              </w:rPr>
            </w:pPr>
            <w:r>
              <w:rPr>
                <w:color w:val="000000"/>
              </w:rPr>
              <w:t>1 θέση τεχνικού προσωπικού E9)</w:t>
            </w:r>
          </w:p>
        </w:tc>
      </w:tr>
    </w:tbl>
    <w:p w14:paraId="36709E93" w14:textId="1D323CAC" w:rsidR="007C7B00" w:rsidRPr="00D43FA1" w:rsidRDefault="007C7B00" w:rsidP="0092712D">
      <w:pPr>
        <w:pStyle w:val="Text"/>
        <w:tabs>
          <w:tab w:val="left" w:pos="2694"/>
        </w:tabs>
        <w:spacing w:before="0" w:after="0"/>
        <w:rPr>
          <w:color w:val="000000"/>
        </w:rPr>
      </w:pPr>
    </w:p>
    <w:p w14:paraId="19804C30" w14:textId="77777777" w:rsidR="00F063FD" w:rsidRPr="00D43FA1" w:rsidRDefault="00042625" w:rsidP="0070360F">
      <w:pPr>
        <w:pStyle w:val="Text"/>
        <w:keepNext/>
        <w:keepLines/>
        <w:tabs>
          <w:tab w:val="left" w:pos="0"/>
        </w:tabs>
        <w:spacing w:before="0" w:after="0"/>
        <w:rPr>
          <w:color w:val="000000"/>
          <w:u w:val="single"/>
        </w:rPr>
      </w:pPr>
      <w:r>
        <w:rPr>
          <w:color w:val="000000"/>
          <w:u w:val="single"/>
        </w:rPr>
        <w:t>Σαξονία:</w:t>
      </w:r>
    </w:p>
    <w:p w14:paraId="69F79EA8" w14:textId="77777777" w:rsidR="00891D8C" w:rsidRPr="00D43FA1" w:rsidRDefault="00891D8C" w:rsidP="0070360F">
      <w:pPr>
        <w:pStyle w:val="Text"/>
        <w:keepNext/>
        <w:keepLines/>
        <w:tabs>
          <w:tab w:val="left" w:pos="0"/>
        </w:tabs>
        <w:spacing w:before="0" w:after="0"/>
        <w:rPr>
          <w:color w:val="000000"/>
          <w:u w:val="single"/>
        </w:rPr>
      </w:pPr>
    </w:p>
    <w:tbl>
      <w:tblPr>
        <w:tblStyle w:val="TableGrid"/>
        <w:tblW w:w="0" w:type="auto"/>
        <w:tblLook w:val="04A0" w:firstRow="1" w:lastRow="0" w:firstColumn="1" w:lastColumn="0" w:noHBand="0" w:noVBand="1"/>
      </w:tblPr>
      <w:tblGrid>
        <w:gridCol w:w="4388"/>
        <w:gridCol w:w="4391"/>
      </w:tblGrid>
      <w:tr w:rsidR="00891D8C" w:rsidRPr="00D43FA1" w14:paraId="01F0B13B" w14:textId="77777777" w:rsidTr="00891D8C">
        <w:tc>
          <w:tcPr>
            <w:tcW w:w="4464" w:type="dxa"/>
          </w:tcPr>
          <w:p w14:paraId="5B8E8F56" w14:textId="27013CAF" w:rsidR="00891D8C" w:rsidRPr="00D43FA1" w:rsidRDefault="00891D8C" w:rsidP="00E24BD3">
            <w:pPr>
              <w:pStyle w:val="Text"/>
              <w:tabs>
                <w:tab w:val="left" w:pos="0"/>
              </w:tabs>
              <w:rPr>
                <w:color w:val="000000"/>
                <w:u w:val="single"/>
              </w:rPr>
            </w:pPr>
            <w:r>
              <w:t>Άπαξ δαπάνες υλικών:</w:t>
            </w:r>
          </w:p>
        </w:tc>
        <w:tc>
          <w:tcPr>
            <w:tcW w:w="4465" w:type="dxa"/>
          </w:tcPr>
          <w:p w14:paraId="071DBD33" w14:textId="77777777" w:rsidR="00891D8C" w:rsidRPr="00D43FA1" w:rsidRDefault="00891D8C" w:rsidP="00CB2B7C">
            <w:pPr>
              <w:pStyle w:val="Text"/>
              <w:tabs>
                <w:tab w:val="left" w:pos="0"/>
              </w:tabs>
              <w:jc w:val="left"/>
            </w:pPr>
            <w:r>
              <w:t>230 000 EUR (αγορά εξοπλισμού)</w:t>
            </w:r>
          </w:p>
          <w:p w14:paraId="1AEFF0AC" w14:textId="77777777" w:rsidR="00891D8C" w:rsidRPr="00D43FA1" w:rsidRDefault="00891D8C" w:rsidP="00CB2B7C">
            <w:pPr>
              <w:pStyle w:val="Text"/>
              <w:tabs>
                <w:tab w:val="left" w:pos="0"/>
              </w:tabs>
              <w:jc w:val="left"/>
              <w:rPr>
                <w:color w:val="000000"/>
                <w:u w:val="single"/>
              </w:rPr>
            </w:pPr>
          </w:p>
        </w:tc>
      </w:tr>
      <w:tr w:rsidR="00891D8C" w:rsidRPr="00D43FA1" w14:paraId="5A54C1C3" w14:textId="77777777" w:rsidTr="00891D8C">
        <w:tc>
          <w:tcPr>
            <w:tcW w:w="4464" w:type="dxa"/>
          </w:tcPr>
          <w:p w14:paraId="09CBE780" w14:textId="77777777" w:rsidR="00891D8C" w:rsidRPr="00D43FA1" w:rsidRDefault="00891D8C" w:rsidP="00891D8C">
            <w:pPr>
              <w:pStyle w:val="Text"/>
              <w:tabs>
                <w:tab w:val="left" w:pos="0"/>
              </w:tabs>
              <w:rPr>
                <w:color w:val="000000"/>
                <w:u w:val="single"/>
              </w:rPr>
            </w:pPr>
            <w:r>
              <w:t>Άπαξ δαπάνες προσωπικού:</w:t>
            </w:r>
          </w:p>
        </w:tc>
        <w:tc>
          <w:tcPr>
            <w:tcW w:w="4465" w:type="dxa"/>
          </w:tcPr>
          <w:p w14:paraId="6E7CBC6B" w14:textId="77777777" w:rsidR="00891D8C" w:rsidRPr="00D43FA1" w:rsidRDefault="00891D8C" w:rsidP="00CB2B7C">
            <w:pPr>
              <w:pStyle w:val="Text"/>
              <w:jc w:val="left"/>
              <w:rPr>
                <w:color w:val="000000"/>
                <w:u w:val="single"/>
              </w:rPr>
            </w:pPr>
            <w:r>
              <w:t>83 000 EUR (0,5 ΙΠΑ μισθολογικού κλιμακίου Ü13 και 1,0 ΙΠΑ μισθολογικού κλιμακίου 6 στη φάση της προσαρμογής στον σχετικό εξοπλισμό ανάλυσης και εφαρμογής της μεθόδου)</w:t>
            </w:r>
          </w:p>
          <w:p w14:paraId="42553811" w14:textId="77777777" w:rsidR="00891D8C" w:rsidRPr="00D43FA1" w:rsidRDefault="00891D8C" w:rsidP="00CB2B7C">
            <w:pPr>
              <w:pStyle w:val="Text"/>
              <w:tabs>
                <w:tab w:val="left" w:pos="0"/>
              </w:tabs>
              <w:jc w:val="left"/>
              <w:rPr>
                <w:color w:val="000000"/>
                <w:u w:val="single"/>
              </w:rPr>
            </w:pPr>
          </w:p>
        </w:tc>
      </w:tr>
      <w:tr w:rsidR="00891D8C" w:rsidRPr="00D43FA1" w14:paraId="407BBBD1" w14:textId="77777777" w:rsidTr="00891D8C">
        <w:tc>
          <w:tcPr>
            <w:tcW w:w="4464" w:type="dxa"/>
          </w:tcPr>
          <w:p w14:paraId="009A2AAA" w14:textId="77777777" w:rsidR="00891D8C" w:rsidRPr="00D43FA1" w:rsidRDefault="00891D8C" w:rsidP="00891D8C">
            <w:pPr>
              <w:pStyle w:val="Text"/>
              <w:tabs>
                <w:tab w:val="left" w:pos="0"/>
              </w:tabs>
              <w:rPr>
                <w:color w:val="000000"/>
                <w:u w:val="single"/>
              </w:rPr>
            </w:pPr>
            <w:r>
              <w:t xml:space="preserve">Ετήσιες δαπάνες υλικών: </w:t>
            </w:r>
          </w:p>
        </w:tc>
        <w:tc>
          <w:tcPr>
            <w:tcW w:w="4465" w:type="dxa"/>
          </w:tcPr>
          <w:p w14:paraId="3563608C" w14:textId="77777777" w:rsidR="00891D8C" w:rsidRPr="00D43FA1" w:rsidRDefault="00891D8C" w:rsidP="00CB2B7C">
            <w:pPr>
              <w:pStyle w:val="Text"/>
              <w:tabs>
                <w:tab w:val="left" w:pos="0"/>
              </w:tabs>
              <w:jc w:val="left"/>
              <w:rPr>
                <w:color w:val="000000"/>
                <w:u w:val="single"/>
              </w:rPr>
            </w:pPr>
            <w:r>
              <w:t>περίπου 6 000 έως 8 000 EUR (συντήρηση εξοπλισμού, αναλώσιμα, επισκευές)</w:t>
            </w:r>
          </w:p>
        </w:tc>
      </w:tr>
      <w:tr w:rsidR="00891D8C" w:rsidRPr="00D43FA1" w14:paraId="32B3A7A2" w14:textId="77777777" w:rsidTr="00891D8C">
        <w:tc>
          <w:tcPr>
            <w:tcW w:w="4464" w:type="dxa"/>
          </w:tcPr>
          <w:p w14:paraId="65E127E0" w14:textId="77777777" w:rsidR="00891D8C" w:rsidRPr="00D43FA1" w:rsidRDefault="00891D8C" w:rsidP="00891D8C">
            <w:pPr>
              <w:pStyle w:val="Text"/>
              <w:tabs>
                <w:tab w:val="left" w:pos="0"/>
              </w:tabs>
              <w:rPr>
                <w:color w:val="000000"/>
                <w:u w:val="single"/>
              </w:rPr>
            </w:pPr>
            <w:r>
              <w:t xml:space="preserve">Ετήσιες δαπάνες προσωπικού: </w:t>
            </w:r>
          </w:p>
        </w:tc>
        <w:tc>
          <w:tcPr>
            <w:tcW w:w="4465" w:type="dxa"/>
          </w:tcPr>
          <w:p w14:paraId="09C3AC3F" w14:textId="77777777" w:rsidR="00891D8C" w:rsidRPr="00D43FA1" w:rsidRDefault="00891D8C" w:rsidP="00CB2B7C">
            <w:pPr>
              <w:pStyle w:val="Text"/>
              <w:tabs>
                <w:tab w:val="left" w:pos="0"/>
              </w:tabs>
              <w:jc w:val="left"/>
              <w:rPr>
                <w:color w:val="000000"/>
                <w:u w:val="single"/>
              </w:rPr>
            </w:pPr>
            <w:r>
              <w:t>περίπου 90 000 EUR (2,0 ΙΠΑ μισθολογικού κλιμακίου 6 για συνήθη απασχόληση)</w:t>
            </w:r>
          </w:p>
        </w:tc>
      </w:tr>
    </w:tbl>
    <w:p w14:paraId="01533E4B" w14:textId="093896D0" w:rsidR="007C7B00" w:rsidRPr="00D43FA1" w:rsidRDefault="007C7B00" w:rsidP="00891D8C">
      <w:pPr>
        <w:pStyle w:val="Text"/>
        <w:spacing w:before="0" w:after="0"/>
        <w:ind w:left="2694" w:hanging="2694"/>
      </w:pPr>
    </w:p>
    <w:p w14:paraId="00EEF1D6" w14:textId="77777777" w:rsidR="00D43FA1" w:rsidRDefault="00042625" w:rsidP="00E24BD3">
      <w:pPr>
        <w:pStyle w:val="Text"/>
        <w:spacing w:before="0" w:after="0"/>
      </w:pPr>
      <w:r>
        <w:rPr>
          <w:color w:val="000000"/>
        </w:rPr>
        <w:t xml:space="preserve">Η </w:t>
      </w:r>
      <w:r>
        <w:rPr>
          <w:color w:val="000000"/>
          <w:u w:val="single"/>
        </w:rPr>
        <w:t>Σαξονία-Άνχαλτ</w:t>
      </w:r>
      <w:r>
        <w:rPr>
          <w:color w:val="000000"/>
        </w:rPr>
        <w:t xml:space="preserve"> </w:t>
      </w:r>
      <w:r>
        <w:t>δεν έχει κατορθώσει μέχρι στιγμής να υπολογίσει τις άπαξ και τις επαναλαμβανόμενες δαπάνες που θα προκύψουν.</w:t>
      </w:r>
    </w:p>
    <w:p w14:paraId="3F91406B" w14:textId="494897A8" w:rsidR="00977AB9" w:rsidRPr="00D43FA1" w:rsidRDefault="00042625" w:rsidP="00E24BD3">
      <w:pPr>
        <w:pStyle w:val="Text"/>
        <w:spacing w:before="0" w:after="0"/>
      </w:pPr>
      <w:r>
        <w:t xml:space="preserve"> </w:t>
      </w:r>
    </w:p>
    <w:p w14:paraId="2291BC65" w14:textId="0F1CA2AE" w:rsidR="00042625" w:rsidRDefault="00042625" w:rsidP="00E24BD3">
      <w:pPr>
        <w:pStyle w:val="Text"/>
        <w:spacing w:before="0" w:after="0"/>
        <w:rPr>
          <w:color w:val="000000"/>
        </w:rPr>
      </w:pPr>
      <w:r>
        <w:rPr>
          <w:color w:val="000000"/>
        </w:rPr>
        <w:t xml:space="preserve">Η </w:t>
      </w:r>
      <w:r>
        <w:rPr>
          <w:color w:val="000000"/>
          <w:u w:val="single"/>
        </w:rPr>
        <w:t>Θουριγγία</w:t>
      </w:r>
      <w:r>
        <w:rPr>
          <w:color w:val="000000"/>
        </w:rPr>
        <w:t xml:space="preserve"> ανέφερε ότι το άπαξ κόστος δεν φαίνεται να είναι σημαντικό. Ωστόσο, η Θουριγγία δεν μπόρεσε να παράσχει λεπτομερή στοιχεία σχετικά με το κόστος σε αυτό το στάδιο. </w:t>
      </w:r>
    </w:p>
    <w:p w14:paraId="5899A39C" w14:textId="77777777" w:rsidR="00D43FA1" w:rsidRPr="00D43FA1" w:rsidRDefault="00D43FA1" w:rsidP="00E24BD3">
      <w:pPr>
        <w:pStyle w:val="Text"/>
        <w:spacing w:before="0" w:after="0"/>
        <w:rPr>
          <w:color w:val="000000"/>
          <w:u w:val="single"/>
        </w:rPr>
      </w:pPr>
    </w:p>
    <w:p w14:paraId="4BF540BD" w14:textId="77777777" w:rsidR="00D25113" w:rsidRPr="00D43FA1" w:rsidRDefault="00D25113" w:rsidP="0070360F">
      <w:pPr>
        <w:pStyle w:val="Text"/>
        <w:keepNext/>
        <w:keepLines/>
        <w:rPr>
          <w:u w:val="single"/>
        </w:rPr>
      </w:pPr>
      <w:r>
        <w:rPr>
          <w:u w:val="single"/>
        </w:rPr>
        <w:t>β) Κόστος συμμόρφωσης για την οικονομία</w:t>
      </w:r>
    </w:p>
    <w:p w14:paraId="1AC16888" w14:textId="187C182C" w:rsidR="00755B7A" w:rsidRPr="00D43FA1" w:rsidRDefault="004D5050" w:rsidP="007C7B00">
      <w:pPr>
        <w:pStyle w:val="Text"/>
      </w:pPr>
      <w:r>
        <w:t>Όσον αφορά το κόστος συμμόρφωσης για την οικονομία, από τον κανονισμό θα προκύψει πρόσθετο κόστος κυρίως για τις ΜΜΕ. Δεδομένου ότι το πρόβλημα της επιβάρυνσης των τροφίμων με συστατικά του ορυκτελαίου από υλικά και αντικείμενα που έρχονται σε επαφή με τρόφιμα είναι γνωστό εδώ και καιρό, έχει ήδη υπάρξει μετατροπή μιας σειράς συσκευασιών, ώστε να χρησιμοποιούνται π.χ. ενδιάμεσο δοχείο, επιστρώσεις ή πρωτογενείς ίνες αντί για ίνες χαρτοπολτού. Ωστόσο, για μεγάλο μέρος των υλικών και αντικειμένων που έρχονται σε επαφή με τρόφιμα θα απαιτηθούν και άλλες αλλαγές, εφόσον δεν καλύπτονται από την προβλεπόμενη ρύθμιση περί εξαίρεσης.</w:t>
      </w:r>
    </w:p>
    <w:p w14:paraId="08D3E308" w14:textId="77777777" w:rsidR="0082568F" w:rsidRPr="00D43FA1" w:rsidRDefault="0082568F" w:rsidP="007C7B00">
      <w:pPr>
        <w:pStyle w:val="Text"/>
      </w:pPr>
      <w:r>
        <w:t xml:space="preserve">Από εκ των προτέρων εκτίμηση που διενεργήθηκε από την Ομοσπονδιακή Στατιστική Υπηρεσία προέκυψε άπαξ κόστος συμμόρφωσης (κόστος μετατροπής) της τάξεως των 9 280 000 ευρώ περίπου και ετήσιο πρόσθετο κόστος συμμόρφωσης της τάξεως των 8 160 000 ευρώ περίπου. Από τις δύο προβλεπόμενες νέες υποχρεώσεις πληροφόρησης –τη γραπτή ή ηλεκτρονική δήλωση περί μη ύπαρξης λειτουργικού φραγμού σύμφωνα με το άρθρο 6α παράγραφος 3 καθώς και την υποχρέωση απόδειξης του αποκλεισμού της μεταφοράς MOAH σύμφωνα με το άρθρο 6α παράγραφος 5– προκύπτει, σύμφωνα με την εκτίμηση της Ομοσπονδιακής Στατιστικής Υπηρεσίας, περιορισμένο μόνο κόστος. </w:t>
      </w:r>
    </w:p>
    <w:p w14:paraId="43B9512B" w14:textId="77777777" w:rsidR="006B7BFE" w:rsidRPr="00D43FA1" w:rsidRDefault="006B7BFE" w:rsidP="0070360F">
      <w:pPr>
        <w:pStyle w:val="Text"/>
        <w:keepNext/>
        <w:keepLines/>
      </w:pPr>
      <w:r>
        <w:rPr>
          <w:b/>
          <w:bCs/>
        </w:rPr>
        <w:lastRenderedPageBreak/>
        <w:t xml:space="preserve">Πίνακας 1: Σύνοψη του κόστους συμμόρφωσης </w:t>
      </w:r>
    </w:p>
    <w:tbl>
      <w:tblPr>
        <w:tblStyle w:val="TableGrid"/>
        <w:tblW w:w="0" w:type="auto"/>
        <w:tblLayout w:type="fixed"/>
        <w:tblLook w:val="04A0" w:firstRow="1" w:lastRow="0" w:firstColumn="1" w:lastColumn="0" w:noHBand="0" w:noVBand="1"/>
      </w:tblPr>
      <w:tblGrid>
        <w:gridCol w:w="1530"/>
        <w:gridCol w:w="3470"/>
        <w:gridCol w:w="1912"/>
        <w:gridCol w:w="2093"/>
      </w:tblGrid>
      <w:tr w:rsidR="0082568F" w:rsidRPr="00D43FA1" w14:paraId="720AC6FB" w14:textId="77777777" w:rsidTr="00295A54">
        <w:tc>
          <w:tcPr>
            <w:tcW w:w="1530" w:type="dxa"/>
          </w:tcPr>
          <w:p w14:paraId="376BBF5B" w14:textId="77777777" w:rsidR="0082568F" w:rsidRPr="00D43FA1" w:rsidRDefault="0082568F" w:rsidP="0070360F">
            <w:pPr>
              <w:pStyle w:val="Text"/>
              <w:keepNext/>
              <w:keepLines/>
              <w:jc w:val="center"/>
              <w:rPr>
                <w:b/>
              </w:rPr>
            </w:pPr>
            <w:r>
              <w:rPr>
                <w:b/>
              </w:rPr>
              <w:t>Ρύθμιση</w:t>
            </w:r>
          </w:p>
        </w:tc>
        <w:tc>
          <w:tcPr>
            <w:tcW w:w="3470" w:type="dxa"/>
          </w:tcPr>
          <w:p w14:paraId="3B98CCA4" w14:textId="77777777" w:rsidR="0082568F" w:rsidRPr="00D43FA1" w:rsidRDefault="0082568F" w:rsidP="0070360F">
            <w:pPr>
              <w:pStyle w:val="Text"/>
              <w:keepNext/>
              <w:keepLines/>
              <w:jc w:val="center"/>
              <w:rPr>
                <w:b/>
              </w:rPr>
            </w:pPr>
            <w:r>
              <w:rPr>
                <w:b/>
              </w:rPr>
              <w:t>Απαίτηση ή/και υποχρέωση πληροφόρησης</w:t>
            </w:r>
          </w:p>
        </w:tc>
        <w:tc>
          <w:tcPr>
            <w:tcW w:w="1912" w:type="dxa"/>
          </w:tcPr>
          <w:p w14:paraId="6FEF8D76" w14:textId="77777777" w:rsidR="0082568F" w:rsidRPr="00D43FA1" w:rsidRDefault="0082568F" w:rsidP="0070360F">
            <w:pPr>
              <w:pStyle w:val="Text"/>
              <w:keepNext/>
              <w:keepLines/>
              <w:jc w:val="center"/>
              <w:rPr>
                <w:b/>
              </w:rPr>
            </w:pPr>
            <w:r>
              <w:rPr>
                <w:b/>
              </w:rPr>
              <w:t xml:space="preserve">Υπόλοιπο ετήσιας επιβάρυνσης </w:t>
            </w:r>
          </w:p>
        </w:tc>
        <w:tc>
          <w:tcPr>
            <w:tcW w:w="2093" w:type="dxa"/>
          </w:tcPr>
          <w:p w14:paraId="5412D88F" w14:textId="77777777" w:rsidR="0082568F" w:rsidRPr="00D43FA1" w:rsidRDefault="00295A54" w:rsidP="0070360F">
            <w:pPr>
              <w:pStyle w:val="Text"/>
              <w:keepNext/>
              <w:keepLines/>
              <w:jc w:val="center"/>
              <w:rPr>
                <w:b/>
              </w:rPr>
            </w:pPr>
            <w:r>
              <w:rPr>
                <w:b/>
              </w:rPr>
              <w:t xml:space="preserve">Άπαξ κόστος μετατροπής </w:t>
            </w:r>
          </w:p>
        </w:tc>
      </w:tr>
      <w:tr w:rsidR="0082568F" w:rsidRPr="00D43FA1" w14:paraId="28659270" w14:textId="77777777" w:rsidTr="00295A54">
        <w:tc>
          <w:tcPr>
            <w:tcW w:w="1530" w:type="dxa"/>
          </w:tcPr>
          <w:p w14:paraId="22806DA4" w14:textId="2D7CD670" w:rsidR="0082568F" w:rsidRPr="00D43FA1" w:rsidRDefault="0082568F" w:rsidP="00E24BD3">
            <w:pPr>
              <w:pStyle w:val="Text"/>
              <w:jc w:val="left"/>
            </w:pPr>
            <w:r>
              <w:t>Άρθρο 6α παράγραφοι 1 και 4</w:t>
            </w:r>
          </w:p>
        </w:tc>
        <w:tc>
          <w:tcPr>
            <w:tcW w:w="3470" w:type="dxa"/>
          </w:tcPr>
          <w:p w14:paraId="33FAFA21" w14:textId="77777777" w:rsidR="0082568F" w:rsidRPr="00D43FA1" w:rsidRDefault="0082568F" w:rsidP="00295A54">
            <w:pPr>
              <w:pStyle w:val="Text"/>
              <w:jc w:val="left"/>
            </w:pPr>
            <w:r>
              <w:t>Λειτουργικός φραγμός για υλικά και αντικείμενα από ίνες χαρτοπολτού που έρχονται σε επαφή με τρόφιμα</w:t>
            </w:r>
          </w:p>
        </w:tc>
        <w:tc>
          <w:tcPr>
            <w:tcW w:w="1912" w:type="dxa"/>
          </w:tcPr>
          <w:p w14:paraId="3E5A9DC1" w14:textId="77777777" w:rsidR="0082568F" w:rsidRPr="00D43FA1" w:rsidRDefault="000F6183" w:rsidP="00295A54">
            <w:pPr>
              <w:pStyle w:val="Text"/>
              <w:jc w:val="left"/>
            </w:pPr>
            <w:r>
              <w:t xml:space="preserve"> 8 160 000 EUR</w:t>
            </w:r>
          </w:p>
        </w:tc>
        <w:tc>
          <w:tcPr>
            <w:tcW w:w="2093" w:type="dxa"/>
          </w:tcPr>
          <w:p w14:paraId="3562BFD1" w14:textId="77777777" w:rsidR="0082568F" w:rsidRPr="00D43FA1" w:rsidRDefault="000F6183" w:rsidP="00295A54">
            <w:pPr>
              <w:pStyle w:val="Text"/>
              <w:jc w:val="left"/>
            </w:pPr>
            <w:r>
              <w:t>9 280 000 EUR</w:t>
            </w:r>
          </w:p>
        </w:tc>
      </w:tr>
      <w:tr w:rsidR="0082568F" w:rsidRPr="00D43FA1" w14:paraId="0106BED3" w14:textId="77777777" w:rsidTr="00295A54">
        <w:tc>
          <w:tcPr>
            <w:tcW w:w="1530" w:type="dxa"/>
          </w:tcPr>
          <w:p w14:paraId="5BAFA089" w14:textId="0EFB06F8" w:rsidR="0082568F" w:rsidRPr="00D43FA1" w:rsidRDefault="0082568F" w:rsidP="00E24BD3">
            <w:pPr>
              <w:pStyle w:val="Text"/>
              <w:jc w:val="left"/>
            </w:pPr>
            <w:r>
              <w:t>Άρθρο 6α παράγραφος 3</w:t>
            </w:r>
          </w:p>
        </w:tc>
        <w:tc>
          <w:tcPr>
            <w:tcW w:w="3470" w:type="dxa"/>
          </w:tcPr>
          <w:p w14:paraId="7BAE9D67" w14:textId="77777777" w:rsidR="0082568F" w:rsidRPr="00D43FA1" w:rsidRDefault="0082568F" w:rsidP="00295A54">
            <w:pPr>
              <w:pStyle w:val="Text"/>
              <w:jc w:val="left"/>
            </w:pPr>
            <w:r>
              <w:t>Γραπτή ή ηλεκτρονική δήλωση μη ύπαρξης λειτουργικού φραγμού</w:t>
            </w:r>
          </w:p>
        </w:tc>
        <w:tc>
          <w:tcPr>
            <w:tcW w:w="1912" w:type="dxa"/>
          </w:tcPr>
          <w:p w14:paraId="74D97F5C" w14:textId="77777777" w:rsidR="0082568F" w:rsidRPr="00D43FA1" w:rsidRDefault="0082568F" w:rsidP="00295A54">
            <w:pPr>
              <w:pStyle w:val="Text"/>
              <w:jc w:val="left"/>
            </w:pPr>
            <w:r>
              <w:t>Περιορισμένη πρόσθετη επιβάρυνση</w:t>
            </w:r>
          </w:p>
        </w:tc>
        <w:tc>
          <w:tcPr>
            <w:tcW w:w="2093" w:type="dxa"/>
          </w:tcPr>
          <w:p w14:paraId="56F7F1DE" w14:textId="77777777" w:rsidR="0082568F" w:rsidRPr="00D43FA1" w:rsidRDefault="0082568F" w:rsidP="00295A54">
            <w:pPr>
              <w:pStyle w:val="Text"/>
              <w:jc w:val="left"/>
            </w:pPr>
            <w:r>
              <w:t>-</w:t>
            </w:r>
          </w:p>
        </w:tc>
      </w:tr>
      <w:tr w:rsidR="0082568F" w:rsidRPr="00D43FA1" w14:paraId="3E200EA4" w14:textId="77777777" w:rsidTr="00295A54">
        <w:tc>
          <w:tcPr>
            <w:tcW w:w="1530" w:type="dxa"/>
          </w:tcPr>
          <w:p w14:paraId="7AD34AB6" w14:textId="3F27C1E4" w:rsidR="0082568F" w:rsidRPr="00D43FA1" w:rsidRDefault="0082568F" w:rsidP="00E24BD3">
            <w:pPr>
              <w:pStyle w:val="Text"/>
              <w:jc w:val="left"/>
            </w:pPr>
            <w:r>
              <w:t>Άρθρο 6α παράγραφος 5</w:t>
            </w:r>
          </w:p>
        </w:tc>
        <w:tc>
          <w:tcPr>
            <w:tcW w:w="3470" w:type="dxa"/>
          </w:tcPr>
          <w:p w14:paraId="16E632D0" w14:textId="77777777" w:rsidR="0082568F" w:rsidRPr="00D43FA1" w:rsidRDefault="0082568F" w:rsidP="00295A54">
            <w:pPr>
              <w:pStyle w:val="Text"/>
              <w:jc w:val="left"/>
            </w:pPr>
            <w:r>
              <w:t>Υποχρέωση απόδειξης του αποκλεισμού της μεταφοράς MOAH σύμφωνα με το άρθρο 6α παράγραφοι 1, 2, 4</w:t>
            </w:r>
          </w:p>
        </w:tc>
        <w:tc>
          <w:tcPr>
            <w:tcW w:w="1912" w:type="dxa"/>
          </w:tcPr>
          <w:p w14:paraId="18381CF9" w14:textId="77777777" w:rsidR="0082568F" w:rsidRPr="00D43FA1" w:rsidRDefault="0082568F" w:rsidP="00295A54">
            <w:pPr>
              <w:pStyle w:val="Text"/>
              <w:jc w:val="left"/>
            </w:pPr>
            <w:r>
              <w:t>Περιορισμένη πρόσθετη επιβάρυνση</w:t>
            </w:r>
          </w:p>
        </w:tc>
        <w:tc>
          <w:tcPr>
            <w:tcW w:w="2093" w:type="dxa"/>
          </w:tcPr>
          <w:p w14:paraId="3BBC33E8" w14:textId="77777777" w:rsidR="0082568F" w:rsidRPr="00D43FA1" w:rsidRDefault="0082568F" w:rsidP="00295A54">
            <w:pPr>
              <w:pStyle w:val="Text"/>
              <w:jc w:val="left"/>
            </w:pPr>
            <w:r>
              <w:t>-</w:t>
            </w:r>
          </w:p>
        </w:tc>
      </w:tr>
      <w:tr w:rsidR="0082568F" w:rsidRPr="00D43FA1" w14:paraId="2CE5F889" w14:textId="77777777" w:rsidTr="00295A54">
        <w:tc>
          <w:tcPr>
            <w:tcW w:w="1530" w:type="dxa"/>
            <w:shd w:val="clear" w:color="auto" w:fill="D9D9D9" w:themeFill="background1" w:themeFillShade="D9"/>
          </w:tcPr>
          <w:p w14:paraId="6EDE8EBB" w14:textId="77777777" w:rsidR="0082568F" w:rsidRPr="00D43FA1" w:rsidRDefault="0082568F" w:rsidP="00295A54">
            <w:pPr>
              <w:pStyle w:val="Text"/>
              <w:jc w:val="left"/>
              <w:rPr>
                <w:b/>
              </w:rPr>
            </w:pPr>
          </w:p>
        </w:tc>
        <w:tc>
          <w:tcPr>
            <w:tcW w:w="3470" w:type="dxa"/>
            <w:shd w:val="clear" w:color="auto" w:fill="D9D9D9" w:themeFill="background1" w:themeFillShade="D9"/>
          </w:tcPr>
          <w:p w14:paraId="6B167E03" w14:textId="77777777" w:rsidR="0082568F" w:rsidRPr="00D43FA1" w:rsidRDefault="0082568F" w:rsidP="00295A54">
            <w:pPr>
              <w:pStyle w:val="Text"/>
              <w:jc w:val="left"/>
              <w:rPr>
                <w:b/>
              </w:rPr>
            </w:pPr>
            <w:r>
              <w:rPr>
                <w:b/>
              </w:rPr>
              <w:t xml:space="preserve">Σύνολο </w:t>
            </w:r>
          </w:p>
        </w:tc>
        <w:tc>
          <w:tcPr>
            <w:tcW w:w="1912" w:type="dxa"/>
            <w:shd w:val="clear" w:color="auto" w:fill="D9D9D9" w:themeFill="background1" w:themeFillShade="D9"/>
          </w:tcPr>
          <w:p w14:paraId="58ED3073" w14:textId="77777777" w:rsidR="0082568F" w:rsidRPr="00D43FA1" w:rsidRDefault="00AD0A9D" w:rsidP="00295A54">
            <w:pPr>
              <w:pStyle w:val="Text"/>
              <w:jc w:val="left"/>
              <w:rPr>
                <w:b/>
              </w:rPr>
            </w:pPr>
            <w:r>
              <w:rPr>
                <w:b/>
              </w:rPr>
              <w:t xml:space="preserve"> 8 160 000 EUR</w:t>
            </w:r>
          </w:p>
        </w:tc>
        <w:tc>
          <w:tcPr>
            <w:tcW w:w="2093" w:type="dxa"/>
            <w:shd w:val="clear" w:color="auto" w:fill="D9D9D9" w:themeFill="background1" w:themeFillShade="D9"/>
          </w:tcPr>
          <w:p w14:paraId="1E689341" w14:textId="77777777" w:rsidR="0082568F" w:rsidRPr="00D43FA1" w:rsidRDefault="000F6183" w:rsidP="00295A54">
            <w:pPr>
              <w:pStyle w:val="Text"/>
              <w:jc w:val="left"/>
              <w:rPr>
                <w:b/>
              </w:rPr>
            </w:pPr>
            <w:r>
              <w:rPr>
                <w:b/>
              </w:rPr>
              <w:t>9 280 000 EUR</w:t>
            </w:r>
          </w:p>
        </w:tc>
      </w:tr>
    </w:tbl>
    <w:p w14:paraId="0D7C6408" w14:textId="77777777" w:rsidR="006B7BFE" w:rsidRPr="00D43FA1" w:rsidRDefault="006B7BFE" w:rsidP="00612652">
      <w:pPr>
        <w:pStyle w:val="Text"/>
      </w:pPr>
    </w:p>
    <w:p w14:paraId="78164C96" w14:textId="211348C1" w:rsidR="009140F6" w:rsidRPr="00D43FA1" w:rsidRDefault="0082568F" w:rsidP="0070360F">
      <w:pPr>
        <w:pStyle w:val="Text"/>
        <w:keepNext/>
        <w:keepLines/>
        <w:tabs>
          <w:tab w:val="left" w:pos="0"/>
        </w:tabs>
      </w:pPr>
      <w:r>
        <w:t>Το αποτέλεσμα της εκ των προτέρων εκτίμησης βασίζεται στα ακόλουθα:</w:t>
      </w:r>
    </w:p>
    <w:p w14:paraId="0A8513DA" w14:textId="77777777" w:rsidR="006B7BFE" w:rsidRPr="00D43FA1" w:rsidRDefault="006B7BFE" w:rsidP="0070360F">
      <w:pPr>
        <w:pStyle w:val="Text"/>
        <w:keepNext/>
        <w:keepLines/>
        <w:tabs>
          <w:tab w:val="left" w:pos="0"/>
        </w:tabs>
      </w:pPr>
      <w:r>
        <w:t xml:space="preserve">Η εκ των προτέρων εκτίμηση αφορά δύο υποχρεώσεις πληροφόρησης καθώς και μια επιπλέον απαίτηση για την οικονομία που απορρέουν όλες από το νέο άρθρο 6α του κανονισμού για υλικά και αντικείμενα: </w:t>
      </w:r>
    </w:p>
    <w:p w14:paraId="2E574154" w14:textId="77777777" w:rsidR="006B7BFE" w:rsidRPr="00D43FA1" w:rsidRDefault="006B7BFE" w:rsidP="0070360F">
      <w:pPr>
        <w:pStyle w:val="Text"/>
        <w:keepNext/>
        <w:keepLines/>
        <w:numPr>
          <w:ilvl w:val="0"/>
          <w:numId w:val="2"/>
        </w:numPr>
        <w:ind w:left="0" w:firstLine="0"/>
      </w:pPr>
      <w:r>
        <w:t xml:space="preserve">τα υλικά και αντικείμενα που έρχονται σε επαφή με τρόφιμα και βασίζονται σε απορρίμματα χάρτου επιτρέπεται να κατασκευάζονται και να διατίθενται στην αγορά μόνον εφόσον περιλαμβάνουν λειτουργικό φραγμό (παράγραφος 1 εδάφιο 1· παράγραφος 4). Εξαιρέσεις από αυτή τη ρύθμιση ισχύουν εάν </w:t>
      </w:r>
    </w:p>
    <w:p w14:paraId="6471F0A8" w14:textId="77777777" w:rsidR="006B7BFE" w:rsidRPr="00D43FA1" w:rsidRDefault="000F1682" w:rsidP="00557D18">
      <w:pPr>
        <w:pStyle w:val="Text"/>
        <w:numPr>
          <w:ilvl w:val="0"/>
          <w:numId w:val="4"/>
        </w:numPr>
        <w:ind w:left="1134" w:hanging="425"/>
      </w:pPr>
      <w:r>
        <w:t>η περιεκτικότητα σε MOAH του υλικού ή αντικειμένου που έρχεται σε επαφή με τρόφιμα είναι τόσο μικρή που δεν προκύπτει μεταφορά στο τρόφιμο (παράγραφος 2 εδάφιο 1).</w:t>
      </w:r>
    </w:p>
    <w:p w14:paraId="022A3F44" w14:textId="64B85AD9" w:rsidR="006B7BFE" w:rsidRPr="00D43FA1" w:rsidRDefault="006B7BFE" w:rsidP="00557D18">
      <w:pPr>
        <w:pStyle w:val="Text"/>
        <w:numPr>
          <w:ilvl w:val="0"/>
          <w:numId w:val="4"/>
        </w:numPr>
        <w:ind w:left="1134" w:hanging="425"/>
      </w:pPr>
      <w:r>
        <w:t>έχουν ληφθεί άλλα κατάλληλα μέτρα τα οποία εμποδίζουν τη μεταφορά MOAH στα τρόφιμα (παράγραφος 2 εδάφιο 2).</w:t>
      </w:r>
    </w:p>
    <w:p w14:paraId="29C9CC33" w14:textId="77777777" w:rsidR="006B7BFE" w:rsidRPr="00D43FA1" w:rsidRDefault="006B7BFE" w:rsidP="00557D18">
      <w:pPr>
        <w:pStyle w:val="Text"/>
        <w:numPr>
          <w:ilvl w:val="0"/>
          <w:numId w:val="3"/>
        </w:numPr>
        <w:ind w:left="0" w:firstLine="0"/>
      </w:pPr>
      <w:r>
        <w:t xml:space="preserve">Εάν η επιχείρηση τροφίμων χρησιμοποιεί η ίδια λειτουργικό φραγμό (ενδιάμεσο δοχείο, κ.λπ.) ή λαμβάνει άλλα μέτρα για την προστασία από μεταφορά MOAH στα τρόφιμα και επομένως ο κατασκευαστής του υλικού ή αντικειμένου που έρχεται σε επαφή με τρόφιμα ή εκείνος που το διαθέτει στην αγορά το κάνει χωρίς αυτό να διαθέτει λειτουργικό φραγμό, αυτή υποχρεούται να προσκομίζει πριν από την παράδοση του υλικού ή αντικειμένου που έρχεται σε επαφή με τρόφιμα γραπτή ή ηλεκτρονική δήλωση όπου θα αναφέρεται αυτό στον κατασκευαστή του υλικού ή αντικειμένου που έρχεται σε επαφή με τρόφιμα ή σε εκείνον που το διαθέτει στην αγορά (παράγραφος 3). </w:t>
      </w:r>
    </w:p>
    <w:p w14:paraId="3DAB98B9" w14:textId="77777777" w:rsidR="006B7BFE" w:rsidRPr="00D43FA1" w:rsidRDefault="006B7BFE" w:rsidP="0070360F">
      <w:pPr>
        <w:pStyle w:val="Text"/>
        <w:keepNext/>
        <w:keepLines/>
        <w:numPr>
          <w:ilvl w:val="0"/>
          <w:numId w:val="3"/>
        </w:numPr>
        <w:ind w:left="709" w:hanging="709"/>
      </w:pPr>
      <w:r>
        <w:t xml:space="preserve">Υποχρέωση απόδειξης του αποκλεισμού της μεταφοράς MOAH (παράγραφος 5). </w:t>
      </w:r>
    </w:p>
    <w:p w14:paraId="7B0EB3AA" w14:textId="77777777" w:rsidR="006B7BFE" w:rsidRPr="00D43FA1" w:rsidRDefault="000447FD" w:rsidP="009140F6">
      <w:pPr>
        <w:pStyle w:val="Text"/>
      </w:pPr>
      <w:r>
        <w:t xml:space="preserve">Η παρούσα εκτίμηση ακολούθησε τις «Οδηγίες σχετικά με τον καθορισμό και την παρουσίαση του κόστους συμμόρφωσης από τις κανονιστικές απαιτήσεις της </w:t>
      </w:r>
      <w:r>
        <w:lastRenderedPageBreak/>
        <w:t>Ομοσπονδιακής Κυβέρνησης»</w:t>
      </w:r>
      <w:r w:rsidR="006B7BFE" w:rsidRPr="00D43FA1">
        <w:rPr>
          <w:rStyle w:val="FootnoteReference"/>
        </w:rPr>
        <w:footnoteReference w:id="2"/>
      </w:r>
      <w:r>
        <w:t xml:space="preserve">. Για τον υπολογισμό του αριθμού των περιπτώσεων καθώς και του κόστους σε χρόνο και υλικά πραγματοποιήθηκαν τηλεφωνικές συνεντεύξεις με τις επιχειρήσεις και τα ερευνητικά ιδρύματα. Ο υπολογισμός του αριθμού των περιπτώσεων περιλαμβάνει δεδομένα από τα δημόσια στατιστικά στοιχεία. </w:t>
      </w:r>
    </w:p>
    <w:p w14:paraId="7E0F8561" w14:textId="4AAB2740" w:rsidR="006B7BFE" w:rsidRPr="007E01A6" w:rsidRDefault="006B7BFE" w:rsidP="0070360F">
      <w:pPr>
        <w:pStyle w:val="Text"/>
        <w:keepNext/>
        <w:keepLines/>
        <w:rPr>
          <w:b/>
          <w:bCs/>
          <w:u w:val="single"/>
        </w:rPr>
      </w:pPr>
      <w:r>
        <w:rPr>
          <w:b/>
          <w:bCs/>
          <w:u w:val="single"/>
        </w:rPr>
        <w:t>Λειτουργικός φραγμός για υλικά και αντικείμενα που έρχονται σε επαφή με τρόφιμα κατά την έννοια του άρθρου 6α παράγραφοι 1 και 4</w:t>
      </w:r>
    </w:p>
    <w:p w14:paraId="347CC78F" w14:textId="77777777" w:rsidR="006B7BFE" w:rsidRPr="00D43FA1" w:rsidRDefault="006B7BFE" w:rsidP="0070360F">
      <w:pPr>
        <w:pStyle w:val="Text"/>
        <w:keepNext/>
        <w:keepLines/>
      </w:pPr>
      <w:r>
        <w:t xml:space="preserve">α) Άπαξ κόστος μετατροπής </w:t>
      </w:r>
    </w:p>
    <w:p w14:paraId="32009364" w14:textId="77777777" w:rsidR="006B7BFE" w:rsidRPr="00D43FA1" w:rsidRDefault="006B7BFE" w:rsidP="009140F6">
      <w:pPr>
        <w:pStyle w:val="Text"/>
      </w:pPr>
      <w:r>
        <w:rPr>
          <w:i/>
          <w:iCs/>
        </w:rPr>
        <w:t>Το κόστος μετατροπής περιλαμβάνει το κόστος σε προσωπικό και υλικά για τον πρώτο έλεγχο των τροφίμων και των υλικών και αντικειμένων που έρχονται σε επαφή με τρόφιμα, καθώς και για την ανάπτυξη, τον έλεγχο και τη χρήση κατάλληλης συσκευασίας σύμφωνα με το άρθρο 6α</w:t>
      </w:r>
      <w:r>
        <w:t xml:space="preserve">. </w:t>
      </w:r>
    </w:p>
    <w:p w14:paraId="5B232005" w14:textId="77777777" w:rsidR="006B7BFE" w:rsidRPr="00D43FA1" w:rsidRDefault="006B7BFE" w:rsidP="0070360F">
      <w:pPr>
        <w:pStyle w:val="Text"/>
        <w:keepNext/>
        <w:keepLines/>
        <w:numPr>
          <w:ilvl w:val="0"/>
          <w:numId w:val="5"/>
        </w:numPr>
        <w:ind w:left="714" w:hanging="357"/>
        <w:rPr>
          <w:i/>
          <w:iCs/>
          <w:color w:val="000000"/>
        </w:rPr>
      </w:pPr>
      <w:r>
        <w:rPr>
          <w:i/>
          <w:iCs/>
          <w:color w:val="000000"/>
        </w:rPr>
        <w:t xml:space="preserve">Αριθμός περιπτώσεων </w:t>
      </w:r>
    </w:p>
    <w:p w14:paraId="6D903E99" w14:textId="77777777" w:rsidR="006B7BFE" w:rsidRPr="00D43FA1" w:rsidRDefault="006B7BFE" w:rsidP="0070360F">
      <w:pPr>
        <w:pStyle w:val="Text"/>
        <w:keepNext/>
        <w:keepLines/>
        <w:rPr>
          <w:color w:val="000000"/>
        </w:rPr>
      </w:pPr>
      <w:r>
        <w:rPr>
          <w:color w:val="000000"/>
        </w:rPr>
        <w:t>Προκειμένου να ληφθεί μέσω αναγωγής ο αριθμός των περιπτώσεων ( = σχετικά προϊόντα: τρόφιμο συν υλικό ή αντικείμενο που έρχεται σε επαφή με αυτό) χρησιμοποιήθηκαν δεδομένα που ελήφθησαν τόσο από συνεντεύξεις όσο και από μελέτη της διάρθρωσης του κόστους στον κλάδο της μεταποίησης.</w:t>
      </w:r>
      <w:r w:rsidRPr="00D43FA1">
        <w:rPr>
          <w:rStyle w:val="FootnoteReference"/>
          <w:color w:val="000000"/>
        </w:rPr>
        <w:footnoteReference w:id="3"/>
      </w:r>
      <w:r>
        <w:rPr>
          <w:color w:val="000000"/>
          <w:vertAlign w:val="superscript"/>
        </w:rPr>
        <w:t xml:space="preserve"> </w:t>
      </w:r>
      <w:r>
        <w:rPr>
          <w:color w:val="000000"/>
        </w:rPr>
        <w:t xml:space="preserve">Με βάση τις συνεντεύξεις που πραγματοποιήθηκαν ελήφθησαν δεδομένα σχετικά με τον αριθμό των προϊόντων από τις επιμέρους επιχειρήσεις. Τα στοιχεία σχετικά με τον κύκλο εργασιών των επιχειρήσεων ελήφθησαν από πηγές προσβάσιμες από το κοινό. Με βάση τις τιμές αυτές προσδιορίστηκε ο κύκλος εργασιών ανά προϊόν για πέντε επιχειρήσεις, ο οποίος ανέρχεται κατά μέσον όρο σε περίπου 2,5 εκατομμύρια ευρώ. Η μελέτη της διάρθρωσης του κόστους περιέχει πληροφορίες σχετικά με τον αριθμό και τον κύκλο εργασιών των επιχειρήσεων στους διάφορους κλάδους της οικονομίας στον τομέα μεταποίησης (σύμφωνα με την κατηγοριοποίηση των κλάδων της οικονομίας, έκδοση 2008). Με βάση τις πληροφορίες που ελήφθησαν από τις συνεντεύξεις μπόρεσαν να προσδιοριστούν επτά εμπλεκόμενοι κλάδοι της οικονομίας: </w:t>
      </w:r>
    </w:p>
    <w:p w14:paraId="51BE6B2B" w14:textId="77777777" w:rsidR="006B7BFE" w:rsidRPr="00D43FA1" w:rsidRDefault="006B7BFE" w:rsidP="0070360F">
      <w:pPr>
        <w:pStyle w:val="Text"/>
        <w:keepNext/>
        <w:keepLines/>
        <w:spacing w:before="0" w:after="0"/>
        <w:rPr>
          <w:color w:val="000000"/>
        </w:rPr>
      </w:pPr>
      <w:r>
        <w:rPr>
          <w:color w:val="000000"/>
        </w:rPr>
        <w:t xml:space="preserve">Παραγωγή </w:t>
      </w:r>
    </w:p>
    <w:p w14:paraId="11222691" w14:textId="77777777" w:rsidR="006B7BFE" w:rsidRPr="00D43FA1" w:rsidRDefault="006B7BFE" w:rsidP="009140F6">
      <w:pPr>
        <w:pStyle w:val="Text"/>
        <w:spacing w:before="0" w:after="0"/>
        <w:rPr>
          <w:color w:val="000000"/>
        </w:rPr>
      </w:pPr>
      <w:r>
        <w:rPr>
          <w:color w:val="000000"/>
        </w:rPr>
        <w:t xml:space="preserve">• αμύλου και αμυλούχων προϊόντων </w:t>
      </w:r>
    </w:p>
    <w:p w14:paraId="662E4943" w14:textId="77777777" w:rsidR="006B7BFE" w:rsidRPr="00D43FA1" w:rsidRDefault="006B7BFE" w:rsidP="009140F6">
      <w:pPr>
        <w:pStyle w:val="Text"/>
        <w:spacing w:before="0" w:after="0"/>
        <w:rPr>
          <w:color w:val="000000"/>
        </w:rPr>
      </w:pPr>
      <w:r>
        <w:rPr>
          <w:color w:val="000000"/>
        </w:rPr>
        <w:t xml:space="preserve">• μπισκότων </w:t>
      </w:r>
    </w:p>
    <w:p w14:paraId="18BD7F36" w14:textId="77777777" w:rsidR="006B7BFE" w:rsidRPr="00D43FA1" w:rsidRDefault="006B7BFE" w:rsidP="009140F6">
      <w:pPr>
        <w:pStyle w:val="Text"/>
        <w:spacing w:before="0" w:after="0"/>
        <w:rPr>
          <w:color w:val="000000"/>
        </w:rPr>
      </w:pPr>
      <w:r>
        <w:rPr>
          <w:color w:val="000000"/>
        </w:rPr>
        <w:t xml:space="preserve">• ζυμαρικών </w:t>
      </w:r>
    </w:p>
    <w:p w14:paraId="38C5F55D" w14:textId="77777777" w:rsidR="006B7BFE" w:rsidRPr="00D43FA1" w:rsidRDefault="006B7BFE" w:rsidP="009140F6">
      <w:pPr>
        <w:pStyle w:val="Text"/>
        <w:spacing w:before="0" w:after="0"/>
        <w:rPr>
          <w:color w:val="000000"/>
        </w:rPr>
      </w:pPr>
      <w:r>
        <w:rPr>
          <w:color w:val="000000"/>
        </w:rPr>
        <w:t xml:space="preserve">• γλυκών </w:t>
      </w:r>
    </w:p>
    <w:p w14:paraId="1D62B3D9" w14:textId="77777777" w:rsidR="006B7BFE" w:rsidRPr="00D43FA1" w:rsidRDefault="006B7BFE" w:rsidP="009140F6">
      <w:pPr>
        <w:pStyle w:val="Text"/>
        <w:spacing w:before="0" w:after="0"/>
        <w:rPr>
          <w:color w:val="000000"/>
        </w:rPr>
      </w:pPr>
      <w:r>
        <w:rPr>
          <w:color w:val="000000"/>
        </w:rPr>
        <w:t xml:space="preserve">• καφέ/τσαγιού </w:t>
      </w:r>
    </w:p>
    <w:p w14:paraId="6E9A551C" w14:textId="77777777" w:rsidR="006B7BFE" w:rsidRPr="00D43FA1" w:rsidRDefault="006B7BFE" w:rsidP="009140F6">
      <w:pPr>
        <w:pStyle w:val="Text"/>
        <w:spacing w:before="0" w:after="0"/>
        <w:rPr>
          <w:color w:val="000000"/>
        </w:rPr>
      </w:pPr>
      <w:r>
        <w:rPr>
          <w:color w:val="000000"/>
        </w:rPr>
        <w:t xml:space="preserve">• αλεσμένων προϊόντων </w:t>
      </w:r>
    </w:p>
    <w:p w14:paraId="31C005BD" w14:textId="3394A96C" w:rsidR="006B7BFE" w:rsidRDefault="006B7BFE" w:rsidP="00557D18">
      <w:pPr>
        <w:pStyle w:val="Text"/>
        <w:spacing w:before="0" w:after="0"/>
        <w:jc w:val="left"/>
        <w:rPr>
          <w:color w:val="000000"/>
        </w:rPr>
      </w:pPr>
      <w:r>
        <w:rPr>
          <w:color w:val="000000"/>
        </w:rPr>
        <w:t xml:space="preserve">• έτοιμων γευμάτων </w:t>
      </w:r>
    </w:p>
    <w:p w14:paraId="69346562" w14:textId="77777777" w:rsidR="00D43FA1" w:rsidRPr="00D43FA1" w:rsidRDefault="00D43FA1" w:rsidP="00557D18">
      <w:pPr>
        <w:pStyle w:val="Text"/>
        <w:spacing w:before="0" w:after="0"/>
        <w:jc w:val="left"/>
        <w:rPr>
          <w:color w:val="000000"/>
        </w:rPr>
      </w:pPr>
    </w:p>
    <w:p w14:paraId="22853B05" w14:textId="02272ACD" w:rsidR="006B7BFE" w:rsidRPr="00D43FA1" w:rsidRDefault="006B7BFE" w:rsidP="009140F6">
      <w:pPr>
        <w:pStyle w:val="Text"/>
        <w:spacing w:before="0" w:after="0"/>
        <w:rPr>
          <w:color w:val="000000"/>
        </w:rPr>
      </w:pPr>
      <w:r>
        <w:rPr>
          <w:color w:val="000000"/>
        </w:rPr>
        <w:t xml:space="preserve">Συνολικά, ο κύκλος εργασιών των 415 εμπλεκόμενων επιχειρήσεων ανέρχεται σε περίπου 26 δισεκατομμύρια ευρώ. </w:t>
      </w:r>
    </w:p>
    <w:p w14:paraId="6EE2F31E" w14:textId="2FFA7DC6" w:rsidR="006B7BFE" w:rsidRDefault="006B7BFE" w:rsidP="00557D18">
      <w:pPr>
        <w:pStyle w:val="Text"/>
        <w:spacing w:before="0" w:after="0"/>
        <w:rPr>
          <w:color w:val="000000"/>
        </w:rPr>
      </w:pPr>
      <w:r>
        <w:rPr>
          <w:color w:val="000000"/>
        </w:rPr>
        <w:t xml:space="preserve">Με βάση τον συνολικό κύκλο εργασιών υπολογίζεται ο συνολικός αριθμός των προϊόντων (= τρόφιμα συν αντίστοιχο υλικό ή αντικείμενο που έρχεται σε επαφή με το τρόφιμο) που κατασκευάζουν οι εν λόγω επιχειρήσεις για τη γερμανική αγορά: για συνολικό κύκλο εργασιών που ανέρχεται σε 26 δισεκατομμύρια ευρώ και κύκλο εργασιών 2,5 εκατομμυρίων ευρώ ανά προϊόν προκύπτουν </w:t>
      </w:r>
      <w:r>
        <w:rPr>
          <w:b/>
          <w:bCs/>
          <w:color w:val="000000"/>
        </w:rPr>
        <w:t>περίπου 10 000 προϊόντα</w:t>
      </w:r>
      <w:r>
        <w:rPr>
          <w:color w:val="000000"/>
        </w:rPr>
        <w:t xml:space="preserve">. Μέρος μόνο των συσκευασιών των προϊόντων πρέπει να υποβληθούν όντως σε μετατροπή, διότι οι επιχειρήσεις δεν επηρεάζονται όλες στον ίδιο βαθμό: αν και ορισμένες επιχειρήσεις πρέπει να προβούν σε μετατροπή του συνόλου των προϊόντων τους, σε άλλες επηρεάζονται λίγα μόνο προϊόντα. Ωστόσο, για όλα τα προϊόντα πρέπει να διενεργηθεί έλεγχος για να διαπιστωθεί εάν η υφιστάμενη συσκευασία αποτρέπει σε επαρκή βαθμό τη μεταφορά MOAH στο τρόφιμο. </w:t>
      </w:r>
      <w:r>
        <w:rPr>
          <w:color w:val="000000"/>
        </w:rPr>
        <w:lastRenderedPageBreak/>
        <w:t xml:space="preserve">Ελέγχονται επίσης τρόφιμα που συσκευάζονται αποκλειστικά σε αλουμινόχαρτο, διότι τα εν λόγω προϊόντα επανασυσκευάζονται και παραδίδονται τις περισσότερες φορές σε χαρτονένια κουτιά από ανακυκλωμένα απορρίμματα χαρτιού. </w:t>
      </w:r>
    </w:p>
    <w:p w14:paraId="37B7DEE2" w14:textId="77777777" w:rsidR="00D43FA1" w:rsidRPr="00D43FA1" w:rsidRDefault="00D43FA1" w:rsidP="00557D18">
      <w:pPr>
        <w:pStyle w:val="Text"/>
        <w:spacing w:before="0" w:after="0"/>
        <w:rPr>
          <w:color w:val="000000"/>
        </w:rPr>
      </w:pPr>
    </w:p>
    <w:p w14:paraId="6FDE533B" w14:textId="5E092961" w:rsidR="006B7BFE" w:rsidRPr="00D43FA1" w:rsidRDefault="006B7BFE" w:rsidP="0070360F">
      <w:pPr>
        <w:pStyle w:val="Text"/>
        <w:keepNext/>
        <w:keepLines/>
        <w:numPr>
          <w:ilvl w:val="0"/>
          <w:numId w:val="5"/>
        </w:numPr>
        <w:spacing w:before="0" w:after="0"/>
        <w:rPr>
          <w:i/>
          <w:iCs/>
          <w:color w:val="000000"/>
          <w:u w:val="single"/>
        </w:rPr>
      </w:pPr>
      <w:r>
        <w:rPr>
          <w:i/>
          <w:iCs/>
          <w:color w:val="000000"/>
        </w:rPr>
        <w:t xml:space="preserve">Δαπάνες υλικών </w:t>
      </w:r>
    </w:p>
    <w:p w14:paraId="20856574" w14:textId="77777777" w:rsidR="00D43FA1" w:rsidRPr="00D43FA1" w:rsidRDefault="00D43FA1" w:rsidP="0070360F">
      <w:pPr>
        <w:keepNext/>
        <w:keepLines/>
        <w:spacing w:before="0" w:after="0"/>
      </w:pPr>
    </w:p>
    <w:p w14:paraId="3F2BE815" w14:textId="0DDDAA09" w:rsidR="006B7BFE" w:rsidRPr="00D43FA1" w:rsidRDefault="006B7BFE" w:rsidP="009140F6">
      <w:pPr>
        <w:pStyle w:val="Text"/>
        <w:spacing w:before="0" w:after="0"/>
        <w:rPr>
          <w:color w:val="000000"/>
        </w:rPr>
      </w:pPr>
      <w:r>
        <w:rPr>
          <w:color w:val="000000"/>
        </w:rPr>
        <w:t>Οι δαπάνες υλικών αποτελούνται από το κόστος ανάλυσης για τον πρώτο έλεγχο των τροφίμων και των αντίστοιχων υλικών ή αντικειμένων που έρχονται σε επαφή με τα τρόφιμα (δηλαδή των συσκευασιών), καθώς και από την ανάπτυξη και τη χρήση νέων συσκευασιών. Το κόστος συνίσταται στην ανάθεση των ερευνών σε εξωτερικά εργαστήρια. Λίγες μόνον επιχειρήσεις διενεργούν οι ίδιες εξ ολοκλήρου τις αναλύσεις. Για κάθε περίπτωση ζητήθηκε το συνολικό κόστος για όλα τα εμπλεκόμενα προϊόντα μιας επιχείρησης και αυτό το συνολικό κόστος κατανεμήθηκε ανάλογα με τον αριθμό των προϊόντων της επιχείρησης που εμπίπτουν στο πεδίο εφαρμογής του κανονισμού.</w:t>
      </w:r>
    </w:p>
    <w:p w14:paraId="12734BF7" w14:textId="0BD0DC03" w:rsidR="006B7BFE" w:rsidRPr="00D43FA1" w:rsidRDefault="006B7BFE" w:rsidP="009140F6">
      <w:pPr>
        <w:pStyle w:val="Text"/>
        <w:spacing w:before="0" w:after="0"/>
        <w:rPr>
          <w:color w:val="000000"/>
        </w:rPr>
      </w:pPr>
      <w:r>
        <w:rPr>
          <w:color w:val="000000"/>
        </w:rPr>
        <w:t xml:space="preserve">Με βάση τις συνεντεύξεις που πραγματοποιήθηκαν, μπόρεσε να συναχθεί το συμπέρασμα ότι ο έλεγχος των τροφίμων και των αντίστοιχων υλικών και αντικειμένων που έρχονται σε επαφή με τρόφιμα θα κοστίσει περίπου </w:t>
      </w:r>
      <w:r>
        <w:rPr>
          <w:b/>
          <w:bCs/>
          <w:color w:val="000000"/>
        </w:rPr>
        <w:t>290 ευρώ ανά προϊόν</w:t>
      </w:r>
      <w:r>
        <w:rPr>
          <w:color w:val="000000"/>
        </w:rPr>
        <w:t>. Το κόστος αφορά και τα 10 000 προϊόντα.</w:t>
      </w:r>
    </w:p>
    <w:p w14:paraId="6C361081" w14:textId="6695102A" w:rsidR="006B7BFE" w:rsidRPr="00D43FA1" w:rsidRDefault="006B7BFE" w:rsidP="009140F6">
      <w:pPr>
        <w:pStyle w:val="Text"/>
        <w:spacing w:before="0" w:after="0"/>
        <w:rPr>
          <w:color w:val="000000"/>
        </w:rPr>
      </w:pPr>
      <w:r>
        <w:rPr>
          <w:color w:val="000000"/>
        </w:rPr>
        <w:t xml:space="preserve">Εκτιμάται ότι για ποσοστό 50 % των προϊόντων που θα υποβληθούν σε έλεγχο πρέπει να επέλθει μετατροπή των συσκευασιών· αυτό αφορά 5 000 προϊόντα. Ως εκ τούτου, προκύπτει μέσο </w:t>
      </w:r>
      <w:r>
        <w:rPr>
          <w:b/>
          <w:bCs/>
          <w:color w:val="000000"/>
        </w:rPr>
        <w:t>κόστος υλικών 550 ευρώ ανά προϊόν</w:t>
      </w:r>
      <w:r>
        <w:rPr>
          <w:color w:val="000000"/>
        </w:rPr>
        <w:t>.</w:t>
      </w:r>
    </w:p>
    <w:p w14:paraId="71241388" w14:textId="7F9A1A7C" w:rsidR="00C23235" w:rsidRPr="00D43FA1" w:rsidRDefault="006B7BFE" w:rsidP="0070360F">
      <w:pPr>
        <w:pStyle w:val="Text"/>
        <w:keepNext/>
        <w:keepLines/>
        <w:spacing w:before="0" w:after="0"/>
        <w:rPr>
          <w:color w:val="000000"/>
        </w:rPr>
      </w:pPr>
      <w:r>
        <w:rPr>
          <w:color w:val="000000"/>
        </w:rPr>
        <w:t>Ως εκ τούτου οι άπαξ δαπάνες υλικών προκύπτουν από τον ακόλουθο υπολογισμό:</w:t>
      </w:r>
    </w:p>
    <w:p w14:paraId="0AE849C1" w14:textId="0BE5CE3F" w:rsidR="006B7BFE" w:rsidRDefault="006B7BFE" w:rsidP="009140F6">
      <w:pPr>
        <w:pStyle w:val="Text"/>
        <w:spacing w:before="0" w:after="0"/>
        <w:rPr>
          <w:color w:val="000000"/>
        </w:rPr>
      </w:pPr>
      <w:r>
        <w:rPr>
          <w:color w:val="000000"/>
        </w:rPr>
        <w:t xml:space="preserve">κόστος ελέγχων 290 ευρώ x 10 000 προϊόντα προς έλεγχο + κόστος υλικών 550 ευρώ x 5 000 συσκευασίες προϊόντων προς μετατροπή = 5 650 000 ευρώ. </w:t>
      </w:r>
    </w:p>
    <w:p w14:paraId="0A260EF9" w14:textId="77777777" w:rsidR="00D43FA1" w:rsidRPr="00D43FA1" w:rsidRDefault="00D43FA1" w:rsidP="009140F6">
      <w:pPr>
        <w:pStyle w:val="Text"/>
        <w:spacing w:before="0" w:after="0"/>
        <w:rPr>
          <w:color w:val="000000"/>
        </w:rPr>
      </w:pPr>
    </w:p>
    <w:p w14:paraId="2EEE4654" w14:textId="5E56A404" w:rsidR="006B7BFE" w:rsidRPr="00D43FA1" w:rsidRDefault="006B7BFE" w:rsidP="0070360F">
      <w:pPr>
        <w:pStyle w:val="Text"/>
        <w:keepNext/>
        <w:keepLines/>
        <w:numPr>
          <w:ilvl w:val="0"/>
          <w:numId w:val="5"/>
        </w:numPr>
        <w:spacing w:before="0" w:after="0"/>
        <w:rPr>
          <w:u w:val="single"/>
        </w:rPr>
      </w:pPr>
      <w:r>
        <w:rPr>
          <w:i/>
          <w:iCs/>
          <w:color w:val="000000"/>
        </w:rPr>
        <w:t xml:space="preserve">Δαπάνες προσωπικού </w:t>
      </w:r>
    </w:p>
    <w:p w14:paraId="3CDF1E12" w14:textId="77777777" w:rsidR="00D43FA1" w:rsidRPr="00D43FA1" w:rsidRDefault="00D43FA1" w:rsidP="0070360F">
      <w:pPr>
        <w:pStyle w:val="Text"/>
        <w:keepNext/>
        <w:keepLines/>
        <w:spacing w:before="0" w:after="0"/>
        <w:ind w:left="360"/>
        <w:rPr>
          <w:u w:val="single"/>
        </w:rPr>
      </w:pPr>
    </w:p>
    <w:p w14:paraId="060CC136" w14:textId="0224181D" w:rsidR="006B7BFE" w:rsidRPr="00D43FA1" w:rsidRDefault="006B7BFE" w:rsidP="009140F6">
      <w:pPr>
        <w:pStyle w:val="Text"/>
        <w:spacing w:before="0" w:after="0"/>
      </w:pPr>
      <w:r>
        <w:t>Οι δαπάνες προσωπικού αποτελούνται από τις δαπάνες χρόνου για τον έλεγχο των τροφίμων και των αντίστοιχων υλικών και αντικειμένων που έρχονται σε επαφή με τα τρόφιμα (δηλαδή των συσκευασιών) καθώς και για τη μετατροπή των συσκευασιών (προετοιμασία των εργαστηριακών εξετάσεων και συνέχεια που δίδεται· η διενέργεια των αναλύσεων αυτή καθαυτή λαμβάνει χώρα κατά κύριο λόγο σε εξωτερικά εργαστήρια). Για κάθε περίπτωση ζητήθηκε το συνολικό κόστος για όλα τα εμπλεκόμενα προϊόντα μιας επιχείρησης και αυτό το συνολικό κόστος κατανεμήθηκε ανάλογα με τον αριθμό των προϊόντων της επιχείρησης που εμπίπτουν στο πεδίο εφαρμογής του κανονισμού.</w:t>
      </w:r>
    </w:p>
    <w:p w14:paraId="325CED0A" w14:textId="3DBDD0D3" w:rsidR="006B7BFE" w:rsidRPr="00D43FA1" w:rsidRDefault="006B7BFE" w:rsidP="009140F6">
      <w:pPr>
        <w:pStyle w:val="Text"/>
        <w:spacing w:before="0" w:after="0"/>
      </w:pPr>
      <w:r>
        <w:t xml:space="preserve">Με βάση τις συνεντεύξεις που πραγματοποιήθηκαν μπόρεσε να συναχθεί το συμπέρασμα ότι για τον έλεγχο των τροφίμων και των αντίστοιχων υλικών και αντικειμένων που έρχονται σε επαφή με τα τρόφιμα θα υπάρξει δαπάνη χρόνου της τάξεως των </w:t>
      </w:r>
      <w:r>
        <w:rPr>
          <w:b/>
          <w:bCs/>
        </w:rPr>
        <w:t>τριών ωρών ανά προϊόν</w:t>
      </w:r>
      <w:r>
        <w:t xml:space="preserve"> περίπου. Αυτό περιλαμβάνει εκτός από την ανάλυση των MOAH και προπαρασκευαστικές εργασίες, όπως η δειγματοληψία. Ως αμοιβή υπολογίστηκαν 60,50 ευρώ/ώρα.</w:t>
      </w:r>
      <w:r>
        <w:rPr>
          <w:rStyle w:val="FootnoteReference"/>
        </w:rPr>
        <w:footnoteReference w:customMarkFollows="1" w:id="4"/>
        <w:t>3</w:t>
      </w:r>
      <w:r>
        <w:rPr>
          <w:vertAlign w:val="superscript"/>
        </w:rPr>
        <w:t xml:space="preserve"> </w:t>
      </w:r>
      <w:r>
        <w:t>Το κόστος αυτό αφορά και τα 10 000 προϊόντα.</w:t>
      </w:r>
    </w:p>
    <w:p w14:paraId="31FE69DB" w14:textId="360102A6" w:rsidR="006B7BFE" w:rsidRPr="00D43FA1" w:rsidRDefault="002201EF" w:rsidP="009140F6">
      <w:pPr>
        <w:pStyle w:val="Text"/>
        <w:spacing w:before="0" w:after="0"/>
      </w:pPr>
      <w:r>
        <w:t xml:space="preserve">Η δαπάνη χρόνου για τη μετατροπή της συσκευασίας ενός προϊόντος ανέρχεται περίπου σε </w:t>
      </w:r>
      <w:r>
        <w:rPr>
          <w:b/>
          <w:bCs/>
        </w:rPr>
        <w:t>έξι ώρες εργασίας ανά προϊόν</w:t>
      </w:r>
      <w:r>
        <w:t>. Ως αμοιβή υπολογίστηκαν 60,50 ευρώ/ώρα.</w:t>
      </w:r>
      <w:r>
        <w:rPr>
          <w:vertAlign w:val="superscript"/>
        </w:rPr>
        <w:t xml:space="preserve">3 </w:t>
      </w:r>
      <w:r>
        <w:t>Εάν υποτεθεί ότι θα πρέπει να υπάρξει μετατροπή ποσοστού 50 % περίπου του συνόλου των προϊόντων, το μισθολογικό κόστος αφορά 5 000 προϊόντα.</w:t>
      </w:r>
    </w:p>
    <w:p w14:paraId="082FCC81" w14:textId="77777777" w:rsidR="002201EF" w:rsidRPr="0086292F" w:rsidRDefault="006B7BFE" w:rsidP="009140F6">
      <w:pPr>
        <w:pStyle w:val="Text"/>
        <w:spacing w:before="0" w:after="0"/>
      </w:pPr>
      <w:r>
        <w:t xml:space="preserve">Ως εκ τούτου, οι άπαξ δαπάνες προσωπικού προκύπτουν από τον ακόλουθο υπολογισμό: </w:t>
      </w:r>
    </w:p>
    <w:p w14:paraId="0A22DD87" w14:textId="5FCF7C89" w:rsidR="00D43FA1" w:rsidRDefault="006B7BFE" w:rsidP="009140F6">
      <w:pPr>
        <w:pStyle w:val="Text"/>
        <w:spacing w:before="0" w:after="0"/>
      </w:pPr>
      <w:r>
        <w:t>3 ώρες εργασίες ελέγχου x ωριαία αμοιβή 60,50 ευρώ x 10 000 προϊόντα προς έλεγχο + 6 ώρες εργασίες μετατροπής x ωριαία αμοιβή 60,50 ευρώ x 5 000 προϊόντα προς μετατροπή = 3 630 000 ευρώ.</w:t>
      </w:r>
    </w:p>
    <w:p w14:paraId="2406F8A6" w14:textId="7A9A3CFE" w:rsidR="006B7BFE" w:rsidRPr="00D43FA1" w:rsidRDefault="006B7BFE" w:rsidP="009140F6">
      <w:pPr>
        <w:pStyle w:val="Text"/>
        <w:spacing w:before="0" w:after="0"/>
      </w:pPr>
    </w:p>
    <w:p w14:paraId="3A7DB30D" w14:textId="77777777" w:rsidR="006B7BFE" w:rsidRPr="00D43FA1" w:rsidRDefault="006B7BFE" w:rsidP="0070360F">
      <w:pPr>
        <w:pStyle w:val="Text"/>
        <w:keepNext/>
        <w:keepLines/>
        <w:spacing w:before="0" w:after="0"/>
        <w:rPr>
          <w:u w:val="single"/>
        </w:rPr>
      </w:pPr>
      <w:r>
        <w:rPr>
          <w:b/>
          <w:bCs/>
        </w:rPr>
        <w:t xml:space="preserve">Πίνακας 2: Επισκόπηση του κόστους μετατροπής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436"/>
        <w:gridCol w:w="1134"/>
        <w:gridCol w:w="1275"/>
        <w:gridCol w:w="1276"/>
        <w:gridCol w:w="1276"/>
        <w:gridCol w:w="1276"/>
      </w:tblGrid>
      <w:tr w:rsidR="006B7BFE" w:rsidRPr="00D43FA1" w14:paraId="3E0ACA00" w14:textId="77777777" w:rsidTr="0070360F">
        <w:tc>
          <w:tcPr>
            <w:tcW w:w="2802" w:type="dxa"/>
            <w:gridSpan w:val="2"/>
          </w:tcPr>
          <w:p w14:paraId="6539344C" w14:textId="6E1D7699" w:rsidR="006B7BFE" w:rsidRPr="00D43FA1" w:rsidRDefault="006B7BFE" w:rsidP="0070360F">
            <w:pPr>
              <w:pStyle w:val="Default"/>
              <w:rPr>
                <w:rFonts w:ascii="Arial" w:hAnsi="Arial" w:cs="Arial"/>
                <w:b/>
                <w:sz w:val="22"/>
                <w:szCs w:val="22"/>
              </w:rPr>
            </w:pPr>
            <w:r>
              <w:rPr>
                <w:rFonts w:ascii="Arial" w:hAnsi="Arial"/>
                <w:b/>
                <w:iCs/>
                <w:sz w:val="22"/>
                <w:szCs w:val="22"/>
              </w:rPr>
              <w:t xml:space="preserve">Απαίτηση/υποχρέωση πληροφόρησης (ΥΠ) </w:t>
            </w:r>
          </w:p>
        </w:tc>
        <w:tc>
          <w:tcPr>
            <w:tcW w:w="1134" w:type="dxa"/>
          </w:tcPr>
          <w:p w14:paraId="49FCAF62" w14:textId="0B6392AB" w:rsidR="006B7BFE" w:rsidRPr="00D43FA1" w:rsidRDefault="006B7BFE" w:rsidP="0070360F">
            <w:pPr>
              <w:pStyle w:val="Default"/>
              <w:rPr>
                <w:rFonts w:ascii="Arial" w:hAnsi="Arial" w:cs="Arial"/>
                <w:b/>
                <w:sz w:val="22"/>
                <w:szCs w:val="22"/>
              </w:rPr>
            </w:pPr>
            <w:r>
              <w:rPr>
                <w:rFonts w:ascii="Arial" w:hAnsi="Arial"/>
                <w:b/>
                <w:iCs/>
                <w:sz w:val="22"/>
                <w:szCs w:val="22"/>
              </w:rPr>
              <w:t xml:space="preserve">Άπαξ δαπάνη </w:t>
            </w:r>
            <w:r>
              <w:rPr>
                <w:rFonts w:ascii="Arial" w:hAnsi="Arial"/>
                <w:b/>
                <w:iCs/>
                <w:sz w:val="22"/>
                <w:szCs w:val="22"/>
              </w:rPr>
              <w:lastRenderedPageBreak/>
              <w:t xml:space="preserve">χρόνου σε ώρες </w:t>
            </w:r>
          </w:p>
        </w:tc>
        <w:tc>
          <w:tcPr>
            <w:tcW w:w="1275" w:type="dxa"/>
          </w:tcPr>
          <w:p w14:paraId="3FB6B09A" w14:textId="6C98ECC7" w:rsidR="006B7BFE" w:rsidRPr="00D43FA1" w:rsidRDefault="006B7BFE" w:rsidP="0070360F">
            <w:pPr>
              <w:pStyle w:val="Default"/>
              <w:rPr>
                <w:rFonts w:ascii="Arial" w:hAnsi="Arial" w:cs="Arial"/>
                <w:b/>
                <w:sz w:val="22"/>
                <w:szCs w:val="22"/>
              </w:rPr>
            </w:pPr>
            <w:r>
              <w:rPr>
                <w:rFonts w:ascii="Arial" w:hAnsi="Arial"/>
                <w:b/>
                <w:iCs/>
                <w:sz w:val="22"/>
                <w:szCs w:val="22"/>
              </w:rPr>
              <w:lastRenderedPageBreak/>
              <w:t xml:space="preserve">Αμοιβή σε </w:t>
            </w:r>
            <w:r>
              <w:rPr>
                <w:rFonts w:ascii="Arial" w:hAnsi="Arial"/>
                <w:b/>
                <w:iCs/>
                <w:sz w:val="22"/>
                <w:szCs w:val="22"/>
              </w:rPr>
              <w:lastRenderedPageBreak/>
              <w:t xml:space="preserve">ευρώ/ώρα </w:t>
            </w:r>
          </w:p>
        </w:tc>
        <w:tc>
          <w:tcPr>
            <w:tcW w:w="1276" w:type="dxa"/>
          </w:tcPr>
          <w:p w14:paraId="0F54C0E3" w14:textId="1127C6E8" w:rsidR="006B7BFE" w:rsidRPr="00D43FA1" w:rsidRDefault="006B7BFE" w:rsidP="0070360F">
            <w:pPr>
              <w:pStyle w:val="Default"/>
              <w:rPr>
                <w:rFonts w:ascii="Arial" w:hAnsi="Arial" w:cs="Arial"/>
                <w:b/>
                <w:sz w:val="22"/>
                <w:szCs w:val="22"/>
              </w:rPr>
            </w:pPr>
            <w:r>
              <w:rPr>
                <w:rFonts w:ascii="Arial" w:hAnsi="Arial"/>
                <w:b/>
                <w:iCs/>
                <w:sz w:val="22"/>
                <w:szCs w:val="22"/>
              </w:rPr>
              <w:lastRenderedPageBreak/>
              <w:t xml:space="preserve">Άπαξ δαπάνες </w:t>
            </w:r>
            <w:r>
              <w:rPr>
                <w:rFonts w:ascii="Arial" w:hAnsi="Arial"/>
                <w:b/>
                <w:iCs/>
                <w:sz w:val="22"/>
                <w:szCs w:val="22"/>
              </w:rPr>
              <w:lastRenderedPageBreak/>
              <w:t xml:space="preserve">προσωπικού σε ευρώ </w:t>
            </w:r>
          </w:p>
        </w:tc>
        <w:tc>
          <w:tcPr>
            <w:tcW w:w="1276" w:type="dxa"/>
          </w:tcPr>
          <w:p w14:paraId="2AD81DFC" w14:textId="1826E1E2" w:rsidR="006B7BFE" w:rsidRPr="00D43FA1" w:rsidRDefault="006B7BFE" w:rsidP="0070360F">
            <w:pPr>
              <w:pStyle w:val="Default"/>
              <w:rPr>
                <w:rFonts w:ascii="Arial" w:hAnsi="Arial" w:cs="Arial"/>
                <w:b/>
                <w:sz w:val="22"/>
                <w:szCs w:val="22"/>
              </w:rPr>
            </w:pPr>
            <w:r>
              <w:rPr>
                <w:rFonts w:ascii="Arial" w:hAnsi="Arial"/>
                <w:b/>
                <w:iCs/>
                <w:sz w:val="22"/>
                <w:szCs w:val="22"/>
              </w:rPr>
              <w:lastRenderedPageBreak/>
              <w:t xml:space="preserve">Άπαξ δαπάνες </w:t>
            </w:r>
            <w:r>
              <w:rPr>
                <w:rFonts w:ascii="Arial" w:hAnsi="Arial"/>
                <w:b/>
                <w:iCs/>
                <w:sz w:val="22"/>
                <w:szCs w:val="22"/>
              </w:rPr>
              <w:lastRenderedPageBreak/>
              <w:t xml:space="preserve">υλικών σε ευρώ </w:t>
            </w:r>
          </w:p>
        </w:tc>
        <w:tc>
          <w:tcPr>
            <w:tcW w:w="1276" w:type="dxa"/>
          </w:tcPr>
          <w:p w14:paraId="50C55997" w14:textId="26B44DE8" w:rsidR="006B7BFE" w:rsidRPr="00D43FA1" w:rsidRDefault="006B7BFE" w:rsidP="0070360F">
            <w:pPr>
              <w:pStyle w:val="Default"/>
              <w:rPr>
                <w:rFonts w:ascii="Arial" w:hAnsi="Arial" w:cs="Arial"/>
                <w:b/>
                <w:sz w:val="22"/>
                <w:szCs w:val="22"/>
              </w:rPr>
            </w:pPr>
            <w:r>
              <w:rPr>
                <w:rFonts w:ascii="Arial" w:hAnsi="Arial"/>
                <w:b/>
                <w:bCs/>
                <w:iCs/>
                <w:sz w:val="22"/>
                <w:szCs w:val="22"/>
              </w:rPr>
              <w:lastRenderedPageBreak/>
              <w:t xml:space="preserve">Άπαξ κόστος </w:t>
            </w:r>
            <w:r>
              <w:rPr>
                <w:rFonts w:ascii="Arial" w:hAnsi="Arial"/>
                <w:b/>
                <w:bCs/>
                <w:iCs/>
                <w:sz w:val="22"/>
                <w:szCs w:val="22"/>
              </w:rPr>
              <w:lastRenderedPageBreak/>
              <w:t xml:space="preserve">συμμόρφωσης σε ευρώ </w:t>
            </w:r>
          </w:p>
        </w:tc>
      </w:tr>
      <w:tr w:rsidR="006B7BFE" w:rsidRPr="00D43FA1" w14:paraId="19635ABD" w14:textId="77777777" w:rsidTr="0070360F">
        <w:tc>
          <w:tcPr>
            <w:tcW w:w="1366" w:type="dxa"/>
          </w:tcPr>
          <w:p w14:paraId="3EF43B2A" w14:textId="77777777" w:rsidR="006B7BFE" w:rsidRPr="00D43FA1" w:rsidRDefault="006B7BFE" w:rsidP="006B7BFE">
            <w:pPr>
              <w:pStyle w:val="Default"/>
              <w:rPr>
                <w:rFonts w:ascii="Arial" w:hAnsi="Arial" w:cs="Arial"/>
                <w:sz w:val="22"/>
                <w:szCs w:val="22"/>
              </w:rPr>
            </w:pPr>
            <w:r>
              <w:rPr>
                <w:rFonts w:ascii="Arial" w:hAnsi="Arial"/>
                <w:sz w:val="22"/>
                <w:szCs w:val="22"/>
              </w:rPr>
              <w:lastRenderedPageBreak/>
              <w:t xml:space="preserve">Λειτουργικός φραγμός </w:t>
            </w:r>
          </w:p>
        </w:tc>
        <w:tc>
          <w:tcPr>
            <w:tcW w:w="1436" w:type="dxa"/>
          </w:tcPr>
          <w:p w14:paraId="3A8E99F1" w14:textId="77777777" w:rsidR="006B7BFE" w:rsidRPr="00D43FA1" w:rsidRDefault="006B7BFE" w:rsidP="000F1682">
            <w:pPr>
              <w:pStyle w:val="Default"/>
              <w:rPr>
                <w:rFonts w:ascii="Arial" w:hAnsi="Arial" w:cs="Arial"/>
                <w:sz w:val="22"/>
                <w:szCs w:val="22"/>
              </w:rPr>
            </w:pPr>
            <w:r>
              <w:rPr>
                <w:rFonts w:ascii="Arial" w:hAnsi="Arial"/>
                <w:sz w:val="22"/>
                <w:szCs w:val="22"/>
              </w:rPr>
              <w:t xml:space="preserve">Άρθρο 69α παράγραφοι 1 και 4 </w:t>
            </w:r>
          </w:p>
        </w:tc>
        <w:tc>
          <w:tcPr>
            <w:tcW w:w="1134" w:type="dxa"/>
          </w:tcPr>
          <w:p w14:paraId="0BB48AAC" w14:textId="77777777" w:rsidR="006B7BFE" w:rsidRPr="00D43FA1" w:rsidRDefault="006B7BFE" w:rsidP="002F4768">
            <w:pPr>
              <w:pStyle w:val="Default"/>
              <w:rPr>
                <w:rFonts w:ascii="Arial" w:hAnsi="Arial" w:cs="Arial"/>
                <w:sz w:val="22"/>
                <w:szCs w:val="22"/>
              </w:rPr>
            </w:pPr>
            <w:r>
              <w:rPr>
                <w:rFonts w:ascii="Arial" w:hAnsi="Arial"/>
                <w:sz w:val="22"/>
                <w:szCs w:val="22"/>
              </w:rPr>
              <w:t xml:space="preserve">60 000 </w:t>
            </w:r>
          </w:p>
        </w:tc>
        <w:tc>
          <w:tcPr>
            <w:tcW w:w="1275" w:type="dxa"/>
          </w:tcPr>
          <w:p w14:paraId="28388CFA" w14:textId="77777777" w:rsidR="006B7BFE" w:rsidRPr="00D43FA1" w:rsidRDefault="00A4031B" w:rsidP="006B7BFE">
            <w:pPr>
              <w:pStyle w:val="Default"/>
              <w:rPr>
                <w:rFonts w:ascii="Arial" w:hAnsi="Arial" w:cs="Arial"/>
                <w:sz w:val="22"/>
                <w:szCs w:val="22"/>
              </w:rPr>
            </w:pPr>
            <w:r>
              <w:rPr>
                <w:rFonts w:ascii="Arial" w:hAnsi="Arial"/>
                <w:sz w:val="22"/>
                <w:szCs w:val="22"/>
              </w:rPr>
              <w:t>60,50</w:t>
            </w:r>
          </w:p>
        </w:tc>
        <w:tc>
          <w:tcPr>
            <w:tcW w:w="1276" w:type="dxa"/>
          </w:tcPr>
          <w:p w14:paraId="1C8517E8" w14:textId="77777777" w:rsidR="006B7BFE" w:rsidRPr="00D43FA1" w:rsidRDefault="00A4031B" w:rsidP="002F4768">
            <w:pPr>
              <w:pStyle w:val="Default"/>
              <w:rPr>
                <w:rFonts w:ascii="Arial" w:hAnsi="Arial" w:cs="Arial"/>
                <w:sz w:val="22"/>
                <w:szCs w:val="22"/>
              </w:rPr>
            </w:pPr>
            <w:r>
              <w:rPr>
                <w:rFonts w:ascii="Arial" w:hAnsi="Arial"/>
                <w:sz w:val="22"/>
                <w:szCs w:val="22"/>
              </w:rPr>
              <w:t xml:space="preserve">3 630 000 </w:t>
            </w:r>
          </w:p>
        </w:tc>
        <w:tc>
          <w:tcPr>
            <w:tcW w:w="1276" w:type="dxa"/>
          </w:tcPr>
          <w:p w14:paraId="38F2E4E4" w14:textId="77777777" w:rsidR="006B7BFE" w:rsidRPr="00D43FA1" w:rsidRDefault="006B7BFE" w:rsidP="002F4768">
            <w:pPr>
              <w:pStyle w:val="Default"/>
              <w:rPr>
                <w:rFonts w:ascii="Arial" w:hAnsi="Arial" w:cs="Arial"/>
                <w:sz w:val="22"/>
                <w:szCs w:val="22"/>
              </w:rPr>
            </w:pPr>
            <w:r>
              <w:rPr>
                <w:rFonts w:ascii="Arial" w:hAnsi="Arial"/>
                <w:sz w:val="22"/>
                <w:szCs w:val="22"/>
              </w:rPr>
              <w:t xml:space="preserve">5 650 000 </w:t>
            </w:r>
          </w:p>
        </w:tc>
        <w:tc>
          <w:tcPr>
            <w:tcW w:w="1276" w:type="dxa"/>
            <w:shd w:val="clear" w:color="auto" w:fill="BFBFBF" w:themeFill="background1" w:themeFillShade="BF"/>
          </w:tcPr>
          <w:p w14:paraId="5943CEDA" w14:textId="77777777" w:rsidR="006B7BFE" w:rsidRPr="00D43FA1" w:rsidRDefault="002F4768" w:rsidP="002F4768">
            <w:pPr>
              <w:pStyle w:val="Default"/>
              <w:rPr>
                <w:rFonts w:ascii="Arial" w:hAnsi="Arial" w:cs="Arial"/>
                <w:sz w:val="22"/>
                <w:szCs w:val="22"/>
              </w:rPr>
            </w:pPr>
            <w:r>
              <w:rPr>
                <w:rFonts w:ascii="Arial" w:hAnsi="Arial"/>
                <w:b/>
                <w:bCs/>
                <w:sz w:val="22"/>
                <w:szCs w:val="22"/>
              </w:rPr>
              <w:t xml:space="preserve"> 9 280 000 </w:t>
            </w:r>
          </w:p>
        </w:tc>
      </w:tr>
    </w:tbl>
    <w:p w14:paraId="70DC6500" w14:textId="77777777" w:rsidR="00D43FA1" w:rsidRDefault="00D43FA1" w:rsidP="00557D18">
      <w:pPr>
        <w:pStyle w:val="Text"/>
        <w:spacing w:before="0" w:after="0"/>
        <w:jc w:val="left"/>
        <w:rPr>
          <w:rStyle w:val="CommentReference"/>
          <w:rFonts w:ascii="Times New Roman" w:eastAsia="Times New Roman" w:hAnsi="Times New Roman" w:cs="Times New Roman"/>
          <w:lang w:eastAsia="de-DE"/>
        </w:rPr>
      </w:pPr>
    </w:p>
    <w:p w14:paraId="09D77BBF" w14:textId="77777777" w:rsidR="00D43FA1" w:rsidRDefault="006B7BFE" w:rsidP="0086292F">
      <w:pPr>
        <w:pStyle w:val="Text"/>
        <w:keepNext/>
        <w:keepLines/>
        <w:spacing w:before="0" w:after="0"/>
        <w:jc w:val="left"/>
        <w:rPr>
          <w:rStyle w:val="CommentReference"/>
          <w:rFonts w:ascii="Times New Roman" w:eastAsia="Times New Roman" w:hAnsi="Times New Roman" w:cs="Times New Roman"/>
        </w:rPr>
      </w:pPr>
      <w:r>
        <w:t xml:space="preserve">β) Ετήσιο κόστος συμμόρφωσης </w:t>
      </w:r>
    </w:p>
    <w:p w14:paraId="5CB6CCB6" w14:textId="521BA6B6" w:rsidR="006B7BFE" w:rsidRPr="00D43FA1" w:rsidRDefault="006B7BFE" w:rsidP="0086292F">
      <w:pPr>
        <w:pStyle w:val="Text"/>
        <w:keepNext/>
        <w:keepLines/>
        <w:spacing w:before="0" w:after="0"/>
        <w:jc w:val="left"/>
      </w:pPr>
    </w:p>
    <w:p w14:paraId="318EDF1F" w14:textId="77777777" w:rsidR="00D43FA1" w:rsidRDefault="006B7BFE" w:rsidP="0086292F">
      <w:pPr>
        <w:pStyle w:val="Text"/>
        <w:keepNext/>
        <w:keepLines/>
        <w:spacing w:before="0" w:after="0"/>
        <w:rPr>
          <w:i/>
          <w:iCs/>
        </w:rPr>
      </w:pPr>
      <w:r>
        <w:rPr>
          <w:i/>
          <w:iCs/>
        </w:rPr>
        <w:t xml:space="preserve">Το ετήσιο κόστος συμμόρφωσης περιλαμβάνει το κόστος προσωπικού και το υλικό κόστος για τον περιοδικό έλεγχο καθώς και το πρόσθετο κόστος για τη συμμόρφωση της λύσης της συσκευασίας με τους κανονισμούς σύμφωνα με το άρθρο 6α. Ο περιοδικός έλεγχος των τροφίμων και των λύσεων των συσκευασιών περιλαμβάνει τη δειγματοληψία, την ανάλυση και την αξιολόγηση. </w:t>
      </w:r>
    </w:p>
    <w:p w14:paraId="61757831" w14:textId="2AB309E2" w:rsidR="006B7BFE" w:rsidRPr="00D43FA1" w:rsidRDefault="006B7BFE" w:rsidP="0086292F">
      <w:pPr>
        <w:pStyle w:val="Text"/>
        <w:keepNext/>
        <w:keepLines/>
        <w:spacing w:before="0" w:after="0"/>
        <w:rPr>
          <w:i/>
          <w:iCs/>
        </w:rPr>
      </w:pPr>
    </w:p>
    <w:p w14:paraId="3A014E51" w14:textId="43820923" w:rsidR="006B7BFE" w:rsidRPr="0086292F" w:rsidRDefault="006B7BFE" w:rsidP="00557D18">
      <w:pPr>
        <w:pStyle w:val="Text"/>
        <w:numPr>
          <w:ilvl w:val="0"/>
          <w:numId w:val="5"/>
        </w:numPr>
        <w:spacing w:before="0" w:after="0"/>
        <w:rPr>
          <w:color w:val="000000"/>
        </w:rPr>
      </w:pPr>
      <w:r>
        <w:rPr>
          <w:i/>
          <w:iCs/>
        </w:rPr>
        <w:t>Αριθμός περιπτώσεων</w:t>
      </w:r>
      <w:r>
        <w:t xml:space="preserve"> </w:t>
      </w:r>
      <w:r>
        <w:rPr>
          <w:color w:val="000000"/>
        </w:rPr>
        <w:t xml:space="preserve">(= εμπλεκόμενα προϊόντα: τρόφιμα συν τα υλικά και αντικείμενα που έρχονται σε επαφή με αυτά) </w:t>
      </w:r>
    </w:p>
    <w:p w14:paraId="6EA56C3D" w14:textId="77777777" w:rsidR="00D43FA1" w:rsidRPr="00D43FA1" w:rsidRDefault="00D43FA1" w:rsidP="00D43FA1">
      <w:pPr>
        <w:pStyle w:val="Text"/>
        <w:spacing w:before="0" w:after="0"/>
        <w:ind w:left="360"/>
        <w:rPr>
          <w:u w:val="single"/>
        </w:rPr>
      </w:pPr>
    </w:p>
    <w:p w14:paraId="5F264B2C" w14:textId="77777777" w:rsidR="006B7BFE" w:rsidRPr="00D43FA1" w:rsidRDefault="006B7BFE" w:rsidP="009140F6">
      <w:pPr>
        <w:pStyle w:val="Text"/>
        <w:spacing w:before="0" w:after="0"/>
      </w:pPr>
      <w:r>
        <w:t xml:space="preserve">Ο συνολικός αριθμός των προϊόντων που εμπίπτουν στις διατάξεις του κανονισμού απορρέει από τον αριθμό των περιπτώσεων των προϊόντων και οδηγεί στο ακόλουθο άπαξ κόστος μετατροπής: επηρεάζονται ουσιαστικά 10 000 προϊόντα ενώ πρέπει να υπάρξει μετατροπή της συσκευασίας 5 000 προϊόντων. Η συμμόρφωση της νέας συσκευασίας θα ελέγχεται σε ετήσια βάση για αυτά τα 5 000 προϊόντα. Αυτό το κόστος θα υπάρξει και για τα προϊόντα που δεν θα υποβληθούν σε μετατροπή, σύμφωνα με τις επιχειρήσεις που ερωτήθηκαν. Εκτιμάται ότι ο έλεγχος αντιστοιχεί στο ένα τρίτο περίπου του κόστους για τη μετατροπή των προϊόντων. </w:t>
      </w:r>
    </w:p>
    <w:p w14:paraId="5B1EB757" w14:textId="77777777" w:rsidR="006B7BFE" w:rsidRPr="00D43FA1" w:rsidRDefault="006B7BFE" w:rsidP="009140F6">
      <w:pPr>
        <w:pStyle w:val="Text"/>
        <w:spacing w:before="0" w:after="0"/>
      </w:pPr>
    </w:p>
    <w:p w14:paraId="446C7513" w14:textId="77777777" w:rsidR="006B7BFE" w:rsidRPr="00D43FA1" w:rsidRDefault="006B7BFE" w:rsidP="0070360F">
      <w:pPr>
        <w:pStyle w:val="Text"/>
        <w:keepNext/>
        <w:keepLines/>
        <w:numPr>
          <w:ilvl w:val="0"/>
          <w:numId w:val="6"/>
        </w:numPr>
        <w:spacing w:before="0" w:after="0"/>
      </w:pPr>
      <w:r>
        <w:rPr>
          <w:i/>
          <w:iCs/>
        </w:rPr>
        <w:t>Δαπάνες προσωπικού</w:t>
      </w:r>
    </w:p>
    <w:p w14:paraId="0FD42608" w14:textId="77777777" w:rsidR="006B7BFE" w:rsidRPr="00D43FA1" w:rsidRDefault="006B7BFE" w:rsidP="0070360F">
      <w:pPr>
        <w:pStyle w:val="Text"/>
        <w:keepNext/>
        <w:keepLines/>
        <w:spacing w:before="0" w:after="0"/>
        <w:rPr>
          <w:i/>
          <w:iCs/>
          <w:u w:val="single"/>
        </w:rPr>
      </w:pPr>
    </w:p>
    <w:p w14:paraId="58C3C95C" w14:textId="77777777" w:rsidR="006B7BFE" w:rsidRPr="00D43FA1" w:rsidRDefault="00E71594" w:rsidP="009140F6">
      <w:pPr>
        <w:pStyle w:val="Text"/>
        <w:spacing w:before="0" w:after="0"/>
      </w:pPr>
      <w:r>
        <w:t xml:space="preserve">Το ετήσιο κόστος συμμόρφωσης προκύπτει από τις δαπάνες προσωπικού για την εκτέλεση των εργασιών στο πεδίο του περιοδικού ελέγχου των τροφίμων και των αντίστοιχων υλικών και αντικειμένων που έρχονται σε επαφή με αυτά (δηλαδή των συσκευασιών) (προετοιμασία των εργαστηριακών εξετάσεων και συνέχεια που δίδεται· η διενέργεια των αναλύσεων αυτή καθαυτή λαμβάνει χώρα κατά κύριο λόγο σε εξωτερικά εργαστήρια). Για κάθε περίπτωση ζητήθηκε το συνολικό κόστος για όλα τα εμπλεκόμενα προϊόντα μιας επιχείρησης και αυτό το συνολικό κόστος κατανεμήθηκε ανάλογα με τον αριθμό των προϊόντων της επιχείρησης που εμπίπτουν στο πεδίο εφαρμογής του κανονισμού. </w:t>
      </w:r>
    </w:p>
    <w:p w14:paraId="6A10C10F" w14:textId="77777777" w:rsidR="006B7BFE" w:rsidRPr="00D43FA1" w:rsidRDefault="006B7BFE" w:rsidP="009140F6">
      <w:pPr>
        <w:pStyle w:val="Text"/>
        <w:spacing w:before="0" w:after="0"/>
        <w:rPr>
          <w:vertAlign w:val="superscript"/>
        </w:rPr>
      </w:pPr>
      <w:r>
        <w:t xml:space="preserve">Με βάση τις συνεντεύξεις που πραγματοποιήθηκαν μπόρεσε να συναχθεί το συμπέρασμα ότι για τον έλεγχο των τροφίμων και των αντίστοιχων υλικών και αντικειμένων που έρχονται σε επαφή με τα τρόφιμα θα υπάρξει ετήσια δαπάνη χρόνου της τάξεως των </w:t>
      </w:r>
      <w:r>
        <w:rPr>
          <w:b/>
          <w:bCs/>
        </w:rPr>
        <w:t>τριών ωρών ανά προϊόν</w:t>
      </w:r>
      <w:r>
        <w:t xml:space="preserve"> περίπου. Αυτό περιλαμβάνει εκτός από την ανάλυση των MOAH και προπαρασκευαστικές εργασίες, όπως η δειγματοληψία. Ως αμοιβή υπολογίστηκαν 60,50 ευρώ/ώρα.</w:t>
      </w:r>
      <w:r>
        <w:rPr>
          <w:vertAlign w:val="superscript"/>
        </w:rPr>
        <w:t>3</w:t>
      </w:r>
    </w:p>
    <w:p w14:paraId="1FCB5935" w14:textId="77777777" w:rsidR="006B7BFE" w:rsidRPr="00D43FA1" w:rsidRDefault="006B7BFE" w:rsidP="009140F6">
      <w:pPr>
        <w:pStyle w:val="Text"/>
        <w:spacing w:before="0" w:after="0"/>
        <w:rPr>
          <w:vertAlign w:val="superscript"/>
        </w:rPr>
      </w:pPr>
      <w:r>
        <w:t xml:space="preserve">Με βάση τις συνεντεύξεις προκύπτει ανάγκη λιγότερο εντατικών ελέγχων για τα προϊόντα που δεν θα υποβληθούν σε μετατροπή (50 % του συνολικού αριθμού, δηλαδή 5 000 προϊόντα). Η ετήσια δαπάνη χρόνου αντιστοιχεί συνεπώς σε </w:t>
      </w:r>
      <w:r>
        <w:rPr>
          <w:b/>
          <w:bCs/>
        </w:rPr>
        <w:t>μία ώρα ανά προϊόν</w:t>
      </w:r>
      <w:r>
        <w:t>. Ως αμοιβή υπολογίστηκαν 60,50 ευρώ/ώρα.</w:t>
      </w:r>
      <w:r>
        <w:rPr>
          <w:vertAlign w:val="superscript"/>
        </w:rPr>
        <w:t xml:space="preserve">3 </w:t>
      </w:r>
    </w:p>
    <w:p w14:paraId="572A0A4A" w14:textId="671EEE96" w:rsidR="006B7BFE" w:rsidRPr="00D43FA1" w:rsidRDefault="006B7BFE" w:rsidP="009140F6">
      <w:pPr>
        <w:pStyle w:val="Text"/>
        <w:spacing w:before="0" w:after="0"/>
      </w:pPr>
      <w:r>
        <w:t xml:space="preserve">Ως εκ τούτου, οι ετήσιες δαπάνες προσωπικού υπολογίστηκαν σύμφωνα με τον ακόλουθο τύπο: 3 ώρες εργασίες ελέγχου x ωριαία αμοιβή 60,50 ευρώ x 5 000 προϊόντα + 1 ώρα εργασίες ελέγχου x ωριαία αμοιβή 60,50 ευρώ x 5 000 προϊόντα = 1 210 000 ευρώ. </w:t>
      </w:r>
    </w:p>
    <w:p w14:paraId="471B7111" w14:textId="385C935E" w:rsidR="003923C4" w:rsidRPr="00D43FA1" w:rsidRDefault="003923C4" w:rsidP="009140F6">
      <w:pPr>
        <w:pStyle w:val="Text"/>
        <w:spacing w:before="0" w:after="0"/>
      </w:pPr>
    </w:p>
    <w:p w14:paraId="02CD70EC" w14:textId="77777777" w:rsidR="006B7BFE" w:rsidRPr="00D43FA1" w:rsidRDefault="006B7BFE" w:rsidP="0070360F">
      <w:pPr>
        <w:pStyle w:val="Text"/>
        <w:keepNext/>
        <w:keepLines/>
        <w:numPr>
          <w:ilvl w:val="0"/>
          <w:numId w:val="6"/>
        </w:numPr>
        <w:spacing w:before="0" w:after="0"/>
      </w:pPr>
      <w:r>
        <w:rPr>
          <w:i/>
          <w:iCs/>
        </w:rPr>
        <w:t xml:space="preserve">Δαπάνες υλικών </w:t>
      </w:r>
    </w:p>
    <w:p w14:paraId="1E71B5C0" w14:textId="77777777" w:rsidR="006B7BFE" w:rsidRPr="00D43FA1" w:rsidRDefault="006B7BFE" w:rsidP="0070360F">
      <w:pPr>
        <w:pStyle w:val="Text"/>
        <w:keepNext/>
        <w:keepLines/>
        <w:spacing w:before="0" w:after="0"/>
        <w:rPr>
          <w:i/>
          <w:iCs/>
          <w:u w:val="single"/>
        </w:rPr>
      </w:pPr>
    </w:p>
    <w:p w14:paraId="0B563A15" w14:textId="77777777" w:rsidR="006B7BFE" w:rsidRPr="00D43FA1" w:rsidRDefault="006B7BFE" w:rsidP="009140F6">
      <w:pPr>
        <w:pStyle w:val="Text"/>
        <w:spacing w:before="0" w:after="0"/>
      </w:pPr>
      <w:r>
        <w:t xml:space="preserve">Οι δαπάνες υλικών συνίστανται στο κόστος του περιοδικού ελέγχου των τροφίμων και των αντίστοιχων υλικών και αντικειμένων που έρχονται σε επαφή με τα τρόφιμα (δηλαδή των συσκευασιών) και το πρόσθετο κόστος για τη μετατροπή των συσκευασιών. Το κόστος συνίσταται στην ανάθεση των ερευνών σε εξωτερικά εργαστήρια. Λίγες μόνον επιχειρήσεις </w:t>
      </w:r>
      <w:r>
        <w:lastRenderedPageBreak/>
        <w:t xml:space="preserve">διενεργούν οι ίδιες εξ ολοκλήρου τις αναλύσεις. Για κάθε περίπτωση ζητήθηκε το κόστος για όλα τα εμπλεκόμενα προϊόντα μιας επιχείρησης και αυτό το συνολικό κόστος κατανεμήθηκε ανάλογα με τον αριθμό των προϊόντων της επιχείρησης που εμπίπτουν στο πεδίο εφαρμογής του κανονισμού. </w:t>
      </w:r>
    </w:p>
    <w:p w14:paraId="05FEEC02" w14:textId="77777777" w:rsidR="006B7BFE" w:rsidRPr="00D43FA1" w:rsidRDefault="006B7BFE" w:rsidP="009140F6">
      <w:pPr>
        <w:pStyle w:val="Text"/>
        <w:spacing w:before="0" w:after="0"/>
      </w:pPr>
      <w:r>
        <w:t xml:space="preserve">Με βάση τις συνεντεύξεις που πραγματοποιήθηκαν, μπόρεσε να συναχθεί το συμπέρασμα ότι ο έλεγχος των τροφίμων και των αντίστοιχων υλικών και αντικειμένων που έρχονται σε επαφή με τρόφιμα θα κοστίσει σε ετήσια βάση περίπου </w:t>
      </w:r>
      <w:r>
        <w:rPr>
          <w:b/>
          <w:bCs/>
        </w:rPr>
        <w:t>290 ευρώ ανά προϊόν</w:t>
      </w:r>
      <w:r>
        <w:t xml:space="preserve">. Οι δαπάνες αυτές των υλικών αφορούν 5 000 προϊόντα. Για τους λιγότερο εντατικούς ελέγχους των τροφίμων που δεν θα υποβληθούν σε μετατροπή διαπιστώθηκε ότι θα κοστίσουν περίπου </w:t>
      </w:r>
      <w:r>
        <w:rPr>
          <w:b/>
          <w:bCs/>
        </w:rPr>
        <w:t>100 ευρώ ανά προϊόν</w:t>
      </w:r>
      <w:r>
        <w:t xml:space="preserve"> και ότι αφορούν 5 000 προϊόντα. </w:t>
      </w:r>
    </w:p>
    <w:p w14:paraId="1FB0BAEE" w14:textId="77777777" w:rsidR="006B7BFE" w:rsidRPr="00D43FA1" w:rsidRDefault="006B7BFE" w:rsidP="009140F6">
      <w:pPr>
        <w:pStyle w:val="Text"/>
        <w:spacing w:before="0" w:after="0"/>
      </w:pPr>
      <w:r>
        <w:t xml:space="preserve">Το πρόσθετο κόστος για τα υλικά συσκευασίας των 5 000 προϊόντων που θα υποβληθούν σε μετατροπή ανέρχεται σε περίπου </w:t>
      </w:r>
      <w:r>
        <w:rPr>
          <w:b/>
          <w:bCs/>
        </w:rPr>
        <w:t>1 000 ευρώ ανά προϊόν</w:t>
      </w:r>
      <w:r>
        <w:t xml:space="preserve">. </w:t>
      </w:r>
    </w:p>
    <w:p w14:paraId="5A000AC2" w14:textId="77777777" w:rsidR="006B7BFE" w:rsidRPr="00D43FA1" w:rsidRDefault="006B7BFE" w:rsidP="009140F6">
      <w:pPr>
        <w:pStyle w:val="Text"/>
        <w:spacing w:before="0" w:after="0"/>
      </w:pPr>
      <w:r>
        <w:t xml:space="preserve">Ως εκ τούτου, οι ετήσιες δαπάνες υλικών υπολογίστηκαν σύμφωνα με τον ακόλουθο τύπο: 290 ευρώ κόστος ελέγχων x 5 000 προϊόντα + 100 ευρώ κόστος ελέγχων x 5 000 προϊόντα + 1 000 ευρώ κόστος υλικών x 5 000 προϊόντα = 6 950 000 ευρώ. </w:t>
      </w:r>
    </w:p>
    <w:p w14:paraId="4EA9AD8F" w14:textId="77777777" w:rsidR="006B7BFE" w:rsidRPr="00D43FA1" w:rsidRDefault="006B7BFE" w:rsidP="009140F6">
      <w:pPr>
        <w:pStyle w:val="Text"/>
        <w:spacing w:before="0" w:after="0"/>
      </w:pPr>
    </w:p>
    <w:p w14:paraId="5E74352B" w14:textId="77777777" w:rsidR="006B7BFE" w:rsidRPr="00D43FA1" w:rsidRDefault="006B7BFE" w:rsidP="0070360F">
      <w:pPr>
        <w:pStyle w:val="Text"/>
        <w:keepNext/>
        <w:keepLines/>
        <w:spacing w:before="0" w:after="0"/>
        <w:rPr>
          <w:u w:val="single"/>
        </w:rPr>
      </w:pPr>
      <w:r>
        <w:rPr>
          <w:b/>
          <w:bCs/>
        </w:rPr>
        <w:t xml:space="preserve">Πίνακας 3: Επισκόπηση του τρέχοντος κόστους συμμόρφωσης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294"/>
        <w:gridCol w:w="1276"/>
        <w:gridCol w:w="1275"/>
        <w:gridCol w:w="1276"/>
        <w:gridCol w:w="1276"/>
        <w:gridCol w:w="1276"/>
      </w:tblGrid>
      <w:tr w:rsidR="006B7BFE" w:rsidRPr="00D43FA1" w14:paraId="1A7C22AA" w14:textId="77777777" w:rsidTr="0070360F">
        <w:tc>
          <w:tcPr>
            <w:tcW w:w="2660" w:type="dxa"/>
            <w:gridSpan w:val="2"/>
          </w:tcPr>
          <w:p w14:paraId="4EBDEFBC" w14:textId="603EE879"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Απαίτηση/υποχρέωση πληροφόρησης (ΥΠ) </w:t>
            </w:r>
          </w:p>
          <w:p w14:paraId="67A2E6B2" w14:textId="77777777" w:rsidR="006B7BFE" w:rsidRPr="00D43FA1" w:rsidRDefault="006B7BFE" w:rsidP="0070360F">
            <w:pPr>
              <w:pStyle w:val="Default"/>
              <w:keepNext/>
              <w:keepLines/>
              <w:rPr>
                <w:rFonts w:ascii="Arial" w:hAnsi="Arial" w:cs="Arial"/>
                <w:b/>
                <w:sz w:val="22"/>
                <w:szCs w:val="22"/>
              </w:rPr>
            </w:pPr>
          </w:p>
        </w:tc>
        <w:tc>
          <w:tcPr>
            <w:tcW w:w="1276" w:type="dxa"/>
          </w:tcPr>
          <w:p w14:paraId="06CC8623" w14:textId="2AD90995"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Ετήσια δαπάνη χρόνου σε ώρες </w:t>
            </w:r>
          </w:p>
        </w:tc>
        <w:tc>
          <w:tcPr>
            <w:tcW w:w="1275" w:type="dxa"/>
          </w:tcPr>
          <w:p w14:paraId="6C38D040" w14:textId="63516781"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Αμοιβή σε ευρώ/ώρα </w:t>
            </w:r>
          </w:p>
        </w:tc>
        <w:tc>
          <w:tcPr>
            <w:tcW w:w="1276" w:type="dxa"/>
          </w:tcPr>
          <w:p w14:paraId="759A246A" w14:textId="299BA053"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Ετήσιες δαπάνες προσωπικού σε ευρώ </w:t>
            </w:r>
          </w:p>
        </w:tc>
        <w:tc>
          <w:tcPr>
            <w:tcW w:w="1276" w:type="dxa"/>
          </w:tcPr>
          <w:p w14:paraId="3BAD02CC" w14:textId="52624B6B"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Ετήσιες δαπάνες υλικών σε ευρώ </w:t>
            </w:r>
          </w:p>
        </w:tc>
        <w:tc>
          <w:tcPr>
            <w:tcW w:w="1276" w:type="dxa"/>
          </w:tcPr>
          <w:p w14:paraId="7EA852C4" w14:textId="1FF43BB6" w:rsidR="006B7BFE" w:rsidRPr="00D43FA1" w:rsidRDefault="006B7BFE" w:rsidP="0070360F">
            <w:pPr>
              <w:pStyle w:val="Default"/>
              <w:keepNext/>
              <w:keepLines/>
              <w:rPr>
                <w:rFonts w:ascii="Arial" w:hAnsi="Arial" w:cs="Arial"/>
                <w:b/>
                <w:sz w:val="22"/>
                <w:szCs w:val="22"/>
              </w:rPr>
            </w:pPr>
            <w:r>
              <w:rPr>
                <w:rFonts w:ascii="Arial" w:hAnsi="Arial"/>
                <w:b/>
                <w:bCs/>
                <w:iCs/>
                <w:sz w:val="22"/>
                <w:szCs w:val="22"/>
              </w:rPr>
              <w:t xml:space="preserve">Ετήσιο κόστος συμμόρφωσης σε ευρώ </w:t>
            </w:r>
          </w:p>
        </w:tc>
      </w:tr>
      <w:tr w:rsidR="006B7BFE" w:rsidRPr="00D43FA1" w14:paraId="17404952" w14:textId="77777777" w:rsidTr="0070360F">
        <w:tc>
          <w:tcPr>
            <w:tcW w:w="1366" w:type="dxa"/>
          </w:tcPr>
          <w:p w14:paraId="274A982B" w14:textId="77777777" w:rsidR="006B7BFE" w:rsidRPr="00D43FA1" w:rsidRDefault="006B7BFE" w:rsidP="006B7BFE">
            <w:pPr>
              <w:pStyle w:val="Default"/>
              <w:rPr>
                <w:rFonts w:ascii="Arial" w:hAnsi="Arial" w:cs="Arial"/>
                <w:sz w:val="22"/>
                <w:szCs w:val="22"/>
              </w:rPr>
            </w:pPr>
            <w:r>
              <w:rPr>
                <w:rFonts w:ascii="Arial" w:hAnsi="Arial"/>
                <w:sz w:val="22"/>
                <w:szCs w:val="22"/>
              </w:rPr>
              <w:t xml:space="preserve">Λειτουργικός φραγμός </w:t>
            </w:r>
          </w:p>
        </w:tc>
        <w:tc>
          <w:tcPr>
            <w:tcW w:w="1294" w:type="dxa"/>
          </w:tcPr>
          <w:p w14:paraId="73BC7D3D" w14:textId="77777777" w:rsidR="006B7BFE" w:rsidRPr="00D43FA1" w:rsidRDefault="006B7BFE" w:rsidP="000F1682">
            <w:pPr>
              <w:pStyle w:val="Default"/>
              <w:rPr>
                <w:rFonts w:ascii="Arial" w:hAnsi="Arial" w:cs="Arial"/>
                <w:sz w:val="22"/>
                <w:szCs w:val="22"/>
              </w:rPr>
            </w:pPr>
            <w:r>
              <w:rPr>
                <w:rFonts w:ascii="Arial" w:hAnsi="Arial"/>
                <w:sz w:val="22"/>
                <w:szCs w:val="22"/>
              </w:rPr>
              <w:t xml:space="preserve">Άρθρο 69α παράγραφοι 1 και 4 </w:t>
            </w:r>
          </w:p>
        </w:tc>
        <w:tc>
          <w:tcPr>
            <w:tcW w:w="1276" w:type="dxa"/>
          </w:tcPr>
          <w:p w14:paraId="211D8246" w14:textId="77777777" w:rsidR="006B7BFE" w:rsidRPr="00D43FA1" w:rsidRDefault="006B7BFE" w:rsidP="002F4768">
            <w:pPr>
              <w:pStyle w:val="Default"/>
              <w:rPr>
                <w:rFonts w:ascii="Arial" w:hAnsi="Arial" w:cs="Arial"/>
                <w:sz w:val="22"/>
                <w:szCs w:val="22"/>
              </w:rPr>
            </w:pPr>
            <w:r>
              <w:rPr>
                <w:rFonts w:ascii="Arial" w:hAnsi="Arial"/>
                <w:sz w:val="22"/>
                <w:szCs w:val="22"/>
              </w:rPr>
              <w:t xml:space="preserve">20 000 </w:t>
            </w:r>
          </w:p>
        </w:tc>
        <w:tc>
          <w:tcPr>
            <w:tcW w:w="1275" w:type="dxa"/>
          </w:tcPr>
          <w:p w14:paraId="041B8DAD" w14:textId="77777777" w:rsidR="006B7BFE" w:rsidRPr="00D43FA1" w:rsidRDefault="00A4031B" w:rsidP="006B7BFE">
            <w:pPr>
              <w:pStyle w:val="Default"/>
              <w:rPr>
                <w:rFonts w:ascii="Arial" w:hAnsi="Arial" w:cs="Arial"/>
                <w:sz w:val="22"/>
                <w:szCs w:val="22"/>
              </w:rPr>
            </w:pPr>
            <w:r>
              <w:rPr>
                <w:rFonts w:ascii="Arial" w:hAnsi="Arial"/>
                <w:sz w:val="22"/>
                <w:szCs w:val="22"/>
              </w:rPr>
              <w:t>60,50</w:t>
            </w:r>
          </w:p>
        </w:tc>
        <w:tc>
          <w:tcPr>
            <w:tcW w:w="1276" w:type="dxa"/>
          </w:tcPr>
          <w:p w14:paraId="3016DBF2" w14:textId="77777777" w:rsidR="006B7BFE" w:rsidRPr="00D43FA1" w:rsidRDefault="00A4031B" w:rsidP="002F4768">
            <w:pPr>
              <w:pStyle w:val="Default"/>
              <w:rPr>
                <w:rFonts w:ascii="Arial" w:hAnsi="Arial" w:cs="Arial"/>
                <w:sz w:val="22"/>
                <w:szCs w:val="22"/>
              </w:rPr>
            </w:pPr>
            <w:r>
              <w:rPr>
                <w:rFonts w:ascii="Arial" w:hAnsi="Arial"/>
                <w:sz w:val="22"/>
                <w:szCs w:val="22"/>
              </w:rPr>
              <w:t xml:space="preserve">1 210 000 </w:t>
            </w:r>
          </w:p>
        </w:tc>
        <w:tc>
          <w:tcPr>
            <w:tcW w:w="1276" w:type="dxa"/>
          </w:tcPr>
          <w:p w14:paraId="7800B24B" w14:textId="77777777" w:rsidR="006B7BFE" w:rsidRPr="00D43FA1" w:rsidRDefault="006B7BFE" w:rsidP="002F4768">
            <w:pPr>
              <w:pStyle w:val="Default"/>
              <w:rPr>
                <w:rFonts w:ascii="Arial" w:hAnsi="Arial" w:cs="Arial"/>
                <w:sz w:val="22"/>
                <w:szCs w:val="22"/>
              </w:rPr>
            </w:pPr>
            <w:r>
              <w:rPr>
                <w:rFonts w:ascii="Arial" w:hAnsi="Arial"/>
                <w:sz w:val="22"/>
                <w:szCs w:val="22"/>
              </w:rPr>
              <w:t xml:space="preserve">6 950 000 </w:t>
            </w:r>
          </w:p>
        </w:tc>
        <w:tc>
          <w:tcPr>
            <w:tcW w:w="1276" w:type="dxa"/>
            <w:shd w:val="clear" w:color="auto" w:fill="BFBFBF" w:themeFill="background1" w:themeFillShade="BF"/>
          </w:tcPr>
          <w:p w14:paraId="4DC4F037" w14:textId="77777777" w:rsidR="006B7BFE" w:rsidRPr="00D43FA1" w:rsidRDefault="002F4768" w:rsidP="002F4768">
            <w:pPr>
              <w:pStyle w:val="Default"/>
              <w:rPr>
                <w:rFonts w:ascii="Arial" w:hAnsi="Arial" w:cs="Arial"/>
                <w:sz w:val="22"/>
                <w:szCs w:val="22"/>
              </w:rPr>
            </w:pPr>
            <w:r>
              <w:rPr>
                <w:rFonts w:ascii="Arial" w:hAnsi="Arial"/>
                <w:b/>
                <w:bCs/>
                <w:sz w:val="22"/>
                <w:szCs w:val="22"/>
              </w:rPr>
              <w:t xml:space="preserve"> 8 160 000 </w:t>
            </w:r>
          </w:p>
        </w:tc>
      </w:tr>
    </w:tbl>
    <w:p w14:paraId="18499261" w14:textId="77777777" w:rsidR="006B7BFE" w:rsidRPr="00D43FA1" w:rsidRDefault="006B7BFE" w:rsidP="009140F6">
      <w:pPr>
        <w:pStyle w:val="Text"/>
        <w:spacing w:before="0" w:after="0"/>
      </w:pPr>
    </w:p>
    <w:p w14:paraId="59814092" w14:textId="77777777" w:rsidR="006B7BFE" w:rsidRPr="00D43FA1" w:rsidRDefault="006B7BFE" w:rsidP="0070360F">
      <w:pPr>
        <w:pStyle w:val="Text"/>
        <w:keepNext/>
        <w:keepLines/>
        <w:spacing w:before="0" w:after="0"/>
        <w:rPr>
          <w:b/>
          <w:bCs/>
          <w:u w:val="single"/>
        </w:rPr>
      </w:pPr>
      <w:r>
        <w:rPr>
          <w:b/>
          <w:bCs/>
          <w:u w:val="single"/>
        </w:rPr>
        <w:t xml:space="preserve">Γραπτή ή ηλεκτρονική δήλωση μη ύπαρξης λειτουργικού φραγμού σύμφωνα με το άρθρο 6α παράγραφος 3 </w:t>
      </w:r>
    </w:p>
    <w:p w14:paraId="4E96F6C2" w14:textId="77777777" w:rsidR="006B7BFE" w:rsidRPr="00D43FA1" w:rsidRDefault="006B7BFE" w:rsidP="0070360F">
      <w:pPr>
        <w:pStyle w:val="Text"/>
        <w:keepNext/>
        <w:keepLines/>
        <w:spacing w:before="0" w:after="0"/>
        <w:rPr>
          <w:b/>
          <w:bCs/>
          <w:u w:val="single"/>
        </w:rPr>
      </w:pPr>
    </w:p>
    <w:p w14:paraId="10854287" w14:textId="77777777" w:rsidR="006B7BFE" w:rsidRPr="00D43FA1" w:rsidRDefault="006B7BFE" w:rsidP="009140F6">
      <w:pPr>
        <w:pStyle w:val="Text"/>
        <w:spacing w:before="0" w:after="0"/>
      </w:pPr>
      <w:r>
        <w:t xml:space="preserve">α) Άπαξ κόστος μετατροπής </w:t>
      </w:r>
    </w:p>
    <w:p w14:paraId="6355E48C" w14:textId="77777777" w:rsidR="006B7BFE" w:rsidRPr="00D43FA1" w:rsidRDefault="006B7BFE" w:rsidP="009140F6">
      <w:pPr>
        <w:pStyle w:val="Text"/>
        <w:spacing w:before="0" w:after="0"/>
      </w:pPr>
    </w:p>
    <w:p w14:paraId="712DAED7" w14:textId="77777777" w:rsidR="006B7BFE" w:rsidRPr="00D43FA1" w:rsidRDefault="006B7BFE" w:rsidP="009140F6">
      <w:pPr>
        <w:pStyle w:val="Text"/>
        <w:spacing w:before="0" w:after="0"/>
      </w:pPr>
      <w:r>
        <w:t xml:space="preserve">Δεν προκύπτει άπαξ κόστος μετατροπής. </w:t>
      </w:r>
    </w:p>
    <w:p w14:paraId="00996219" w14:textId="77777777" w:rsidR="006B7BFE" w:rsidRPr="00D43FA1" w:rsidRDefault="006B7BFE" w:rsidP="009140F6">
      <w:pPr>
        <w:pStyle w:val="Text"/>
        <w:spacing w:before="0" w:after="0"/>
      </w:pPr>
    </w:p>
    <w:p w14:paraId="17551374" w14:textId="77777777" w:rsidR="006B7BFE" w:rsidRPr="00D43FA1" w:rsidRDefault="006B7BFE" w:rsidP="0070360F">
      <w:pPr>
        <w:pStyle w:val="Text"/>
        <w:keepNext/>
        <w:keepLines/>
        <w:spacing w:before="0" w:after="0"/>
      </w:pPr>
      <w:r>
        <w:t xml:space="preserve">β) Ετήσιο κόστος συμμόρφωσης </w:t>
      </w:r>
    </w:p>
    <w:p w14:paraId="35D80FBA" w14:textId="77777777" w:rsidR="006B7BFE" w:rsidRPr="00D43FA1" w:rsidRDefault="006B7BFE" w:rsidP="0070360F">
      <w:pPr>
        <w:pStyle w:val="Text"/>
        <w:keepNext/>
        <w:keepLines/>
        <w:spacing w:before="0" w:after="0"/>
      </w:pPr>
    </w:p>
    <w:p w14:paraId="3CE01598" w14:textId="77777777" w:rsidR="006B7BFE" w:rsidRPr="00D43FA1" w:rsidRDefault="006B7BFE" w:rsidP="009140F6">
      <w:pPr>
        <w:pStyle w:val="Text"/>
        <w:spacing w:before="0" w:after="0"/>
      </w:pPr>
      <w:r>
        <w:t xml:space="preserve">Τα αναγκαία πρόσθετα στοιχεία, δηλαδή το περιεχόμενο μιας δήλωσης μη ύπαρξης λειτουργικού φραγμού αποτελούν ήδη αντικείμενο συζήτησης μεταξύ των κατασκευαστών συσκευασιών και τροφίμων στο πλαίσιο της συμφωνίας σχετικά με τα υλικά των συσκευασιών. Το πρόσθετο κόστος συμμόρφωσης που θα προκύψει θα είναι περιορισμένο. </w:t>
      </w:r>
    </w:p>
    <w:p w14:paraId="7BA9413B" w14:textId="77777777" w:rsidR="006B7BFE" w:rsidRPr="00D43FA1" w:rsidRDefault="006B7BFE" w:rsidP="009140F6">
      <w:pPr>
        <w:pStyle w:val="Text"/>
        <w:spacing w:before="0" w:after="0"/>
      </w:pPr>
    </w:p>
    <w:p w14:paraId="27386C8C" w14:textId="77777777" w:rsidR="006B7BFE" w:rsidRPr="00D43FA1" w:rsidRDefault="006B7BFE" w:rsidP="0070360F">
      <w:pPr>
        <w:pStyle w:val="Text"/>
        <w:keepNext/>
        <w:keepLines/>
        <w:spacing w:before="0" w:after="0"/>
        <w:rPr>
          <w:b/>
          <w:bCs/>
          <w:u w:val="single"/>
        </w:rPr>
      </w:pPr>
      <w:r>
        <w:rPr>
          <w:b/>
          <w:bCs/>
          <w:u w:val="single"/>
        </w:rPr>
        <w:t>Υποχρέωση απόδειξης του αποκλεισμού της μεταφοράς MOAH σύμφωνα με το άρθρο 6α παράγραφοι 1, 2 και 4</w:t>
      </w:r>
    </w:p>
    <w:p w14:paraId="3AA8F0EE" w14:textId="77777777" w:rsidR="006B7BFE" w:rsidRPr="00D43FA1" w:rsidRDefault="006B7BFE" w:rsidP="0070360F">
      <w:pPr>
        <w:pStyle w:val="Text"/>
        <w:keepNext/>
        <w:keepLines/>
        <w:spacing w:before="0" w:after="0"/>
        <w:rPr>
          <w:b/>
          <w:bCs/>
          <w:u w:val="single"/>
        </w:rPr>
      </w:pPr>
    </w:p>
    <w:p w14:paraId="7E2FAB88" w14:textId="77777777" w:rsidR="006B7BFE" w:rsidRPr="00D43FA1" w:rsidRDefault="006B7BFE" w:rsidP="009140F6">
      <w:pPr>
        <w:pStyle w:val="Text"/>
        <w:spacing w:before="0" w:after="0"/>
      </w:pPr>
      <w:r>
        <w:t xml:space="preserve">α) Άπαξ κόστος μετατροπής </w:t>
      </w:r>
    </w:p>
    <w:p w14:paraId="05D46EC8" w14:textId="77777777" w:rsidR="006B7BFE" w:rsidRPr="00D43FA1" w:rsidRDefault="006B7BFE" w:rsidP="009140F6">
      <w:pPr>
        <w:pStyle w:val="Text"/>
        <w:spacing w:before="0" w:after="0"/>
      </w:pPr>
    </w:p>
    <w:p w14:paraId="41AA9133" w14:textId="77777777" w:rsidR="006B7BFE" w:rsidRPr="00D43FA1" w:rsidRDefault="006B7BFE" w:rsidP="009140F6">
      <w:pPr>
        <w:pStyle w:val="Text"/>
        <w:spacing w:before="0" w:after="0"/>
      </w:pPr>
      <w:r>
        <w:t xml:space="preserve">Δεν προκύπτει άπαξ κόστος μετατροπής. </w:t>
      </w:r>
    </w:p>
    <w:p w14:paraId="47912140" w14:textId="77777777" w:rsidR="006B7BFE" w:rsidRPr="00D43FA1" w:rsidRDefault="006B7BFE" w:rsidP="009140F6">
      <w:pPr>
        <w:pStyle w:val="Text"/>
        <w:spacing w:before="0" w:after="0"/>
      </w:pPr>
    </w:p>
    <w:p w14:paraId="25B57848" w14:textId="77777777" w:rsidR="006B7BFE" w:rsidRPr="00D43FA1" w:rsidRDefault="006B7BFE" w:rsidP="0070360F">
      <w:pPr>
        <w:pStyle w:val="Text"/>
        <w:keepNext/>
        <w:keepLines/>
        <w:spacing w:before="0" w:after="0"/>
      </w:pPr>
      <w:r>
        <w:t xml:space="preserve">β) Ετήσιο κόστος συμμόρφωσης </w:t>
      </w:r>
    </w:p>
    <w:p w14:paraId="3DD42870" w14:textId="77777777" w:rsidR="006B7BFE" w:rsidRPr="00D43FA1" w:rsidRDefault="006B7BFE" w:rsidP="0070360F">
      <w:pPr>
        <w:pStyle w:val="Text"/>
        <w:keepNext/>
        <w:keepLines/>
        <w:spacing w:before="0" w:after="0"/>
      </w:pPr>
    </w:p>
    <w:p w14:paraId="0F203911" w14:textId="77777777" w:rsidR="00013F7F" w:rsidRPr="00D43FA1" w:rsidRDefault="006B7BFE" w:rsidP="00557D18">
      <w:pPr>
        <w:pStyle w:val="Text"/>
        <w:spacing w:before="0" w:after="0"/>
      </w:pPr>
      <w:r>
        <w:t xml:space="preserve">Στον κανονισμό (ΕΚ) αριθ. 2023/2006 της Επιτροπής, της 22ας Δεκεμβρίου 2006, σχετικά με την ορθή πρακτική παραγωγής υλικών και αντικειμένων που προορίζονται να έλθουν σε επαφή με τρόφιμα (ΕΕ L 384, της 29.12.2006, σ. 75) (επονομαζόμενος κανονισμός ΟΠΠ), προβλέπεται ήδη η ύπαρξη γενικής υποχρέωσης τεκμηρίωσης των υλικών και αντικειμένων που έρχονται σε επαφή με τρόφιμα. Επίσης, μέσω του πρώτου ελέγχου καθώς και μέσω των περιοδικών ελέγχων των τροφίμων και των συσκευασιών των τροφίμων παράγονται </w:t>
      </w:r>
      <w:r>
        <w:lastRenderedPageBreak/>
        <w:t>ήδη έγγραφα, τα οποία μπορούν να λειτουργήσουν ως αποδεικτικά μέσα. Το πρόσθετο κόστος συμμόρφωσης που θα προκύψει θα είναι περιορισμένο.</w:t>
      </w:r>
    </w:p>
    <w:p w14:paraId="6239F5A0" w14:textId="77777777" w:rsidR="00013F7F" w:rsidRPr="00D43FA1" w:rsidRDefault="00013F7F" w:rsidP="00013F7F">
      <w:pPr>
        <w:pStyle w:val="Text"/>
        <w:spacing w:before="0" w:after="0"/>
        <w:jc w:val="left"/>
      </w:pPr>
    </w:p>
    <w:p w14:paraId="24214F93" w14:textId="3181681B" w:rsidR="00425BF3" w:rsidRPr="00D43FA1" w:rsidRDefault="00425BF3" w:rsidP="00557D18">
      <w:pPr>
        <w:pStyle w:val="Text"/>
        <w:spacing w:before="0" w:after="0"/>
      </w:pPr>
      <w:r>
        <w:t>Οι διατάξεις του κανονισμού ισχύουν εξίσου για τις μικρομεσαίες επιχειρήσεις (ΜΜΕ). Ειδικές εξαιρέσεις για ΜΜΕ δεν είναι δυνατές για λόγους προστασίας της υγείας των καταναλωτών. Εξάλλου, ο κανονισμός προβλέπει γενικές εξαιρέσεις για τη χρήση λειτουργικού φραγμού, εφόσον πληρούνται οι αναγκαίες για αυτό προϋποθέσεις.</w:t>
      </w:r>
    </w:p>
    <w:p w14:paraId="4C839333" w14:textId="77777777" w:rsidR="00325F70" w:rsidRPr="00D43FA1" w:rsidRDefault="00325F70" w:rsidP="00013F7F">
      <w:pPr>
        <w:pStyle w:val="Text"/>
        <w:spacing w:before="0" w:after="0"/>
        <w:jc w:val="left"/>
      </w:pPr>
    </w:p>
    <w:p w14:paraId="2CF68D80" w14:textId="7272FBDC" w:rsidR="003F6BDA" w:rsidRPr="00D43FA1" w:rsidRDefault="00091B75" w:rsidP="00557D18">
      <w:pPr>
        <w:pStyle w:val="Text"/>
        <w:spacing w:before="0" w:after="0"/>
      </w:pPr>
      <w:r>
        <w:t>Το πρόσθετο τρέχον κόστος συμμόρφωσης για την οικονομία που θα προκύψει μέσω του σχεδίου εμπίπτει στην εφαρμογή του κανόνα «One in, one out». Δεν μπορεί να παρασχεθεί αποζημίωση στο πλαίσιο της παρούσας κανονιστικής ρύθμισης. Ως εκ τούτου, το κόστος συμμόρφωσης θα αντισταθμιστεί από άλλο σχέδιο κανονιστικής ρύθμισης.</w:t>
      </w:r>
    </w:p>
    <w:p w14:paraId="099F2BD7" w14:textId="77777777" w:rsidR="00FA7FE4" w:rsidRPr="00D43FA1" w:rsidRDefault="00FA7FE4" w:rsidP="00013F7F">
      <w:pPr>
        <w:pStyle w:val="Text"/>
        <w:spacing w:before="0" w:after="0"/>
        <w:jc w:val="left"/>
      </w:pPr>
    </w:p>
    <w:p w14:paraId="3A617D65" w14:textId="77777777" w:rsidR="004779CD" w:rsidRPr="00D43FA1" w:rsidRDefault="004779CD" w:rsidP="0070360F">
      <w:pPr>
        <w:pStyle w:val="Text"/>
        <w:keepNext/>
        <w:keepLines/>
        <w:spacing w:before="0" w:after="0"/>
        <w:rPr>
          <w:u w:val="single"/>
        </w:rPr>
      </w:pPr>
      <w:r>
        <w:rPr>
          <w:u w:val="single"/>
        </w:rPr>
        <w:t>γ) Κόστος συμμόρφωσης για τους πολίτες</w:t>
      </w:r>
    </w:p>
    <w:p w14:paraId="49145E90" w14:textId="77777777" w:rsidR="004779CD" w:rsidRPr="00D43FA1" w:rsidRDefault="004779CD" w:rsidP="0070360F">
      <w:pPr>
        <w:pStyle w:val="Text"/>
        <w:keepNext/>
        <w:keepLines/>
        <w:spacing w:before="0" w:after="0"/>
      </w:pPr>
    </w:p>
    <w:p w14:paraId="61EA37FE" w14:textId="77777777" w:rsidR="00D43FA1" w:rsidRDefault="00612652" w:rsidP="003F6BDA">
      <w:pPr>
        <w:pStyle w:val="Text"/>
        <w:spacing w:before="0" w:after="0"/>
      </w:pPr>
      <w:r>
        <w:t>Ο κανονισμός δεν συνεπάγεται κόστος συμμόρφωσης για τους πολίτες.</w:t>
      </w:r>
    </w:p>
    <w:p w14:paraId="1EB134D3" w14:textId="568FB39B" w:rsidR="004779CD" w:rsidRPr="00D43FA1" w:rsidRDefault="004779CD" w:rsidP="003F6BDA">
      <w:pPr>
        <w:pStyle w:val="Text"/>
        <w:spacing w:before="0" w:after="0"/>
      </w:pPr>
    </w:p>
    <w:p w14:paraId="3D17859D" w14:textId="77777777" w:rsidR="006444D5" w:rsidRPr="00D43FA1" w:rsidRDefault="006444D5" w:rsidP="001E5369">
      <w:pPr>
        <w:pStyle w:val="berschriftarabischBegrndung"/>
      </w:pPr>
      <w:r>
        <w:t>Λοιπές δαπάνες</w:t>
      </w:r>
    </w:p>
    <w:p w14:paraId="4A6DA429" w14:textId="77777777" w:rsidR="000F4A0B" w:rsidRPr="00D43FA1" w:rsidRDefault="00CB5E99">
      <w:pPr>
        <w:pStyle w:val="Text"/>
      </w:pPr>
      <w:r>
        <w:t>Δεν είναι δυνατό να αποκλειστεί πλήρως το ενδεχόμενο επιπτώσεων στις επιμέρους τιμές. Δεν αναμένονται, ωστόσο, επιπτώσεις στο γενικό επίπεδο των τιμών και ειδικότερα στο επίπεδο των τιμών καταναλωτή.</w:t>
      </w:r>
    </w:p>
    <w:p w14:paraId="6B3FA7B6" w14:textId="77777777" w:rsidR="000F4A0B" w:rsidRPr="00D43FA1" w:rsidRDefault="000F4A0B" w:rsidP="000F4A0B">
      <w:pPr>
        <w:pStyle w:val="berschriftarabischBegrndung"/>
      </w:pPr>
      <w:r>
        <w:t>Άλλες νομικές συνέπειες</w:t>
      </w:r>
    </w:p>
    <w:p w14:paraId="0411E3C3" w14:textId="77777777" w:rsidR="000F4A0B" w:rsidRPr="00D43FA1" w:rsidRDefault="000F4A0B" w:rsidP="000F4A0B">
      <w:pPr>
        <w:pStyle w:val="Text"/>
      </w:pPr>
      <w:r>
        <w:t xml:space="preserve">Ο κανονισμός δεν περιλαμβάνει καμία ρύθμιση, η οποία να έχει επιπτώσεις στις συνθήκες διαβίωσης γυναικών ή ανδρών. Η προστασία της υγείας γυναικών και ανδρών λαμβάνεται εξίσου υπόψη. Ως εκ τούτου, δεν αναμένονται επιπτώσεις για την ισότητα γυναικών και ανδρών. </w:t>
      </w:r>
    </w:p>
    <w:p w14:paraId="3D5B6005" w14:textId="77777777" w:rsidR="000F4A0B" w:rsidRPr="00D43FA1" w:rsidRDefault="000F4A0B" w:rsidP="000F4A0B">
      <w:pPr>
        <w:pStyle w:val="berschriftrmischBegrndung"/>
      </w:pPr>
      <w:r>
        <w:t>Διάρκεια ισχύος, αξιολόγηση</w:t>
      </w:r>
    </w:p>
    <w:p w14:paraId="713DB2AE" w14:textId="14616EF4" w:rsidR="00BE6637" w:rsidRPr="00D43FA1" w:rsidRDefault="006504FE" w:rsidP="000F4A0B">
      <w:pPr>
        <w:pStyle w:val="Text"/>
      </w:pPr>
      <w:r>
        <w:t xml:space="preserve">Δεν προβλέπεται διάρκεια ισχύος της κανονιστικής ρύθμισης, διότι η προστασία των καταναλωτών πρέπει να διασφαλίζεται σε μόνιμη βάση. </w:t>
      </w:r>
    </w:p>
    <w:p w14:paraId="757F71C9" w14:textId="58E77352" w:rsidR="000F4A0B" w:rsidRPr="00D43FA1" w:rsidRDefault="00BE6637" w:rsidP="000F4A0B">
      <w:pPr>
        <w:pStyle w:val="Text"/>
        <w:rPr>
          <w:highlight w:val="yellow"/>
        </w:rPr>
      </w:pPr>
      <w:r>
        <w:t xml:space="preserve">Ωστόσο, οι συνέπειες του κανονισμού θα πρέπει να αξιολογηθούν μετά την παρέλευση πέντε ετών από την έναρξη εφαρμογής των διατάξεων. Εν προκειμένω, θα πρέπει να ελεγχθεί εάν επετεύχθη ο στόχος του κανονισμού, δηλαδή η ελαχιστοποίηση της έκθεσης των καταναλωτών σε MOAH από τα υλικά και αντικείμενα που έρχονται σε επαφή με τρόφιμα και αποτελούν αντικείμενο ρύθμισης του κανονισμού μέσω της χρήσης λειτουργικών φραγμών ή άλλων κατάλληλων μέτρων για την αποτροπή της μεταφοράς MOAH (όριο ανίχνευσης 0,5 milligramm MOAH ανά κιλό τροφίμου ή/και 0,15 milligramm MOAH ανά κιλό προσομοιωτή τροφίμων). Τα αναγκαία δεδομένα αναμένεται να ληφθούν βάσει των αποτελεσμάτων των ελέγχων από τις αρχές εποπτείας των τροφίμων καθώς και από τις εργασίες συμμόρφωσης των εμπλεκόμενων επιχειρήσεων. Ακόμα θα πρέπει να ληφθούν υπόψη οι πραγματικές συνέπειες ως προς το κόστος, π.χ. το κόστος ανάπτυξης, μετατροπής και αναλυτικού ελέγχου των υλικών και αντικειμένων που έρχονται σε επαφή με τρόφιμα και των εμπλεκόμενων τροφίμων, σε σχέση με τον στόχο της κανονιστικής ρύθμισης καθώς και τυχόν δευτερεύουσες συνέπειες, αλλά και οι εξελίξεις αναφορικά με τη μέθοδο ανάλυσης, ιδίως τα επιτεύξιμα όρια ανίχνευσης των MOAH. </w:t>
      </w:r>
    </w:p>
    <w:p w14:paraId="353D2149" w14:textId="77777777" w:rsidR="006444D5" w:rsidRPr="00D43FA1" w:rsidRDefault="006444D5" w:rsidP="0070360F">
      <w:pPr>
        <w:pStyle w:val="BegrndungBesondererTeil"/>
        <w:keepLines/>
      </w:pPr>
      <w:r>
        <w:lastRenderedPageBreak/>
        <w:t>B. Ειδικό μέρος</w:t>
      </w:r>
    </w:p>
    <w:p w14:paraId="0532AB57" w14:textId="77777777" w:rsidR="00CB5E99" w:rsidRPr="00D43FA1" w:rsidRDefault="00CB5E99" w:rsidP="0070360F">
      <w:pPr>
        <w:pStyle w:val="Text"/>
        <w:keepNext/>
        <w:keepLines/>
        <w:rPr>
          <w:b/>
        </w:rPr>
      </w:pPr>
      <w:r>
        <w:rPr>
          <w:b/>
        </w:rPr>
        <w:t>Σχετικά με το άρθρο 1</w:t>
      </w:r>
    </w:p>
    <w:p w14:paraId="03E3D677" w14:textId="77777777" w:rsidR="00CB5E99" w:rsidRPr="00D43FA1" w:rsidRDefault="00CB5E99" w:rsidP="0070360F">
      <w:pPr>
        <w:pStyle w:val="Text"/>
        <w:keepNext/>
        <w:keepLines/>
        <w:rPr>
          <w:u w:val="single"/>
        </w:rPr>
      </w:pPr>
      <w:r>
        <w:rPr>
          <w:u w:val="single"/>
        </w:rPr>
        <w:t>Σχετικά με το σημείο 1</w:t>
      </w:r>
    </w:p>
    <w:p w14:paraId="56A74D00" w14:textId="77777777" w:rsidR="00CB5E99" w:rsidRPr="00D43FA1" w:rsidRDefault="00CB5E99" w:rsidP="00CB5E99">
      <w:pPr>
        <w:pStyle w:val="Text"/>
      </w:pPr>
      <w:r>
        <w:t xml:space="preserve">Με το σημείο 1 προστίθενται οι αναγκαίοι για το περιεχόμενο της κανονιστικής ρύθμισης μέσω του παρόντος κανονισμού ορισμοί των ινών από χαρτοπολτό, των αρωματικών υδρογονανθράκων ορυκτελαίων (MOAH), του λειτουργικού φραγμού και του προσομοιωτή τροφίμων. </w:t>
      </w:r>
    </w:p>
    <w:p w14:paraId="6B41D48F" w14:textId="77777777" w:rsidR="002535AD" w:rsidRPr="00D43FA1" w:rsidRDefault="00031FDC" w:rsidP="00CB5E99">
      <w:pPr>
        <w:pStyle w:val="Text"/>
      </w:pPr>
      <w:r>
        <w:t xml:space="preserve">Στο πλαίσιο του ορισμού του λειτουργικού φραγμού γίνεται διαφοροποίηση ανάλογα με τις διάφορες μορφές του. Ένας λειτουργικός φραγμός μπορεί να συνδέεται άρρηκτα με το υλικό ή αντικείμενο που έρχεται σε επαφή με τρόφιμα, π.χ. υπό μορφή επίστρωσης (αριθμός 2 σημείο 9 στοιχείο α)) ή μπορεί να είναι χωριστός, π.χ. υπό μορφή ενδιάμεσου δοχείου (άρθρο 2 σημείο 9 στοιχείο β)). Ανάλογα με το είδος του υλικού ή αντικειμένου που έρχεται σε επαφή με τρόφιμα, του τροφίμου, των όρων χρήσης και της διάρκειας της χρήσης του υλικού ή αντικειμένου που έρχεται σε επαφή με τρόφιμα μπορούν να χρησιμοποιηθούν υλικά όπως αλουμίνιο ή διάφορα πλαστικά (π.χ. PET, πολυακρυλικό, πολυεστέρας, πολυαμίδιο) για την επίστρωση του χαρτιού ή του χαρτονιού ή ως υλικά ενός πρόσθετου εσωτερικού δοχείου. </w:t>
      </w:r>
    </w:p>
    <w:p w14:paraId="578470CD" w14:textId="77777777" w:rsidR="00CB5E99" w:rsidRPr="00D43FA1" w:rsidRDefault="00CB5E99" w:rsidP="0070360F">
      <w:pPr>
        <w:pStyle w:val="Text"/>
        <w:keepNext/>
        <w:keepLines/>
        <w:rPr>
          <w:u w:val="single"/>
        </w:rPr>
      </w:pPr>
      <w:r>
        <w:rPr>
          <w:u w:val="single"/>
        </w:rPr>
        <w:t>Σχετικά με το σημείο 2</w:t>
      </w:r>
    </w:p>
    <w:p w14:paraId="0EE8563F" w14:textId="77777777" w:rsidR="00492084" w:rsidRPr="00D43FA1" w:rsidRDefault="00CB5E99" w:rsidP="00CB5E99">
      <w:pPr>
        <w:pStyle w:val="Text"/>
      </w:pPr>
      <w:r>
        <w:t xml:space="preserve">Με το σημείο 2 ορίζονται ειδικές ρυθμίσεις για τα υλικά και αντικείμενα από χαρτί ή χαρτόνι που έρχονται σε επαφή με τρόφιμα και παράγονται με χρήση ινών χαρτοπολτού. </w:t>
      </w:r>
    </w:p>
    <w:p w14:paraId="02416656" w14:textId="77777777" w:rsidR="00492084" w:rsidRPr="00D43FA1" w:rsidRDefault="00492084" w:rsidP="00123317">
      <w:pPr>
        <w:pStyle w:val="Text"/>
      </w:pPr>
      <w:r>
        <w:t>Το άρθρο 6α περιέχει στις παραγράφους 1 και 2 απαιτήσεις που απευθύνονται συγκεκριμένα στην επιχείρηση που συνδέεται με τα υλικά και αντικείμενα που έρχονται σε επαφή με τρόφιμα (κατασκευαστή, εκείνον που τα διαθέτει στην αγορά). Εάν η επιχείρηση τροφίμων επιθυμεί να λάβει άλλα δικά της μέτρα, υπόκειται στις απαιτήσεις των παραγράφων 3 και 4 που αφορούν την ίδια και την επιχείρηση που συνδέεται με τα υλικά και αντικείμενα που έρχονται σε επαφή με τρόφιμα. Η παράγραφος 5 αφορά τόσο την επιχείρηση που συνδέεται με τα υλικά και αντικείμενα που έρχονται σε επαφή με τρόφιμα όσο και την επιχείρηση τροφίμων.</w:t>
      </w:r>
    </w:p>
    <w:p w14:paraId="21FFB49B" w14:textId="77777777" w:rsidR="00123317" w:rsidRPr="00D43FA1" w:rsidRDefault="00CB5E99" w:rsidP="00123317">
      <w:pPr>
        <w:pStyle w:val="Text"/>
      </w:pPr>
      <w:r>
        <w:t>Σύμφωνα με το άρθρο 6α παράγραφος 1, τα προαναφερθέντα υλικά και αντικείμενα που έρχονται σε επαφή με τρόφιμα πρέπει να διαθέτουν λειτουργικό φραγμό με τον οποίο διασφαλίζεται ότι δεν θα πραγματοποιηθεί μεταφορά MOAH στα τρόφιμα. Κατασκευαστές υλικών ή αντικειμένων που έρχονται σε επαφή με τρόφιμα και εκείνοι που τα διαθέτουν στην αγορά χρησιμοποιούν κατά κανόνα λειτουργικό φραγμό κατά την έννοια του άρθρου 2 σημείο 9 στοιχείο α), δηλαδή στρώση ή επίστρωση που είναι άρρηκτα συνδεδεμένη με το υλικό ή αντικείμενο που έρχεται σε επαφή με τρόφιμα. Εάν μετρηθεί μεταφορά στο τρόφιμο, ο νόμος ορίζει ότι έως το όριο ανίχνευσης των 0,5 milligramm MOAH ανά κιλό τροφίμων δεν υπάρχει μεταφορά. Εάν η λειτουργικότητα του φραγμού προσδιοριστεί με κατάλληλους προσομοιωτές τροφίμων, ισχύει κατ’ αντιστοιχία όριο ανίχνευσης 0,15 milligramm MOAH ανά κιλό προσομοιωτή τροφίμων.</w:t>
      </w:r>
    </w:p>
    <w:p w14:paraId="69C05D19" w14:textId="28529D16" w:rsidR="006F0E66" w:rsidRPr="00D43FA1" w:rsidRDefault="00123317" w:rsidP="0070360F">
      <w:pPr>
        <w:pStyle w:val="Text"/>
        <w:keepNext/>
        <w:keepLines/>
      </w:pPr>
      <w:r>
        <w:lastRenderedPageBreak/>
        <w:t xml:space="preserve">Η ανάλυση του ορυκτελαίου στα τρόφιμα και η ανάλυση που σχετίζεται με το ποσοστό που προέρχεται από το υλικό ή αντικείμενο που έρχεται σε επαφή με τρόφιμα είναι απαιτητικές αλλά τα τελευταία χρόνια έχει σημειωθεί σημαντική πρόοδος. Η επιδίωξη της καθιέρωσης μακροπρόθεσμου ορίου ανίχνευσης 0,15 milligramm MOAH ανά κιλό τροφίμου για τη μεταφορά MOAH από υλικά και αντικείμενα που έρχονται σε επαφή με τρόφιμα δεν μπορεί επί του παρόντος να επιτευχθεί σε όλα τα τρόφιμα. Επηρεάζεται σε μεγάλο βαθμό από την εκάστοτε μήτρα τροφίμων. Το προβλεπόμενο όριο ανίχνευσης των 0,5 milligramm MOAH ανά κιλό τροφίμων για τη μεταφορά από υλικά και αντικείμενα που έρχονται σε επαφή με τρόφιμα μπορεί επί του παρόντος να επιτευχθεί στην πράξη κυρίως κατά την ανάλυση των τροφίμων. Εάν αντίθετα χρησιμοποιηθούν προσομοιωτές τροφίμων (δηλαδή πολυ(2,6-διφαινυλο-π-φαινυλενοξείδιο)), για να ελεγχθεί εάν η λειτουργικότητα του φραγμού είναι τέτοια που δεν επιτρέπει τη μεταφορά MOAH, πρέπει να χρησιμοποιείται όριο ανίχνευσης 0,15 milligramm MOAH ανά κιλό προσομοιωτή τροφίμου. Αυτό δικαιολογείται επίσης από το ότι οι επιρροές των MOAH ακυρώνονται από τη μήτρα τροφίμων και συνεπώς η απόδειξη της ύπαρξης MOAH μπορεί στην πράξη να πραγματοποιηθεί με μεθόδους μεγαλύτερης ευαισθησίας. Οι συμβατικές μέθοδοι και οι περισσότερο χρησιμοποιούμενες σήμερα μέθοδοι ανάλυσης παρουσιάζονται στις ακόλουθες δημοσιεύσεις του Ομοσπονδιακού Ινστιτούτου Αξιολόγησης Κινδύνου: </w:t>
      </w:r>
    </w:p>
    <w:p w14:paraId="13C0812B" w14:textId="77777777" w:rsidR="006F0E66" w:rsidRPr="00D43FA1" w:rsidRDefault="00123317" w:rsidP="009777BB">
      <w:pPr>
        <w:pStyle w:val="Text"/>
        <w:numPr>
          <w:ilvl w:val="0"/>
          <w:numId w:val="7"/>
        </w:numPr>
      </w:pPr>
      <w:r>
        <w:t xml:space="preserve">«Καθορισμός των υδρογονανθράκων από ορυκτέλαιο (MOSH και MOAH) ή από πλαστικά (POSH, PAO) σε υλικά συσκευασίας και ξηρά τρόφιμα μέσω εκχύλισης στερεάς φάσης και GC-FID» (προσβάσιμο στη διεύθυνση: </w:t>
      </w:r>
      <w:bookmarkStart w:id="0" w:name="_GoBack"/>
      <w:bookmarkEnd w:id="0"/>
      <w:r w:rsidR="004655E3">
        <w:fldChar w:fldCharType="begin"/>
      </w:r>
      <w:r w:rsidR="004655E3">
        <w:instrText xml:space="preserve"> HYPER</w:instrText>
      </w:r>
      <w:r w:rsidR="004655E3">
        <w:instrText xml:space="preserve">LINK "http://www.bfr.bund.de/cm/343/bestimmung-von-kohlenwasserstoffen-aus-mineraloel-oder-kunststoffen.pdf" </w:instrText>
      </w:r>
      <w:r w:rsidR="004655E3">
        <w:fldChar w:fldCharType="separate"/>
      </w:r>
      <w:r>
        <w:t>http://</w:t>
      </w:r>
      <w:r w:rsidR="004655E3">
        <w:fldChar w:fldCharType="end"/>
      </w:r>
      <w:hyperlink r:id="rId8" w:history="1">
        <w:r>
          <w:t>www.bfr.bund.de/cm/343/bestimmung-von-kohlenwasserstoffen-aus-mineraloel-oder-kunststoffen.pdf</w:t>
        </w:r>
      </w:hyperlink>
      <w:r>
        <w:t xml:space="preserve">· έκδοση: </w:t>
      </w:r>
      <w:r>
        <w:rPr>
          <w:b/>
          <w:bCs/>
          <w:i/>
          <w:u w:val="single"/>
        </w:rPr>
        <w:t>εισάγετε XX.YY.2020</w:t>
      </w:r>
      <w:r>
        <w:t>)·</w:t>
      </w:r>
    </w:p>
    <w:p w14:paraId="5B28167A" w14:textId="77777777" w:rsidR="00123317" w:rsidRPr="00D43FA1" w:rsidRDefault="00123317" w:rsidP="009777BB">
      <w:pPr>
        <w:pStyle w:val="Text"/>
        <w:numPr>
          <w:ilvl w:val="0"/>
          <w:numId w:val="7"/>
        </w:numPr>
      </w:pPr>
      <w:r>
        <w:t xml:space="preserve">«Μέτρηση ορυκτελαίου – υδρογονανθράκων σε τρόφιμα και υλικά συσκευασίας», Σύνοψη της BfR και του Εργαστηρίου του Καντονιού της Ζυρίχης (προσβάσιμο στη διεύθυνση: </w:t>
      </w:r>
      <w:hyperlink r:id="rId9" w:history="1">
        <w:r>
          <w:t>http://www.bfr.bund.de/cm/343/messung-von-mineraloel-kohlenwasserstoffen-in-lebensmitteln-und-verpackungsmaterialien.pdf</w:t>
        </w:r>
      </w:hyperlink>
      <w:r>
        <w:t xml:space="preserve">· έκδοση </w:t>
      </w:r>
      <w:r>
        <w:rPr>
          <w:b/>
          <w:bCs/>
          <w:i/>
          <w:u w:val="single"/>
        </w:rPr>
        <w:t>εισάγετε XX.YY.2020</w:t>
      </w:r>
      <w:r>
        <w:t>).</w:t>
      </w:r>
      <w:r>
        <w:rPr>
          <w:bCs/>
          <w:u w:val="single"/>
        </w:rPr>
        <w:t xml:space="preserve"> </w:t>
      </w:r>
    </w:p>
    <w:p w14:paraId="2BF32794" w14:textId="77777777" w:rsidR="00123317" w:rsidRPr="00D43FA1" w:rsidRDefault="00123317" w:rsidP="00123317">
      <w:pPr>
        <w:pStyle w:val="Text"/>
      </w:pPr>
      <w:r>
        <w:t xml:space="preserve">Οι απαιτήσεις χρήσης λειτουργικού φραγμού ισχύουν εξάλλου μόνο για εκείνα τα υλικά και τα αντικείμενα από χαρτί ή χαρτόνι που παράγονται με χρήση ινών χαρτοπολτού και εμπίπτουν στο πεδίο εφαρμογής του άρθρου 1 παράγραφος 2 του κανονισμού (ΕΚ) αριθ. 1935/2004 σχετικά με τα υλικά και αντικείμενα που προορίζονται να έρθουν σε επαφή με τρόφιμα και με την κατάργηση των οδηγιών 80/590/ΕΟΚ και 89/109/ΕΟΚ. Εφαρμογή τους π.χ. σε χαρτοκιβώτια που χρησιμοποιούνται για μεταφορές και μετακομίσεις μπορεί να υπάρξει μόνο σε συγκεκριμένες περιπτώσεις όπου αυτά αποτελούν υλικά ή αντικείμενα που έρχονται σε επαφή με τρόφιμα. Καταρχήν δεν απαιτείται η γενική και πολλαπλή επιβολή λειτουργικού φραγμού σε όλο το μήκος της αλυσίδας εφοδιασμού. Έτσι, για παράδειγμα στα χαρτοκιβώτια που χρησιμοποιούνται για μεταφορές και μετακομίσεις –εφόσον αποτελούν στη συγκεκριμένη περίπτωση υλικά ή αντικείμενα που έρχονται σε επαφή με τρόφιμα– δεν απαιτείται λειτουργικός φραγμός, όταν ήδη μέσω της σύστασης της συσκευασίας ή του συστήματος συσκευασίας του τροφίμου αυτού καθαυτού διασφαλίζεται (π.χ. βασική ή συμπληρωματική συσκευασία) ότι δεν θα υπάρξει μεταφορά MOAH στα τρόφιμα. Κατ’ αντιστοιχία –όπως εν γένει στον τομέα των υλικών και αντικειμένων που έρχονται σε επαφή με τρόφιμα– απαιτείται επαρκής επικοινωνία στο εσωτερικό της αλυσίδας εφοδιασμού. </w:t>
      </w:r>
    </w:p>
    <w:p w14:paraId="2A4229C4" w14:textId="77777777" w:rsidR="00123317" w:rsidRPr="00D43FA1" w:rsidRDefault="00123317" w:rsidP="00CB5E99">
      <w:pPr>
        <w:pStyle w:val="Text"/>
      </w:pPr>
      <w:r>
        <w:t xml:space="preserve">Το όριο ανίχνευσης που έχει οριστεί στον παρόντα κανονισμό σχετικά με τον λειτουργικό φραγμό και ανέρχεται σε 0,5 milligramm MOAH ανά κιλό τροφίμου αφορά μόνο τη μεταφορά στα τρόφιμα MOAH από υλικά και αντικείμενα που έρχονται σε επαφή με τρόφιμα και περιλαμβάνονται στο πεδίο εφαρμογής του παρόντος κανονισμού και δεν αποτελεί εν γένει ανώτατη ποσότητα για τους MOAH στα τρόφιμα. </w:t>
      </w:r>
    </w:p>
    <w:p w14:paraId="4749053E" w14:textId="1BDBFAC2" w:rsidR="00C42AD4" w:rsidRPr="00D43FA1" w:rsidRDefault="00000EDE" w:rsidP="00CB5E99">
      <w:pPr>
        <w:pStyle w:val="Text"/>
      </w:pPr>
      <w:r>
        <w:t xml:space="preserve">Στην παράγραφο 2 προβλέπονται εξαιρέσεις από τον υποχρεωτικό εφοδιασμό των εν λόγω υλικών και αντικειμένων που έρχονται σε επαφή με τρόφιμα με λειτουργικό φραγμό από την </w:t>
      </w:r>
      <w:r>
        <w:lastRenderedPageBreak/>
        <w:t xml:space="preserve">επιχείρηση που σχετίζεται με το υλικό ή αντικείμενο που έρχεται σε επαφή με τρόφιμα: Εάν ισχύουν ειδικές προϋποθέσεις που εμποδίζουν τη μεταφορά MOAH στα τρόφιμα ή εάν διασφαλίζεται με άλλα μέτρα ότι δεν ανιχνεύεται μεταφορά MOAH από το υλικό ή αντικείμενο που έρχεται σε επαφή με τρόφιμα με όριο ανίχνευσης τα 0,5 milligramm MOAH ανά κιλό τροφίμου (ή τα 0,15 milligramm MOAH ανά κιλό προσομοιωτή τροφίμου), δεν ισχύει η υποχρέωση χρήσης λειτουργικού φραγμού. Το πρώτο μπορεί π.χ. να ισχύει σε περίπτωση που η περιεκτικότητα σε MOAH του χαρτιού ή του χαρτονιού είναι τόσο μικρή ώστε να μην μπορεί να πραγματοποιηθεί μεταφορά στο τρόφιμο που να υπερβαίνει το όριο ανίχνευσης. Το δεύτερο, δηλαδή τα άλλα κατάλληλα μέτρα κατά την έννοια του σημείου 2, μπορεί να είναι π.χ. μέτρα που αφορούν το υλικό ή αντικείμενο που έρχεται σε επαφή με τα τρόφιμα, όπως η προσθήκη προσροφητικών υλικών (π.χ. ενεργού άνθρακα) στο χαρτί ή το χαρτόνι, με τα οποία αποτρέπεται η μεταφορά MOAH στο τρόφιμο. </w:t>
      </w:r>
    </w:p>
    <w:p w14:paraId="575AE879" w14:textId="7AEA464F" w:rsidR="00873463" w:rsidRPr="00D43FA1" w:rsidRDefault="00B849CA" w:rsidP="00CB5E99">
      <w:pPr>
        <w:pStyle w:val="Text"/>
      </w:pPr>
      <w:r>
        <w:t xml:space="preserve">Σύμφωνα με το άρθρο 6α παράγραφος 3, τα εν λόγω υλικά ή αντικείμενα που έρχονται σε επαφή με τρόφιμα μπορούν, κατά παρέκκλιση από το άρθρο 6α παράγραφος 1 και λαμβάνοντας υπόψη την παράγραφο 4, να κατασκευαστούν και να διατεθούν στην αγορά χωρίς λειτουργικό φραγμό, άρρηκτα συνδεδεμένο με το υλικό ή αντικείμενο που έρχεται σε επαφή με τα τρόφιμα. Αυτό ωστόσο επιτρέπεται μόνον εάν η επιχείρηση τροφίμων δηλώσει γραπτά ή ηλεκτρονικά πριν από την παράδοση ενός υλικού ή αντικειμένου που έρχεται σε επαφή με τρόφιμα στον κατασκευαστή ή/και εκείνον που το διαθέτει στην αγορά ότι δεν υπάρχει λειτουργικός φραγμός. Αυτή η δήλωση πρέπει να διατηρείται από τον κατασκευαστή του υλικού ή αντικειμένου που έρχεται σε επαφή με τρόφιμα ή/και εκείνον που το διαθέτει στην αγορά ώστε να μπορεί να αποδειχθεί στην αρμόδια αρχή ότι υπήρξε επιτρεπόμενη παρέκκλιση της επιχείρησης τροφίμων από τη ρύθμιση του άρθρου 6α παράγραφος 1 εδάφιο 1 μέσω της μη ύπαρξης λειτουργικού φραγμού. </w:t>
      </w:r>
    </w:p>
    <w:p w14:paraId="559558B3" w14:textId="77777777" w:rsidR="00595A3F" w:rsidRPr="00D43FA1" w:rsidRDefault="00595A3F" w:rsidP="00CB5E99">
      <w:pPr>
        <w:pStyle w:val="Text"/>
      </w:pPr>
      <w:r>
        <w:t>Στη ρύθμιση του άρθρου 6α παράγραφος 3 περιλαμβάνονται επιχειρήσεις τροφίμων, στο πλαίσιο των αρμοδιοτήτων των οποίων έρχονται σε άμεση ή έμμεση επαφή με τρόφιμα υλικά ή αντικείμενα τα οποία κατασκευάζονται με χρήση ινών χαρτοπολτού, δηλαδή επικαλύπτουν ή συσκευάζουν τα τρόφιμα ή τα τρόφιμα έρχονται με άλλο τρόπο σε πρώτη επαφή μαζί τους. Ωστόσο, η υποχρέωση του άρθρου 6α παράγραφος 3 δεν ισχύει για παράδειγμα για επιχειρήσεις τροφίμων που διαχειρίζονται αποκλειστικά ήδη συσκευασμένα τρόφιμα (μεταξύ άλλων από άλλο κράτος μέλος της ΕΕ ή τρίτη χώρα) και δεν εμπίπτουν στο πεδίο εφαρμογής της απαίτησης αναφορικά με τις συσκευασίες. Ωστόσο, η επιχείρηση τροφίμων οφείλει στην περίπτωση αυτή να διασφαλίσει, στο πλαίσιο της γενικής υποχρέωσής της για δέουσα επιμέλειά, ότι τα εν λόγω προϊόντα πληρούν τις απαιτήσεις σχετικά με τη μη επιτρεπόμενη μεταφορά MOAH.</w:t>
      </w:r>
    </w:p>
    <w:p w14:paraId="5D78B6B3" w14:textId="77777777" w:rsidR="00882CE4" w:rsidRPr="00D43FA1" w:rsidRDefault="00031FDC" w:rsidP="00CB5E99">
      <w:pPr>
        <w:pStyle w:val="Text"/>
      </w:pPr>
      <w:r>
        <w:t xml:space="preserve">Στις περιπτώσεις του άρθρου 6α παράγραφος 3, η ίδια η επιχείρηση τροφίμων οφείλει, σύμφωνα με το άρθρο 6α παράγραφος 4, να λάβει κατάλληλα μέτρα που θα αποκλείσουν τη μεταφορά MOAH στο τρόφιμο από το υλικό ή αντικείμενο που έρχεται σε επαφή μαζί του. Έτσι, η επιχείρηση τροφίμων μπορεί στο πλαίσιο της πλήρωσης του τροφίμου να χρησιμοποιήσει ως λειτουργικό φραγμό π.χ. ένα ενδιάμεσο δοχείο [βλέπε άρθρο 2 σημείο 9 στοιχείο β)]. Οι απαιτήσεις ισχύουν κατ’ αντιστοιχία για το όριο ανίχνευσης. </w:t>
      </w:r>
    </w:p>
    <w:p w14:paraId="7B05CB8A" w14:textId="77777777" w:rsidR="00CB5E99" w:rsidRPr="00D43FA1" w:rsidRDefault="00CB5E99" w:rsidP="00CB5E99">
      <w:pPr>
        <w:pStyle w:val="Text"/>
      </w:pPr>
      <w:r>
        <w:t xml:space="preserve">Ωστόσο, η χρήση λειτουργικού φραγμού δεν αποτελεί τη μόνη δυνατότητα διασφάλισης ότι δεν θα πραγματοποιηθεί μεταφορά MOAH στο τρόφιμο από το υλικό ή αντικείμενο που έρχεται σε επαφή με αυτό, ή ότι αυτή δεν θα είναι ανιχνεύσιμη. Ειδικότερα, καταργείται η υποχρέωση λήψης κατάλληλων μέτρων όταν λόγω της σύστασης του τροφίμου (π.χ. επιτραπέζιο αλάτι) ή των όρων χρήσης του (π.χ. για κατεψυγμένα τρόφιμα ή για επαφή βραχείας διάρκειας με ξηρά τρόφιμα) δεν πραγματοποιείται μεταφορά MOAH στα τρόφιμα ή αυτή δεν υπερβαίνει τα όρια ανίχνευσης και συνεπώς δεν είναι ανιχνεύσιμη. </w:t>
      </w:r>
    </w:p>
    <w:p w14:paraId="285E5728" w14:textId="77777777" w:rsidR="00CB5E99" w:rsidRPr="0086292F" w:rsidRDefault="00CB5E99" w:rsidP="009C1BE7">
      <w:pPr>
        <w:pStyle w:val="Text"/>
      </w:pPr>
      <w:r>
        <w:t xml:space="preserve">Στο πλαίσιο των γενικών διατάξεων όσον αφορά τα υλικά και αντικείμενα που έρχονται σε επαφή με τρόφιμα, η εκάστοτε αρμόδια επιχείρηση –π.χ. ο κατασκευαστής, εκείνος που διαθέτει το αντικείμενο στην αγορά ή ο συσκευαστής του τροφίμου– οφείλει να διασφαλίσει, κατά τη συμμόρφωση με την υποχρέωσή της για δέουσα επιμέλεια, ότι τα υλικά και </w:t>
      </w:r>
      <w:r>
        <w:lastRenderedPageBreak/>
        <w:t>αντικείμενα που έρχονται σε επαφή με τρόφιμα και εμπίπτουν στο πεδίο των αρμοδιοτήτων της ή χρησιμοποιούνται από αυτήν επαρκούν για τη συμμόρφωση με τις σχετικές απαιτήσεις. Γίνεται π.χ. παραπομπή στο άρθρο 30 σημείο 3 του κώδικα τροφίμων και ζωοτροφών (LFGB) και στον κανονισμό (ΕΚ) αριθ. 2023/2006. Σύμφωνα με τον κανονισμό (ΕΚ) αριθ. 2023/2006, πρέπει μεταξύ άλλων, να πληρούνται συγκεκριμένες υποχρεώσεις τεκμηρίωσης. Αυτό είναι σημαντικό όσον αφορά τον παρόντα κανονισμό για την απάντηση στο ερώτημα των φραγμών που πρέπει να χρησιμοποιούνται ή τη χρήση της εξαίρεσης, διότι τα έγγραφα τα οποία καταρτίζονται στο πλαίσιο αυτών των υποχρεώσεων μπορούν να λειτουργήσουν και ως αποδείξεις ότι ο φραγμός επιδεικνύει την αναγκαία για τον προβλεπόμενο σκοπό λειτουργικότητα σε σχέση με τους MOAH ή ότι δεν ανιχνεύεται μεταφορά MOAH στο τρόφιμο από το υλικό ή αντικείμενο που έρχεται σε επαφή με τρόφιμα, δηλαδή ότι η μεταφορά δεν υπερβαίνει το όριο ανίχνευσης όταν δεν χρησιμοποιείται λειτουργικός φραγμός.</w:t>
      </w:r>
    </w:p>
    <w:p w14:paraId="46427445" w14:textId="77777777" w:rsidR="00C66E2D" w:rsidRPr="0086292F" w:rsidRDefault="00D701EB" w:rsidP="00CB5E99">
      <w:pPr>
        <w:pStyle w:val="Text"/>
        <w:rPr>
          <w:szCs w:val="24"/>
        </w:rPr>
      </w:pPr>
      <w:r>
        <w:t xml:space="preserve">Ο κατασκευαστής του υλικού ή αντικειμένου που έρχεται σε επαφή με τρόφιμα ή εκείνος που το διαθέτει στην αγορά καθώς και η επιχείρηση τροφίμων οφείλουν να αποδεικνύουν στην αρμόδια αρχή σε ποιες προϋποθέσεις ή σε ποιες περιστάσεις βασίστηκαν για την εξαίρεση. Στο άρθρο 6α παράγραφος 5 περιλαμβάνεται επιπλέον υποχρέωση του κατασκευαστή του υλικού ή αντικειμένου που έρχεται σε επαφή με τρόφιμα ή εκείνου που το διαθέτει στην αγορά, καθώς και της αρμόδιας επιχείρησης τροφίμων, η οποία συγκεκριμενοποιεί τις προαναφερθείσες διατάξεις, για προσκόμιση εγγράφων που αποδεικνύουν με ποιον τρόπο διασφαλίζεται από τον εκάστοτε αρμόδιο ότι δεν πραγματοποιείται μεταφορά MOAH στο τρόφιμο. </w:t>
      </w:r>
    </w:p>
    <w:p w14:paraId="7E7353A1" w14:textId="77777777" w:rsidR="00E36DB1" w:rsidRPr="00D43FA1" w:rsidRDefault="005211EE" w:rsidP="00CB5E99">
      <w:pPr>
        <w:pStyle w:val="Text"/>
        <w:rPr>
          <w:color w:val="231F20"/>
          <w:szCs w:val="24"/>
        </w:rPr>
      </w:pPr>
      <w:r>
        <w:rPr>
          <w:color w:val="231F20"/>
          <w:szCs w:val="24"/>
        </w:rPr>
        <w:t>Στο άρθρο 6α παράγραφος 6 περιλαμβάνονται απαγορεύσεις κυκλοφορίας των τροφίμων με σκοπό την προστασία των καταναλωτών από πιθανούς κινδύνους για την υγεία που προκαλούνται λόγω της μεταφοράς MOAH από υλικά και αντικείμενα που έρχονται σε επαφή με τρόφιμα. Οι απαγορεύσεις κυκλοφορίας αφορούν εκείνα τα τρόφιμα που τυγχάνουν διαχείρισης με υλικά και αντικείμενα που έρχονται σε επαφή με τρόφιμα, τα οποία δεν εμπίπτουν στις διατάξεις του άρθρου 6α παράγραφος 1 εδάφιο 1 ή του άρθρου 6α παράγραφος 4 εδάφιο 1 και χωρίς να ισχύουν οι σχετικές εξαιρέσεις του άρθρου 6α παράγραφος 2 ή του άρθρου 6α παράγραφος 4 εδάφιο 3.</w:t>
      </w:r>
    </w:p>
    <w:p w14:paraId="295C3C27" w14:textId="77777777" w:rsidR="00893613" w:rsidRPr="00D43FA1" w:rsidRDefault="00893613" w:rsidP="0070360F">
      <w:pPr>
        <w:pStyle w:val="Text"/>
        <w:keepNext/>
        <w:keepLines/>
        <w:rPr>
          <w:szCs w:val="24"/>
          <w:u w:val="single"/>
        </w:rPr>
      </w:pPr>
      <w:r>
        <w:rPr>
          <w:szCs w:val="24"/>
          <w:u w:val="single"/>
        </w:rPr>
        <w:t>Σχετικά με το σημείο 3</w:t>
      </w:r>
    </w:p>
    <w:p w14:paraId="527C76F7" w14:textId="77777777" w:rsidR="00893613" w:rsidRPr="00D43FA1" w:rsidRDefault="00893613" w:rsidP="00893613">
      <w:pPr>
        <w:pStyle w:val="Text"/>
        <w:rPr>
          <w:szCs w:val="24"/>
        </w:rPr>
      </w:pPr>
      <w:r>
        <w:t>Με το σημείο 3 ρυθμίζεται η απαγόρευση χρήσης των υλικών και αντικειμένων που έρχονται σε επαφή με τρόφιμα, τα οποία δεν πληρούν τις απαιτήσεις του άρθρου 6α.</w:t>
      </w:r>
    </w:p>
    <w:p w14:paraId="0BECB08F" w14:textId="77777777" w:rsidR="00893613" w:rsidRPr="00D43FA1" w:rsidRDefault="00893613" w:rsidP="0070360F">
      <w:pPr>
        <w:pStyle w:val="Text"/>
        <w:keepNext/>
        <w:keepLines/>
        <w:rPr>
          <w:szCs w:val="24"/>
          <w:u w:val="single"/>
        </w:rPr>
      </w:pPr>
      <w:r>
        <w:rPr>
          <w:szCs w:val="24"/>
          <w:u w:val="single"/>
        </w:rPr>
        <w:t>Σχετικά με το σημείο 4</w:t>
      </w:r>
    </w:p>
    <w:p w14:paraId="123E14BA" w14:textId="77777777" w:rsidR="00D77D9F" w:rsidRPr="00D43FA1" w:rsidRDefault="00D77D9F" w:rsidP="00893613">
      <w:pPr>
        <w:pStyle w:val="Text"/>
        <w:rPr>
          <w:szCs w:val="24"/>
          <w:u w:val="single"/>
        </w:rPr>
      </w:pPr>
      <w:r>
        <w:t>Με το σημείο 4 ρυθμίζεται η θωράκιση από παραβιάσεις των διατάξεων του άρθρου 6α του κανονισμού για υλικά και αντικείμενα.</w:t>
      </w:r>
    </w:p>
    <w:p w14:paraId="72ADCE94" w14:textId="77777777" w:rsidR="00CB5E99" w:rsidRPr="00D43FA1" w:rsidRDefault="00D77D9F" w:rsidP="0070360F">
      <w:pPr>
        <w:pStyle w:val="Text"/>
        <w:keepNext/>
        <w:keepLines/>
        <w:rPr>
          <w:u w:val="single"/>
        </w:rPr>
      </w:pPr>
      <w:r>
        <w:rPr>
          <w:u w:val="single"/>
        </w:rPr>
        <w:t>Σχετικά με το σημείο 5</w:t>
      </w:r>
    </w:p>
    <w:p w14:paraId="10DAE7A6" w14:textId="77777777" w:rsidR="00BC7160" w:rsidRPr="00D43FA1" w:rsidRDefault="00CB5E99" w:rsidP="00CB5E99">
      <w:pPr>
        <w:pStyle w:val="Text"/>
      </w:pPr>
      <w:r>
        <w:t xml:space="preserve">Με το σημείο 5 ρυθμίζεται ότι οι διατάξεις τίθενται σε εφαρμογή μετά την παρέλευση μεταβατικού διαστήματος τριών ετών. </w:t>
      </w:r>
    </w:p>
    <w:p w14:paraId="38F583BA" w14:textId="77777777" w:rsidR="00CB5E99" w:rsidRPr="00D43FA1" w:rsidRDefault="00CB5E99" w:rsidP="00CB5E99">
      <w:pPr>
        <w:pStyle w:val="Text"/>
      </w:pPr>
      <w:r>
        <w:t>Ακόμα, με το σημείο 5 ρυθμίζεται ότι υλικά και αντικείμενα που έρχονται σε επαφή με τρόφιμα, τα οποία κατασκευάστηκαν πριν από την ημερομηνία έναρξης εφαρμογής των διατάξεων του κανονισμού, μπορούν να συνεχίσουν να διατίθενται στην αγορά και να χρησιμοποιούνται για δύο ακόμα έτη.</w:t>
      </w:r>
    </w:p>
    <w:p w14:paraId="3DCB47CB" w14:textId="77777777" w:rsidR="00CB5E99" w:rsidRPr="00D43FA1" w:rsidRDefault="00CB5E99" w:rsidP="0070360F">
      <w:pPr>
        <w:pStyle w:val="Text"/>
        <w:keepNext/>
        <w:keepLines/>
        <w:rPr>
          <w:b/>
        </w:rPr>
      </w:pPr>
      <w:r>
        <w:rPr>
          <w:b/>
        </w:rPr>
        <w:t>Σχετικά με το άρθρο 2</w:t>
      </w:r>
    </w:p>
    <w:p w14:paraId="3A8E0CB1" w14:textId="77777777" w:rsidR="00CB5E99" w:rsidRPr="00D43FA1" w:rsidRDefault="00CB5E99" w:rsidP="00CB5E99">
      <w:pPr>
        <w:pStyle w:val="Text"/>
      </w:pPr>
      <w:r>
        <w:t>Το άρθρο 2 περιέχει την άδεια γνωστοποίησης του κανονισμού για υλικά και αντικείμενα.</w:t>
      </w:r>
    </w:p>
    <w:p w14:paraId="7689A2E3" w14:textId="77777777" w:rsidR="00CB5E99" w:rsidRPr="00D43FA1" w:rsidRDefault="00CB5E99" w:rsidP="0070360F">
      <w:pPr>
        <w:pStyle w:val="Text"/>
        <w:keepNext/>
        <w:keepLines/>
        <w:rPr>
          <w:b/>
        </w:rPr>
      </w:pPr>
      <w:r>
        <w:rPr>
          <w:b/>
        </w:rPr>
        <w:lastRenderedPageBreak/>
        <w:t>Σχετικά με το άρθρο 3</w:t>
      </w:r>
    </w:p>
    <w:p w14:paraId="193ACE56" w14:textId="77777777" w:rsidR="00CB5E99" w:rsidRPr="0070360F" w:rsidRDefault="00CB5E99">
      <w:pPr>
        <w:pStyle w:val="Text"/>
      </w:pPr>
      <w:r>
        <w:t>Με το άρθρο 3 ρυθμίζεται η έναρξη ισχύος του κανονισμού.</w:t>
      </w:r>
    </w:p>
    <w:sectPr w:rsidR="00CB5E99" w:rsidRPr="0070360F" w:rsidSect="00073F52">
      <w:headerReference w:type="default" r:id="rId10"/>
      <w:headerReference w:type="first" r:id="rId11"/>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743AF" w14:textId="77777777" w:rsidR="00B82A75" w:rsidRDefault="00B82A75">
      <w:pPr>
        <w:spacing w:before="0" w:after="0"/>
      </w:pPr>
      <w:r>
        <w:separator/>
      </w:r>
    </w:p>
  </w:endnote>
  <w:endnote w:type="continuationSeparator" w:id="0">
    <w:p w14:paraId="6823D5CA" w14:textId="77777777" w:rsidR="00B82A75" w:rsidRDefault="00B82A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7D80D" w14:textId="77777777" w:rsidR="00B82A75" w:rsidRDefault="00B82A75">
      <w:pPr>
        <w:spacing w:before="0" w:after="0"/>
      </w:pPr>
      <w:r>
        <w:separator/>
      </w:r>
    </w:p>
  </w:footnote>
  <w:footnote w:type="continuationSeparator" w:id="0">
    <w:p w14:paraId="04C68AD1" w14:textId="77777777" w:rsidR="00B82A75" w:rsidRDefault="00B82A75">
      <w:pPr>
        <w:spacing w:before="0" w:after="0"/>
      </w:pPr>
      <w:r>
        <w:continuationSeparator/>
      </w:r>
    </w:p>
  </w:footnote>
  <w:footnote w:id="1">
    <w:p w14:paraId="7B8D79B8" w14:textId="77777777" w:rsidR="00E24BD3" w:rsidRPr="008036EA" w:rsidRDefault="00E24BD3">
      <w:pPr>
        <w:pStyle w:val="FootnoteText"/>
      </w:pPr>
      <w:r>
        <w:rPr>
          <w:rStyle w:val="FootnoteReference"/>
        </w:rPr>
        <w:t>1)</w:t>
      </w:r>
      <w:r>
        <w:tab/>
        <w:t>Κοινοποιήθηκε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17.9.2015, σ. 1).</w:t>
      </w:r>
    </w:p>
  </w:footnote>
  <w:footnote w:id="2">
    <w:p w14:paraId="7D837383" w14:textId="77777777" w:rsidR="00E24BD3" w:rsidRDefault="00E24BD3" w:rsidP="006B7BFE">
      <w:pPr>
        <w:pStyle w:val="FootnoteText"/>
        <w:jc w:val="left"/>
      </w:pPr>
      <w:r>
        <w:rPr>
          <w:rStyle w:val="FootnoteReference"/>
        </w:rPr>
        <w:footnoteRef/>
      </w:r>
      <w:r>
        <w:t xml:space="preserve"> </w:t>
      </w:r>
      <w:r>
        <w:tab/>
      </w:r>
      <w:r>
        <w:t xml:space="preserve">Ομοσπονδιακή </w:t>
      </w:r>
      <w:r>
        <w:t xml:space="preserve">Στατιστική Υπηρεσία (2012): Οδηγίες σχετικά με τον καθορισμό και την παρουσίαση του κόστους συμμόρφωσης από τις κανονιστικές απαιτήσεις της Ομοσπονδιακής Κυβέρνησης. </w:t>
      </w:r>
    </w:p>
  </w:footnote>
  <w:footnote w:id="3">
    <w:p w14:paraId="36F3698B" w14:textId="60DC7FEB" w:rsidR="00E24BD3" w:rsidRPr="0086292F" w:rsidRDefault="00E24BD3" w:rsidP="002F54A3">
      <w:pPr>
        <w:pStyle w:val="FootnoteText"/>
      </w:pPr>
      <w:r>
        <w:rPr>
          <w:rStyle w:val="FootnoteReference"/>
        </w:rPr>
        <w:footnoteRef/>
      </w:r>
      <w:r>
        <w:t xml:space="preserve"> </w:t>
      </w:r>
      <w:r>
        <w:tab/>
      </w:r>
      <w:r>
        <w:t xml:space="preserve">Μελέτη </w:t>
      </w:r>
      <w:r>
        <w:t xml:space="preserve">της διάρθρωσης κόστους στον τομέα του κλάδου μεταποίησης, της εκμετάλλευσης μεταλλείων και της εξόρυξης λίθων και γαιών (αριθ. EVAS 42251): Εργαζόμενοι, κύκλος εργασιών, αξία παραγωγής και δημιουργία αξίας από τις επιχειρήσεις στον τομέα μεταποίησης, Γερμανία 2015, Κλάδοι της οικονομίας WZ08-10. </w:t>
      </w:r>
    </w:p>
  </w:footnote>
  <w:footnote w:id="4">
    <w:p w14:paraId="3324C433" w14:textId="77777777" w:rsidR="00E24BD3" w:rsidRPr="00D47EE6" w:rsidRDefault="00E24BD3" w:rsidP="002F54A3">
      <w:pPr>
        <w:pStyle w:val="Default"/>
        <w:ind w:left="720" w:hanging="720"/>
        <w:rPr>
          <w:rFonts w:ascii="Arial" w:hAnsi="Arial" w:cs="Arial"/>
          <w:sz w:val="18"/>
          <w:szCs w:val="18"/>
        </w:rPr>
      </w:pPr>
      <w:r>
        <w:rPr>
          <w:rStyle w:val="FootnoteReference"/>
          <w:rFonts w:ascii="Arial" w:hAnsi="Arial"/>
          <w:sz w:val="18"/>
          <w:szCs w:val="18"/>
        </w:rPr>
        <w:t>3</w:t>
      </w:r>
      <w:r>
        <w:t xml:space="preserve"> </w:t>
      </w:r>
      <w:r>
        <w:tab/>
      </w:r>
      <w:r>
        <w:rPr>
          <w:rFonts w:ascii="Arial" w:hAnsi="Arial"/>
          <w:sz w:val="18"/>
          <w:szCs w:val="18"/>
        </w:rPr>
        <w:t xml:space="preserve">Μισθολογικοί πίνακες του 2017 για τον υπολογισμό του κόστους συμμόρφωσης και του γραφειοκρατικού κόστους της Ομοσπονδιακής Στατιστικής Υπηρεσίας, Κλάδος της οικονομίας C10, Επιχειρήσεις με τουλάχιστον 250 απασχολούμενους, υψηλό επίπεδο επαγγελματικών προσόντων. </w:t>
      </w:r>
    </w:p>
    <w:p w14:paraId="2487B60A" w14:textId="77777777" w:rsidR="00E24BD3" w:rsidRDefault="00E24BD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70F90" w14:textId="024B4C5F" w:rsidR="00E24BD3" w:rsidRPr="00073F52" w:rsidRDefault="00D43FA1" w:rsidP="00073F52">
    <w:pPr>
      <w:pStyle w:val="Header"/>
    </w:pPr>
    <w:r>
      <w:tab/>
    </w:r>
    <w:r>
      <w:t xml:space="preserve">- </w:t>
    </w:r>
    <w:r w:rsidR="00073F52">
      <w:fldChar w:fldCharType="begin"/>
    </w:r>
    <w:r w:rsidR="00073F52">
      <w:instrText xml:space="preserve"> PAGE  \* MERGEFORMAT </w:instrText>
    </w:r>
    <w:r w:rsidR="00073F52">
      <w:fldChar w:fldCharType="separate"/>
    </w:r>
    <w:r w:rsidR="004655E3">
      <w:rPr>
        <w:noProof/>
      </w:rPr>
      <w:t>20</w:t>
    </w:r>
    <w:r w:rsidR="00073F52">
      <w:fldChar w:fldCharType="end"/>
    </w:r>
    <w:r>
      <w:t xml:space="preserve"> -</w:t>
    </w:r>
    <w:r>
      <w:tab/>
    </w:r>
    <w:r>
      <w:rPr>
        <w:sz w:val="18"/>
      </w:rPr>
      <w:t>Τελευταία ενημέρωση: 14/8/2020</w:t>
    </w:r>
    <w:r>
      <w:rPr>
        <w:sz w:val="18"/>
      </w:rPr>
      <w:tab/>
      <w:t>3:07 μμ</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B8F3E" w14:textId="0C4B739B" w:rsidR="00E24BD3" w:rsidRPr="00073F52" w:rsidRDefault="00D43FA1" w:rsidP="00073F52">
    <w:pPr>
      <w:pStyle w:val="Header"/>
    </w:pPr>
    <w:r>
      <w:tab/>
    </w:r>
    <w:r w:rsidR="004655E3">
      <w:rPr>
        <w:sz w:val="18"/>
      </w:rPr>
      <w:fldChar w:fldCharType="begin"/>
    </w:r>
    <w:r w:rsidR="004655E3">
      <w:rPr>
        <w:sz w:val="18"/>
      </w:rPr>
      <w:instrText xml:space="preserve"> DOCPROPERTY "Bearbeitungsstand" \* MERGEFORMAT </w:instrText>
    </w:r>
    <w:r w:rsidR="004655E3">
      <w:rPr>
        <w:sz w:val="18"/>
      </w:rPr>
      <w:fldChar w:fldCharType="separate"/>
    </w:r>
    <w:r w:rsidR="004655E3">
      <w:rPr>
        <w:sz w:val="18"/>
      </w:rPr>
      <w:t xml:space="preserve">Bearbeitungsstand: </w:t>
    </w:r>
    <w:r w:rsidR="004655E3">
      <w:rPr>
        <w:sz w:val="18"/>
      </w:rPr>
      <w:t>14.08.2020  15:07 Uhr</w:t>
    </w:r>
    <w:r w:rsidR="004655E3">
      <w:rP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4536"/>
        </w:tabs>
        <w:ind w:left="4253"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A2D0161"/>
    <w:multiLevelType w:val="hybridMultilevel"/>
    <w:tmpl w:val="8B90B208"/>
    <w:lvl w:ilvl="0" w:tplc="74E867FC">
      <w:start w:val="1"/>
      <w:numFmt w:val="bullet"/>
      <w:lvlText w:val="˗"/>
      <w:lvlJc w:val="left"/>
      <w:pPr>
        <w:ind w:left="1145" w:hanging="360"/>
      </w:pPr>
      <w:rPr>
        <w:rFonts w:ascii="Times New Roman"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0500708"/>
    <w:multiLevelType w:val="hybridMultilevel"/>
    <w:tmpl w:val="F0940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6" w15:restartNumberingAfterBreak="0">
    <w:nsid w:val="127C50D1"/>
    <w:multiLevelType w:val="hybridMultilevel"/>
    <w:tmpl w:val="7B5267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E85297"/>
    <w:multiLevelType w:val="multilevel"/>
    <w:tmpl w:val="C39A7E80"/>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mc:AlternateContent>
        <mc:Choice Requires="w14">
          <w:numFmt w:val="custom" w:format="α, β, γ, ..."/>
        </mc:Choice>
        <mc:Fallback>
          <w:numFmt w:val="decimal"/>
        </mc:Fallback>
      </mc:AlternateContent>
      <w:pStyle w:val="NummerierungStufe2"/>
      <w:lvlText w:val="%5)"/>
      <w:lvlJc w:val="left"/>
      <w:pPr>
        <w:tabs>
          <w:tab w:val="num" w:pos="850"/>
        </w:tabs>
        <w:ind w:left="850" w:hanging="425"/>
      </w:pPr>
      <w:rPr>
        <w:rFonts w:hint="default"/>
      </w:rPr>
    </w:lvl>
    <w:lvl w:ilvl="5">
      <w:start w:val="1"/>
      <mc:AlternateContent>
        <mc:Choice Requires="w14">
          <w:numFmt w:val="custom" w:format="α, β, γ, ..."/>
        </mc:Choice>
        <mc:Fallback>
          <w:numFmt w:val="decimal"/>
        </mc:Fallback>
      </mc:AlternateContent>
      <w:pStyle w:val="NummerierungStufe3"/>
      <w:lvlText w:val="αα)%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9"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0" w15:restartNumberingAfterBreak="0">
    <w:nsid w:val="26DC129C"/>
    <w:multiLevelType w:val="hybridMultilevel"/>
    <w:tmpl w:val="D682E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3F2C75"/>
    <w:multiLevelType w:val="hybridMultilevel"/>
    <w:tmpl w:val="6F30F0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3"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4" w15:restartNumberingAfterBreak="0">
    <w:nsid w:val="2A897DF0"/>
    <w:multiLevelType w:val="hybridMultilevel"/>
    <w:tmpl w:val="857C688C"/>
    <w:lvl w:ilvl="0" w:tplc="74E867F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7"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9"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0"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4" w15:restartNumberingAfterBreak="0">
    <w:nsid w:val="56DD28C7"/>
    <w:multiLevelType w:val="hybridMultilevel"/>
    <w:tmpl w:val="32463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ED6052"/>
    <w:multiLevelType w:val="multilevel"/>
    <w:tmpl w:val="99C217B4"/>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1"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
  </w:num>
  <w:num w:numId="2">
    <w:abstractNumId w:val="3"/>
  </w:num>
  <w:num w:numId="3">
    <w:abstractNumId w:val="10"/>
  </w:num>
  <w:num w:numId="4">
    <w:abstractNumId w:val="14"/>
  </w:num>
  <w:num w:numId="5">
    <w:abstractNumId w:val="11"/>
  </w:num>
  <w:num w:numId="6">
    <w:abstractNumId w:val="6"/>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31"/>
  </w:num>
  <w:num w:numId="12">
    <w:abstractNumId w:val="22"/>
  </w:num>
  <w:num w:numId="13">
    <w:abstractNumId w:val="5"/>
  </w:num>
  <w:num w:numId="14">
    <w:abstractNumId w:val="16"/>
  </w:num>
  <w:num w:numId="15">
    <w:abstractNumId w:val="0"/>
  </w:num>
  <w:num w:numId="16">
    <w:abstractNumId w:val="30"/>
  </w:num>
  <w:num w:numId="17">
    <w:abstractNumId w:val="17"/>
  </w:num>
  <w:num w:numId="18">
    <w:abstractNumId w:val="26"/>
  </w:num>
  <w:num w:numId="19">
    <w:abstractNumId w:val="4"/>
  </w:num>
  <w:num w:numId="20">
    <w:abstractNumId w:val="21"/>
  </w:num>
  <w:num w:numId="21">
    <w:abstractNumId w:val="12"/>
  </w:num>
  <w:num w:numId="22">
    <w:abstractNumId w:val="9"/>
  </w:num>
  <w:num w:numId="23">
    <w:abstractNumId w:val="20"/>
  </w:num>
  <w:num w:numId="24">
    <w:abstractNumId w:val="27"/>
  </w:num>
  <w:num w:numId="25">
    <w:abstractNumId w:val="13"/>
  </w:num>
  <w:num w:numId="26">
    <w:abstractNumId w:val="18"/>
  </w:num>
  <w:num w:numId="27">
    <w:abstractNumId w:val="1"/>
  </w:num>
  <w:num w:numId="28">
    <w:abstractNumId w:val="19"/>
  </w:num>
  <w:num w:numId="29">
    <w:abstractNumId w:val="7"/>
  </w:num>
  <w:num w:numId="30">
    <w:abstractNumId w:val="29"/>
  </w:num>
  <w:num w:numId="31">
    <w:abstractNumId w:val="28"/>
  </w:num>
  <w:num w:numId="32">
    <w:abstractNumId w:val="15"/>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sZähler" w:val="3"/>
    <w:docVar w:name="BefehlsKontext_SpeichernOOXML_Maximum" w:val="372ms"/>
    <w:docVar w:name="BefehlsKontext_SpeichernOOXML_Schnitt" w:val="372ms"/>
    <w:docVar w:name="BMJ" w:val="True"/>
    <w:docVar w:name="CUSTOMER" w:val="8"/>
    <w:docVar w:name="DQCDateTime" w:val="29.07.2020 09:42:09"/>
    <w:docVar w:name="DQCPart_Begruendung" w:val="0"/>
    <w:docVar w:name="DQCPart_Dokument" w:val="0"/>
    <w:docVar w:name="DQCPart_Regelungsteil" w:val="0"/>
    <w:docVar w:name="DQCPart_Vorblatt" w:val="0"/>
    <w:docVar w:name="DQCResult_Aenderungsbefehl" w:val="0;14"/>
    <w:docVar w:name="DQCResult_Binnenverweise" w:val="0;0"/>
    <w:docVar w:name="DQCResult_Citations" w:val="0;2"/>
    <w:docVar w:name="DQCResult_EinzelneRegelungsteile" w:val="0;0"/>
    <w:docVar w:name="DQCResult_EmbeddedObjects" w:val="0;0"/>
    <w:docVar w:name="DQCResult_Gliederung" w:val="22;6"/>
    <w:docVar w:name="DQCResult_Marker" w:val="0;0"/>
    <w:docVar w:name="DQCResult_Metadata" w:val="0;0"/>
    <w:docVar w:name="DQCResult_ModifiedCharFormat" w:val="0;89"/>
    <w:docVar w:name="DQCResult_ModifiedMargins" w:val="21;0"/>
    <w:docVar w:name="DQCResult_ModifiedNumbering" w:val="2;0"/>
    <w:docVar w:name="DQCResult_StructureCheck" w:val="16;0"/>
    <w:docVar w:name="DQCResult_SuperfluousWhitespace" w:val="69;0"/>
    <w:docVar w:name="DQCResult_TermsAndDiction" w:val="0;10"/>
    <w:docVar w:name="DQCResult_Verweise" w:val="0;0"/>
    <w:docVar w:name="DQCWithWarnings" w:val="1"/>
    <w:docVar w:name="LW_DocType" w:val="AENDER"/>
    <w:docVar w:name="LWCons_Langue" w:val="DE"/>
  </w:docVars>
  <w:rsids>
    <w:rsidRoot w:val="006444D5"/>
    <w:rsid w:val="00000EDE"/>
    <w:rsid w:val="00006B73"/>
    <w:rsid w:val="00011404"/>
    <w:rsid w:val="000114D3"/>
    <w:rsid w:val="00011669"/>
    <w:rsid w:val="00013F7F"/>
    <w:rsid w:val="0001751A"/>
    <w:rsid w:val="000202F9"/>
    <w:rsid w:val="000205EA"/>
    <w:rsid w:val="00021172"/>
    <w:rsid w:val="00023B79"/>
    <w:rsid w:val="0002703A"/>
    <w:rsid w:val="00031FDC"/>
    <w:rsid w:val="00031FE9"/>
    <w:rsid w:val="0003253F"/>
    <w:rsid w:val="000326A1"/>
    <w:rsid w:val="00033203"/>
    <w:rsid w:val="000379E5"/>
    <w:rsid w:val="00040BA6"/>
    <w:rsid w:val="00042625"/>
    <w:rsid w:val="00042E60"/>
    <w:rsid w:val="00043B45"/>
    <w:rsid w:val="000447FD"/>
    <w:rsid w:val="00046B6A"/>
    <w:rsid w:val="000511BF"/>
    <w:rsid w:val="0005302B"/>
    <w:rsid w:val="0005489F"/>
    <w:rsid w:val="000579F5"/>
    <w:rsid w:val="0006353C"/>
    <w:rsid w:val="000636B3"/>
    <w:rsid w:val="00067EA9"/>
    <w:rsid w:val="00070990"/>
    <w:rsid w:val="00072429"/>
    <w:rsid w:val="00073F52"/>
    <w:rsid w:val="000746B9"/>
    <w:rsid w:val="00080C0D"/>
    <w:rsid w:val="00081E27"/>
    <w:rsid w:val="0008213F"/>
    <w:rsid w:val="0008560F"/>
    <w:rsid w:val="00086709"/>
    <w:rsid w:val="00087B66"/>
    <w:rsid w:val="00091B75"/>
    <w:rsid w:val="000958E3"/>
    <w:rsid w:val="000A00BC"/>
    <w:rsid w:val="000A0EA7"/>
    <w:rsid w:val="000A42DE"/>
    <w:rsid w:val="000B1116"/>
    <w:rsid w:val="000B17F0"/>
    <w:rsid w:val="000B2DB8"/>
    <w:rsid w:val="000B41D9"/>
    <w:rsid w:val="000C09F9"/>
    <w:rsid w:val="000C4EFA"/>
    <w:rsid w:val="000C57C8"/>
    <w:rsid w:val="000D03E9"/>
    <w:rsid w:val="000D0F45"/>
    <w:rsid w:val="000D3FA6"/>
    <w:rsid w:val="000D48E2"/>
    <w:rsid w:val="000E049B"/>
    <w:rsid w:val="000E4B72"/>
    <w:rsid w:val="000E73A4"/>
    <w:rsid w:val="000F1682"/>
    <w:rsid w:val="000F35FD"/>
    <w:rsid w:val="000F4A0B"/>
    <w:rsid w:val="000F6183"/>
    <w:rsid w:val="000F64B6"/>
    <w:rsid w:val="000F71D6"/>
    <w:rsid w:val="00105F8D"/>
    <w:rsid w:val="00106224"/>
    <w:rsid w:val="00110308"/>
    <w:rsid w:val="0011039C"/>
    <w:rsid w:val="00112749"/>
    <w:rsid w:val="00117552"/>
    <w:rsid w:val="0012322F"/>
    <w:rsid w:val="00123317"/>
    <w:rsid w:val="00123700"/>
    <w:rsid w:val="00131DBC"/>
    <w:rsid w:val="00133C9F"/>
    <w:rsid w:val="001348D2"/>
    <w:rsid w:val="0013637E"/>
    <w:rsid w:val="00140A6C"/>
    <w:rsid w:val="001419E7"/>
    <w:rsid w:val="00146E0A"/>
    <w:rsid w:val="0015179A"/>
    <w:rsid w:val="00152222"/>
    <w:rsid w:val="00155E4D"/>
    <w:rsid w:val="00160D57"/>
    <w:rsid w:val="0016165D"/>
    <w:rsid w:val="0016584A"/>
    <w:rsid w:val="00166244"/>
    <w:rsid w:val="001667AF"/>
    <w:rsid w:val="00166DA2"/>
    <w:rsid w:val="00170F46"/>
    <w:rsid w:val="00175860"/>
    <w:rsid w:val="001758C6"/>
    <w:rsid w:val="00175A40"/>
    <w:rsid w:val="001827A3"/>
    <w:rsid w:val="00185FED"/>
    <w:rsid w:val="001911F5"/>
    <w:rsid w:val="0019372F"/>
    <w:rsid w:val="00193B98"/>
    <w:rsid w:val="0019599F"/>
    <w:rsid w:val="001967AF"/>
    <w:rsid w:val="001A28CA"/>
    <w:rsid w:val="001A2F04"/>
    <w:rsid w:val="001A5621"/>
    <w:rsid w:val="001B10CC"/>
    <w:rsid w:val="001B2B49"/>
    <w:rsid w:val="001B471D"/>
    <w:rsid w:val="001B4AC9"/>
    <w:rsid w:val="001B654F"/>
    <w:rsid w:val="001C0BC3"/>
    <w:rsid w:val="001D09DD"/>
    <w:rsid w:val="001D5E6B"/>
    <w:rsid w:val="001D7ACD"/>
    <w:rsid w:val="001E05AF"/>
    <w:rsid w:val="001E169B"/>
    <w:rsid w:val="001E3F09"/>
    <w:rsid w:val="001E46F6"/>
    <w:rsid w:val="001E5369"/>
    <w:rsid w:val="001F0A70"/>
    <w:rsid w:val="001F39C1"/>
    <w:rsid w:val="001F595D"/>
    <w:rsid w:val="001F5B99"/>
    <w:rsid w:val="001F5E17"/>
    <w:rsid w:val="001F7A10"/>
    <w:rsid w:val="00204FD0"/>
    <w:rsid w:val="00206EBE"/>
    <w:rsid w:val="002128DA"/>
    <w:rsid w:val="002201EF"/>
    <w:rsid w:val="002235F2"/>
    <w:rsid w:val="00226A59"/>
    <w:rsid w:val="00227028"/>
    <w:rsid w:val="0022733A"/>
    <w:rsid w:val="002275AC"/>
    <w:rsid w:val="00231F40"/>
    <w:rsid w:val="0023385E"/>
    <w:rsid w:val="00234C16"/>
    <w:rsid w:val="002378C1"/>
    <w:rsid w:val="00240DFC"/>
    <w:rsid w:val="00241B36"/>
    <w:rsid w:val="00241FAE"/>
    <w:rsid w:val="00243E14"/>
    <w:rsid w:val="00244230"/>
    <w:rsid w:val="00244CF8"/>
    <w:rsid w:val="002455B9"/>
    <w:rsid w:val="00247D01"/>
    <w:rsid w:val="00250F1D"/>
    <w:rsid w:val="0025249C"/>
    <w:rsid w:val="0025354D"/>
    <w:rsid w:val="002535AD"/>
    <w:rsid w:val="00255264"/>
    <w:rsid w:val="0025650A"/>
    <w:rsid w:val="00257E98"/>
    <w:rsid w:val="0026302A"/>
    <w:rsid w:val="00264ECC"/>
    <w:rsid w:val="00265487"/>
    <w:rsid w:val="002666C4"/>
    <w:rsid w:val="00266860"/>
    <w:rsid w:val="0027334F"/>
    <w:rsid w:val="00274D3C"/>
    <w:rsid w:val="0027761E"/>
    <w:rsid w:val="00280B36"/>
    <w:rsid w:val="0028261E"/>
    <w:rsid w:val="00283E6C"/>
    <w:rsid w:val="00284E94"/>
    <w:rsid w:val="002876F5"/>
    <w:rsid w:val="00287EBE"/>
    <w:rsid w:val="002929F3"/>
    <w:rsid w:val="00294ACD"/>
    <w:rsid w:val="00295A54"/>
    <w:rsid w:val="00297533"/>
    <w:rsid w:val="002A1335"/>
    <w:rsid w:val="002A17CE"/>
    <w:rsid w:val="002A5AE5"/>
    <w:rsid w:val="002A60B8"/>
    <w:rsid w:val="002A6582"/>
    <w:rsid w:val="002A6EAA"/>
    <w:rsid w:val="002B0188"/>
    <w:rsid w:val="002B5546"/>
    <w:rsid w:val="002B62A4"/>
    <w:rsid w:val="002C13F3"/>
    <w:rsid w:val="002D0A9B"/>
    <w:rsid w:val="002D2CDA"/>
    <w:rsid w:val="002D7A0A"/>
    <w:rsid w:val="002D7D76"/>
    <w:rsid w:val="002E02C1"/>
    <w:rsid w:val="002E295B"/>
    <w:rsid w:val="002E33A2"/>
    <w:rsid w:val="002E550F"/>
    <w:rsid w:val="002E5E76"/>
    <w:rsid w:val="002E6AEF"/>
    <w:rsid w:val="002F0673"/>
    <w:rsid w:val="002F0B7F"/>
    <w:rsid w:val="002F1ED8"/>
    <w:rsid w:val="002F27A5"/>
    <w:rsid w:val="002F3448"/>
    <w:rsid w:val="002F4768"/>
    <w:rsid w:val="002F54A3"/>
    <w:rsid w:val="002F556C"/>
    <w:rsid w:val="002F5848"/>
    <w:rsid w:val="002F687B"/>
    <w:rsid w:val="002F7BDF"/>
    <w:rsid w:val="00301DC9"/>
    <w:rsid w:val="00302746"/>
    <w:rsid w:val="003035FC"/>
    <w:rsid w:val="00305F3A"/>
    <w:rsid w:val="00307078"/>
    <w:rsid w:val="00312412"/>
    <w:rsid w:val="0031368B"/>
    <w:rsid w:val="00313AFD"/>
    <w:rsid w:val="00314E88"/>
    <w:rsid w:val="0031773F"/>
    <w:rsid w:val="00323DAC"/>
    <w:rsid w:val="00325F70"/>
    <w:rsid w:val="003308AC"/>
    <w:rsid w:val="00331B5D"/>
    <w:rsid w:val="00334D1C"/>
    <w:rsid w:val="003454AA"/>
    <w:rsid w:val="00347A46"/>
    <w:rsid w:val="00351F32"/>
    <w:rsid w:val="00354B9C"/>
    <w:rsid w:val="00357F15"/>
    <w:rsid w:val="0036192C"/>
    <w:rsid w:val="0036199E"/>
    <w:rsid w:val="00363609"/>
    <w:rsid w:val="0036600C"/>
    <w:rsid w:val="00366367"/>
    <w:rsid w:val="0037560C"/>
    <w:rsid w:val="00375C93"/>
    <w:rsid w:val="00376190"/>
    <w:rsid w:val="00376D74"/>
    <w:rsid w:val="00380556"/>
    <w:rsid w:val="00391106"/>
    <w:rsid w:val="003923C4"/>
    <w:rsid w:val="00395CCD"/>
    <w:rsid w:val="003A1F45"/>
    <w:rsid w:val="003A773C"/>
    <w:rsid w:val="003B280E"/>
    <w:rsid w:val="003B2E93"/>
    <w:rsid w:val="003C0DCF"/>
    <w:rsid w:val="003C1F50"/>
    <w:rsid w:val="003C2CF2"/>
    <w:rsid w:val="003C3EEC"/>
    <w:rsid w:val="003C7574"/>
    <w:rsid w:val="003D2F67"/>
    <w:rsid w:val="003D3061"/>
    <w:rsid w:val="003D3839"/>
    <w:rsid w:val="003E061A"/>
    <w:rsid w:val="003E0A8F"/>
    <w:rsid w:val="003E369F"/>
    <w:rsid w:val="003E5E20"/>
    <w:rsid w:val="003E643B"/>
    <w:rsid w:val="003F072B"/>
    <w:rsid w:val="003F2896"/>
    <w:rsid w:val="003F4716"/>
    <w:rsid w:val="003F4E3F"/>
    <w:rsid w:val="003F5844"/>
    <w:rsid w:val="003F61B5"/>
    <w:rsid w:val="003F6BDA"/>
    <w:rsid w:val="003F7EB4"/>
    <w:rsid w:val="0040082A"/>
    <w:rsid w:val="00401DF2"/>
    <w:rsid w:val="00402ED1"/>
    <w:rsid w:val="00404213"/>
    <w:rsid w:val="004046A1"/>
    <w:rsid w:val="00410F1B"/>
    <w:rsid w:val="00412B86"/>
    <w:rsid w:val="00412EE8"/>
    <w:rsid w:val="00416BFF"/>
    <w:rsid w:val="00417CBD"/>
    <w:rsid w:val="004202CF"/>
    <w:rsid w:val="0042126B"/>
    <w:rsid w:val="00423AC9"/>
    <w:rsid w:val="00425BF3"/>
    <w:rsid w:val="00425F35"/>
    <w:rsid w:val="004313DF"/>
    <w:rsid w:val="00433B99"/>
    <w:rsid w:val="0043452E"/>
    <w:rsid w:val="00435EAE"/>
    <w:rsid w:val="0044115A"/>
    <w:rsid w:val="0044208A"/>
    <w:rsid w:val="0044326B"/>
    <w:rsid w:val="00454ADA"/>
    <w:rsid w:val="00454D02"/>
    <w:rsid w:val="00454D9A"/>
    <w:rsid w:val="00460A90"/>
    <w:rsid w:val="004654DC"/>
    <w:rsid w:val="004655E3"/>
    <w:rsid w:val="00466F75"/>
    <w:rsid w:val="004779CD"/>
    <w:rsid w:val="00483982"/>
    <w:rsid w:val="00486F92"/>
    <w:rsid w:val="00492084"/>
    <w:rsid w:val="004975C3"/>
    <w:rsid w:val="004A4749"/>
    <w:rsid w:val="004A6A21"/>
    <w:rsid w:val="004B0349"/>
    <w:rsid w:val="004B69CF"/>
    <w:rsid w:val="004B79B4"/>
    <w:rsid w:val="004C32E6"/>
    <w:rsid w:val="004C5508"/>
    <w:rsid w:val="004D0AC8"/>
    <w:rsid w:val="004D16CA"/>
    <w:rsid w:val="004D5050"/>
    <w:rsid w:val="004E15A1"/>
    <w:rsid w:val="004E3C4B"/>
    <w:rsid w:val="004E416D"/>
    <w:rsid w:val="004E72E0"/>
    <w:rsid w:val="004F1DB4"/>
    <w:rsid w:val="004F2B12"/>
    <w:rsid w:val="004F4835"/>
    <w:rsid w:val="00500609"/>
    <w:rsid w:val="005006FC"/>
    <w:rsid w:val="00501945"/>
    <w:rsid w:val="00502460"/>
    <w:rsid w:val="00503A0C"/>
    <w:rsid w:val="00504030"/>
    <w:rsid w:val="005068AC"/>
    <w:rsid w:val="00513B6A"/>
    <w:rsid w:val="005211EE"/>
    <w:rsid w:val="00521B05"/>
    <w:rsid w:val="005227FE"/>
    <w:rsid w:val="00524D10"/>
    <w:rsid w:val="00532ED6"/>
    <w:rsid w:val="00533412"/>
    <w:rsid w:val="00534679"/>
    <w:rsid w:val="00537AF3"/>
    <w:rsid w:val="00542778"/>
    <w:rsid w:val="00545785"/>
    <w:rsid w:val="00550810"/>
    <w:rsid w:val="005544A3"/>
    <w:rsid w:val="00554B4D"/>
    <w:rsid w:val="0055707E"/>
    <w:rsid w:val="00557319"/>
    <w:rsid w:val="00557D18"/>
    <w:rsid w:val="00560F85"/>
    <w:rsid w:val="00565598"/>
    <w:rsid w:val="00570706"/>
    <w:rsid w:val="00572FEB"/>
    <w:rsid w:val="005757E3"/>
    <w:rsid w:val="00580CE1"/>
    <w:rsid w:val="00582019"/>
    <w:rsid w:val="005836E0"/>
    <w:rsid w:val="0058390A"/>
    <w:rsid w:val="005872C8"/>
    <w:rsid w:val="00587FF1"/>
    <w:rsid w:val="00591AFF"/>
    <w:rsid w:val="00595A3F"/>
    <w:rsid w:val="005A12E2"/>
    <w:rsid w:val="005A1A80"/>
    <w:rsid w:val="005A4FF8"/>
    <w:rsid w:val="005B0D5B"/>
    <w:rsid w:val="005B4624"/>
    <w:rsid w:val="005B4D17"/>
    <w:rsid w:val="005C1176"/>
    <w:rsid w:val="005C22B8"/>
    <w:rsid w:val="005C302D"/>
    <w:rsid w:val="005D0728"/>
    <w:rsid w:val="005D3ACC"/>
    <w:rsid w:val="005D4738"/>
    <w:rsid w:val="005D6DB1"/>
    <w:rsid w:val="005D7810"/>
    <w:rsid w:val="005E19F4"/>
    <w:rsid w:val="005F1658"/>
    <w:rsid w:val="00602358"/>
    <w:rsid w:val="006023FF"/>
    <w:rsid w:val="00610226"/>
    <w:rsid w:val="006112FC"/>
    <w:rsid w:val="00612652"/>
    <w:rsid w:val="006172FB"/>
    <w:rsid w:val="00625E69"/>
    <w:rsid w:val="00627A2B"/>
    <w:rsid w:val="006331E5"/>
    <w:rsid w:val="00633718"/>
    <w:rsid w:val="00634FE4"/>
    <w:rsid w:val="006362A8"/>
    <w:rsid w:val="0064273F"/>
    <w:rsid w:val="006444D5"/>
    <w:rsid w:val="00645D07"/>
    <w:rsid w:val="00646A3B"/>
    <w:rsid w:val="006504FE"/>
    <w:rsid w:val="0065079C"/>
    <w:rsid w:val="00650D95"/>
    <w:rsid w:val="006579C6"/>
    <w:rsid w:val="00657AA0"/>
    <w:rsid w:val="006708F9"/>
    <w:rsid w:val="00670B84"/>
    <w:rsid w:val="00671288"/>
    <w:rsid w:val="00672D86"/>
    <w:rsid w:val="006737EE"/>
    <w:rsid w:val="006754F3"/>
    <w:rsid w:val="00676165"/>
    <w:rsid w:val="006764E4"/>
    <w:rsid w:val="006808E4"/>
    <w:rsid w:val="00680B5D"/>
    <w:rsid w:val="006818A9"/>
    <w:rsid w:val="00685810"/>
    <w:rsid w:val="006937A1"/>
    <w:rsid w:val="00693CB3"/>
    <w:rsid w:val="00695CF5"/>
    <w:rsid w:val="0069641F"/>
    <w:rsid w:val="0069682A"/>
    <w:rsid w:val="006A2E3D"/>
    <w:rsid w:val="006A2F7F"/>
    <w:rsid w:val="006A35EA"/>
    <w:rsid w:val="006A44D1"/>
    <w:rsid w:val="006A578D"/>
    <w:rsid w:val="006A5CD4"/>
    <w:rsid w:val="006B01A1"/>
    <w:rsid w:val="006B184E"/>
    <w:rsid w:val="006B2B6B"/>
    <w:rsid w:val="006B6225"/>
    <w:rsid w:val="006B664F"/>
    <w:rsid w:val="006B7BFE"/>
    <w:rsid w:val="006C419F"/>
    <w:rsid w:val="006C4287"/>
    <w:rsid w:val="006C4B57"/>
    <w:rsid w:val="006C5005"/>
    <w:rsid w:val="006C5F55"/>
    <w:rsid w:val="006C6AEA"/>
    <w:rsid w:val="006D5A07"/>
    <w:rsid w:val="006D61A8"/>
    <w:rsid w:val="006E0E51"/>
    <w:rsid w:val="006E1543"/>
    <w:rsid w:val="006E32D4"/>
    <w:rsid w:val="006E5F3C"/>
    <w:rsid w:val="006E735C"/>
    <w:rsid w:val="006F0E66"/>
    <w:rsid w:val="006F303A"/>
    <w:rsid w:val="006F41D3"/>
    <w:rsid w:val="006F48BC"/>
    <w:rsid w:val="006F517F"/>
    <w:rsid w:val="00702263"/>
    <w:rsid w:val="0070360F"/>
    <w:rsid w:val="00706264"/>
    <w:rsid w:val="007115EE"/>
    <w:rsid w:val="00711B3B"/>
    <w:rsid w:val="007161EB"/>
    <w:rsid w:val="007218C5"/>
    <w:rsid w:val="007239E8"/>
    <w:rsid w:val="0072609A"/>
    <w:rsid w:val="007314AB"/>
    <w:rsid w:val="00733250"/>
    <w:rsid w:val="00735843"/>
    <w:rsid w:val="00737DA8"/>
    <w:rsid w:val="00742EFE"/>
    <w:rsid w:val="007437B0"/>
    <w:rsid w:val="00746FED"/>
    <w:rsid w:val="007525FC"/>
    <w:rsid w:val="00755B7A"/>
    <w:rsid w:val="00756335"/>
    <w:rsid w:val="00761998"/>
    <w:rsid w:val="0076235D"/>
    <w:rsid w:val="007637B5"/>
    <w:rsid w:val="00763CDC"/>
    <w:rsid w:val="00764D8F"/>
    <w:rsid w:val="00777926"/>
    <w:rsid w:val="007905CF"/>
    <w:rsid w:val="00792C48"/>
    <w:rsid w:val="00793595"/>
    <w:rsid w:val="007A1312"/>
    <w:rsid w:val="007A25F0"/>
    <w:rsid w:val="007A3936"/>
    <w:rsid w:val="007A3D7C"/>
    <w:rsid w:val="007A6737"/>
    <w:rsid w:val="007A6BD7"/>
    <w:rsid w:val="007B10BC"/>
    <w:rsid w:val="007B13BA"/>
    <w:rsid w:val="007B2A4A"/>
    <w:rsid w:val="007B2B4A"/>
    <w:rsid w:val="007B2F1F"/>
    <w:rsid w:val="007B6C3C"/>
    <w:rsid w:val="007C0BDB"/>
    <w:rsid w:val="007C1039"/>
    <w:rsid w:val="007C63D5"/>
    <w:rsid w:val="007C7895"/>
    <w:rsid w:val="007C7B00"/>
    <w:rsid w:val="007D0F38"/>
    <w:rsid w:val="007D108B"/>
    <w:rsid w:val="007D261F"/>
    <w:rsid w:val="007D3DEE"/>
    <w:rsid w:val="007D6A27"/>
    <w:rsid w:val="007E01A6"/>
    <w:rsid w:val="007E0BC1"/>
    <w:rsid w:val="007E28A4"/>
    <w:rsid w:val="007E3F7C"/>
    <w:rsid w:val="007E6419"/>
    <w:rsid w:val="007F06A5"/>
    <w:rsid w:val="007F1598"/>
    <w:rsid w:val="007F1BEC"/>
    <w:rsid w:val="007F5287"/>
    <w:rsid w:val="007F5E0C"/>
    <w:rsid w:val="007F65D4"/>
    <w:rsid w:val="007F7386"/>
    <w:rsid w:val="007F73D0"/>
    <w:rsid w:val="008036EA"/>
    <w:rsid w:val="00810208"/>
    <w:rsid w:val="00817182"/>
    <w:rsid w:val="00817D65"/>
    <w:rsid w:val="0082323D"/>
    <w:rsid w:val="00824198"/>
    <w:rsid w:val="0082568F"/>
    <w:rsid w:val="00826169"/>
    <w:rsid w:val="0082734B"/>
    <w:rsid w:val="00830AE8"/>
    <w:rsid w:val="00834113"/>
    <w:rsid w:val="00837E20"/>
    <w:rsid w:val="008405C2"/>
    <w:rsid w:val="00842543"/>
    <w:rsid w:val="008443C6"/>
    <w:rsid w:val="00844711"/>
    <w:rsid w:val="008464BD"/>
    <w:rsid w:val="00846C2F"/>
    <w:rsid w:val="0084703A"/>
    <w:rsid w:val="00852BD9"/>
    <w:rsid w:val="00861728"/>
    <w:rsid w:val="0086292F"/>
    <w:rsid w:val="0086352B"/>
    <w:rsid w:val="008717D7"/>
    <w:rsid w:val="00873463"/>
    <w:rsid w:val="00874303"/>
    <w:rsid w:val="008765C5"/>
    <w:rsid w:val="0087733A"/>
    <w:rsid w:val="00882CE4"/>
    <w:rsid w:val="0088401B"/>
    <w:rsid w:val="00884B9D"/>
    <w:rsid w:val="00885A3B"/>
    <w:rsid w:val="00885C8B"/>
    <w:rsid w:val="008879C9"/>
    <w:rsid w:val="00891402"/>
    <w:rsid w:val="00891D8C"/>
    <w:rsid w:val="0089248C"/>
    <w:rsid w:val="008928AF"/>
    <w:rsid w:val="00893613"/>
    <w:rsid w:val="008938A6"/>
    <w:rsid w:val="00893B6F"/>
    <w:rsid w:val="00895F7C"/>
    <w:rsid w:val="00897536"/>
    <w:rsid w:val="008A1448"/>
    <w:rsid w:val="008A3AD7"/>
    <w:rsid w:val="008A49D9"/>
    <w:rsid w:val="008B2ED4"/>
    <w:rsid w:val="008B44DD"/>
    <w:rsid w:val="008C041B"/>
    <w:rsid w:val="008C70E1"/>
    <w:rsid w:val="008D05B6"/>
    <w:rsid w:val="008D1A03"/>
    <w:rsid w:val="008D2799"/>
    <w:rsid w:val="008E0320"/>
    <w:rsid w:val="008E05D9"/>
    <w:rsid w:val="008E14B1"/>
    <w:rsid w:val="008F314A"/>
    <w:rsid w:val="008F408D"/>
    <w:rsid w:val="008F59AD"/>
    <w:rsid w:val="00900EFB"/>
    <w:rsid w:val="00906395"/>
    <w:rsid w:val="00907F51"/>
    <w:rsid w:val="009126F0"/>
    <w:rsid w:val="0091293F"/>
    <w:rsid w:val="009140F6"/>
    <w:rsid w:val="0091607B"/>
    <w:rsid w:val="009212E3"/>
    <w:rsid w:val="00921394"/>
    <w:rsid w:val="00922941"/>
    <w:rsid w:val="00923FC8"/>
    <w:rsid w:val="00925AF7"/>
    <w:rsid w:val="0092712D"/>
    <w:rsid w:val="00927A82"/>
    <w:rsid w:val="00932B9F"/>
    <w:rsid w:val="00935133"/>
    <w:rsid w:val="00942105"/>
    <w:rsid w:val="00942647"/>
    <w:rsid w:val="00956553"/>
    <w:rsid w:val="00956F44"/>
    <w:rsid w:val="00961AD8"/>
    <w:rsid w:val="00967139"/>
    <w:rsid w:val="00970E60"/>
    <w:rsid w:val="00972BA7"/>
    <w:rsid w:val="00973033"/>
    <w:rsid w:val="00974FD8"/>
    <w:rsid w:val="009768F8"/>
    <w:rsid w:val="00977107"/>
    <w:rsid w:val="009777BB"/>
    <w:rsid w:val="00977AB9"/>
    <w:rsid w:val="009809AB"/>
    <w:rsid w:val="0098171F"/>
    <w:rsid w:val="00982E48"/>
    <w:rsid w:val="0098470E"/>
    <w:rsid w:val="0098717A"/>
    <w:rsid w:val="009877A3"/>
    <w:rsid w:val="00987BFB"/>
    <w:rsid w:val="009913B3"/>
    <w:rsid w:val="00992DCE"/>
    <w:rsid w:val="009969BE"/>
    <w:rsid w:val="009971D4"/>
    <w:rsid w:val="009A2B59"/>
    <w:rsid w:val="009A72FC"/>
    <w:rsid w:val="009B4228"/>
    <w:rsid w:val="009B5E0F"/>
    <w:rsid w:val="009B6F48"/>
    <w:rsid w:val="009C0B04"/>
    <w:rsid w:val="009C0ECB"/>
    <w:rsid w:val="009C1BE7"/>
    <w:rsid w:val="009D1486"/>
    <w:rsid w:val="009D292B"/>
    <w:rsid w:val="009D5BD6"/>
    <w:rsid w:val="009D5D87"/>
    <w:rsid w:val="009E2085"/>
    <w:rsid w:val="009E4FB1"/>
    <w:rsid w:val="009E64FD"/>
    <w:rsid w:val="009F2D90"/>
    <w:rsid w:val="009F3C2C"/>
    <w:rsid w:val="009F7EF3"/>
    <w:rsid w:val="00A00B42"/>
    <w:rsid w:val="00A06E8F"/>
    <w:rsid w:val="00A07F3E"/>
    <w:rsid w:val="00A1021A"/>
    <w:rsid w:val="00A10FFB"/>
    <w:rsid w:val="00A12F3B"/>
    <w:rsid w:val="00A2160A"/>
    <w:rsid w:val="00A21D45"/>
    <w:rsid w:val="00A22A2C"/>
    <w:rsid w:val="00A22A71"/>
    <w:rsid w:val="00A22D07"/>
    <w:rsid w:val="00A231B2"/>
    <w:rsid w:val="00A241C4"/>
    <w:rsid w:val="00A253B8"/>
    <w:rsid w:val="00A25999"/>
    <w:rsid w:val="00A27C30"/>
    <w:rsid w:val="00A33D66"/>
    <w:rsid w:val="00A34C53"/>
    <w:rsid w:val="00A36DDF"/>
    <w:rsid w:val="00A37317"/>
    <w:rsid w:val="00A4031B"/>
    <w:rsid w:val="00A46E9C"/>
    <w:rsid w:val="00A524CD"/>
    <w:rsid w:val="00A54257"/>
    <w:rsid w:val="00A5434C"/>
    <w:rsid w:val="00A56992"/>
    <w:rsid w:val="00A571C8"/>
    <w:rsid w:val="00A65120"/>
    <w:rsid w:val="00A66ADC"/>
    <w:rsid w:val="00A7267C"/>
    <w:rsid w:val="00A72E85"/>
    <w:rsid w:val="00A73880"/>
    <w:rsid w:val="00A771BD"/>
    <w:rsid w:val="00A77926"/>
    <w:rsid w:val="00A80AFA"/>
    <w:rsid w:val="00A867EB"/>
    <w:rsid w:val="00A875F0"/>
    <w:rsid w:val="00A93B8B"/>
    <w:rsid w:val="00A93E39"/>
    <w:rsid w:val="00A93E51"/>
    <w:rsid w:val="00A94237"/>
    <w:rsid w:val="00AA0B6B"/>
    <w:rsid w:val="00AA52E9"/>
    <w:rsid w:val="00AA7A1B"/>
    <w:rsid w:val="00AB15B8"/>
    <w:rsid w:val="00AB2F7D"/>
    <w:rsid w:val="00AB7D5C"/>
    <w:rsid w:val="00AC0558"/>
    <w:rsid w:val="00AC0817"/>
    <w:rsid w:val="00AC0D2A"/>
    <w:rsid w:val="00AC0FB9"/>
    <w:rsid w:val="00AC4077"/>
    <w:rsid w:val="00AC68A0"/>
    <w:rsid w:val="00AD0A9D"/>
    <w:rsid w:val="00AD4E53"/>
    <w:rsid w:val="00AD6029"/>
    <w:rsid w:val="00AE12FC"/>
    <w:rsid w:val="00AE1D98"/>
    <w:rsid w:val="00AE3EF0"/>
    <w:rsid w:val="00AE4275"/>
    <w:rsid w:val="00AF0391"/>
    <w:rsid w:val="00AF147B"/>
    <w:rsid w:val="00AF45AF"/>
    <w:rsid w:val="00AF54C0"/>
    <w:rsid w:val="00AF69BD"/>
    <w:rsid w:val="00B01338"/>
    <w:rsid w:val="00B0307F"/>
    <w:rsid w:val="00B040C1"/>
    <w:rsid w:val="00B048DC"/>
    <w:rsid w:val="00B049F6"/>
    <w:rsid w:val="00B15756"/>
    <w:rsid w:val="00B15F4C"/>
    <w:rsid w:val="00B20F8E"/>
    <w:rsid w:val="00B235DA"/>
    <w:rsid w:val="00B269E6"/>
    <w:rsid w:val="00B310DB"/>
    <w:rsid w:val="00B340DA"/>
    <w:rsid w:val="00B349C6"/>
    <w:rsid w:val="00B37828"/>
    <w:rsid w:val="00B40717"/>
    <w:rsid w:val="00B415C9"/>
    <w:rsid w:val="00B432CD"/>
    <w:rsid w:val="00B4461D"/>
    <w:rsid w:val="00B44F31"/>
    <w:rsid w:val="00B46987"/>
    <w:rsid w:val="00B503DE"/>
    <w:rsid w:val="00B55E8C"/>
    <w:rsid w:val="00B568BD"/>
    <w:rsid w:val="00B60A11"/>
    <w:rsid w:val="00B62B54"/>
    <w:rsid w:val="00B640E7"/>
    <w:rsid w:val="00B643B8"/>
    <w:rsid w:val="00B70254"/>
    <w:rsid w:val="00B70726"/>
    <w:rsid w:val="00B76466"/>
    <w:rsid w:val="00B77970"/>
    <w:rsid w:val="00B82A75"/>
    <w:rsid w:val="00B841E4"/>
    <w:rsid w:val="00B849CA"/>
    <w:rsid w:val="00B87F83"/>
    <w:rsid w:val="00B91E8F"/>
    <w:rsid w:val="00B92F7A"/>
    <w:rsid w:val="00BA1086"/>
    <w:rsid w:val="00BA3B39"/>
    <w:rsid w:val="00BA72DC"/>
    <w:rsid w:val="00BB3536"/>
    <w:rsid w:val="00BB49B2"/>
    <w:rsid w:val="00BB73AF"/>
    <w:rsid w:val="00BC1E0C"/>
    <w:rsid w:val="00BC31F7"/>
    <w:rsid w:val="00BC7160"/>
    <w:rsid w:val="00BC7B99"/>
    <w:rsid w:val="00BD166C"/>
    <w:rsid w:val="00BE16B1"/>
    <w:rsid w:val="00BE377D"/>
    <w:rsid w:val="00BE6637"/>
    <w:rsid w:val="00BF0E7F"/>
    <w:rsid w:val="00BF4294"/>
    <w:rsid w:val="00BF43E5"/>
    <w:rsid w:val="00BF5CAD"/>
    <w:rsid w:val="00C016BE"/>
    <w:rsid w:val="00C06AEC"/>
    <w:rsid w:val="00C07F0B"/>
    <w:rsid w:val="00C07FE5"/>
    <w:rsid w:val="00C10661"/>
    <w:rsid w:val="00C107FC"/>
    <w:rsid w:val="00C108C6"/>
    <w:rsid w:val="00C10DB0"/>
    <w:rsid w:val="00C119ED"/>
    <w:rsid w:val="00C12EDA"/>
    <w:rsid w:val="00C13532"/>
    <w:rsid w:val="00C14401"/>
    <w:rsid w:val="00C20308"/>
    <w:rsid w:val="00C23235"/>
    <w:rsid w:val="00C27F02"/>
    <w:rsid w:val="00C3213D"/>
    <w:rsid w:val="00C339E4"/>
    <w:rsid w:val="00C40F46"/>
    <w:rsid w:val="00C42AD4"/>
    <w:rsid w:val="00C4309F"/>
    <w:rsid w:val="00C455C6"/>
    <w:rsid w:val="00C45FA9"/>
    <w:rsid w:val="00C465A9"/>
    <w:rsid w:val="00C47404"/>
    <w:rsid w:val="00C56AA8"/>
    <w:rsid w:val="00C57520"/>
    <w:rsid w:val="00C60FB5"/>
    <w:rsid w:val="00C62066"/>
    <w:rsid w:val="00C64254"/>
    <w:rsid w:val="00C64C9A"/>
    <w:rsid w:val="00C66303"/>
    <w:rsid w:val="00C66E2D"/>
    <w:rsid w:val="00C71693"/>
    <w:rsid w:val="00C73D0D"/>
    <w:rsid w:val="00C7430B"/>
    <w:rsid w:val="00C74328"/>
    <w:rsid w:val="00C74C74"/>
    <w:rsid w:val="00C75744"/>
    <w:rsid w:val="00C761E6"/>
    <w:rsid w:val="00C80A78"/>
    <w:rsid w:val="00C80F23"/>
    <w:rsid w:val="00C854A1"/>
    <w:rsid w:val="00C859B0"/>
    <w:rsid w:val="00C86A55"/>
    <w:rsid w:val="00C86B99"/>
    <w:rsid w:val="00C9025B"/>
    <w:rsid w:val="00C97C35"/>
    <w:rsid w:val="00CA4AAE"/>
    <w:rsid w:val="00CB068E"/>
    <w:rsid w:val="00CB169B"/>
    <w:rsid w:val="00CB2B64"/>
    <w:rsid w:val="00CB2B7C"/>
    <w:rsid w:val="00CB48AC"/>
    <w:rsid w:val="00CB5E99"/>
    <w:rsid w:val="00CC00D4"/>
    <w:rsid w:val="00CC2FCC"/>
    <w:rsid w:val="00CC62A8"/>
    <w:rsid w:val="00CD3233"/>
    <w:rsid w:val="00CD4340"/>
    <w:rsid w:val="00CD48AC"/>
    <w:rsid w:val="00CD72E7"/>
    <w:rsid w:val="00CD79FA"/>
    <w:rsid w:val="00CE0FAA"/>
    <w:rsid w:val="00CE4690"/>
    <w:rsid w:val="00CE6911"/>
    <w:rsid w:val="00CF089D"/>
    <w:rsid w:val="00CF598F"/>
    <w:rsid w:val="00CF77B9"/>
    <w:rsid w:val="00D00443"/>
    <w:rsid w:val="00D00691"/>
    <w:rsid w:val="00D00B25"/>
    <w:rsid w:val="00D01B39"/>
    <w:rsid w:val="00D02BB9"/>
    <w:rsid w:val="00D05914"/>
    <w:rsid w:val="00D0609E"/>
    <w:rsid w:val="00D10507"/>
    <w:rsid w:val="00D11F7D"/>
    <w:rsid w:val="00D12C49"/>
    <w:rsid w:val="00D20980"/>
    <w:rsid w:val="00D21B37"/>
    <w:rsid w:val="00D23812"/>
    <w:rsid w:val="00D25113"/>
    <w:rsid w:val="00D27F59"/>
    <w:rsid w:val="00D27F65"/>
    <w:rsid w:val="00D30DC9"/>
    <w:rsid w:val="00D3407E"/>
    <w:rsid w:val="00D3546A"/>
    <w:rsid w:val="00D356FF"/>
    <w:rsid w:val="00D37559"/>
    <w:rsid w:val="00D4300F"/>
    <w:rsid w:val="00D43FA1"/>
    <w:rsid w:val="00D4552F"/>
    <w:rsid w:val="00D47514"/>
    <w:rsid w:val="00D47EE6"/>
    <w:rsid w:val="00D510AC"/>
    <w:rsid w:val="00D513EF"/>
    <w:rsid w:val="00D539DF"/>
    <w:rsid w:val="00D56C3D"/>
    <w:rsid w:val="00D56C5F"/>
    <w:rsid w:val="00D56E02"/>
    <w:rsid w:val="00D57D67"/>
    <w:rsid w:val="00D60EED"/>
    <w:rsid w:val="00D6121C"/>
    <w:rsid w:val="00D61FA7"/>
    <w:rsid w:val="00D62AA5"/>
    <w:rsid w:val="00D64ED7"/>
    <w:rsid w:val="00D701EB"/>
    <w:rsid w:val="00D70ABA"/>
    <w:rsid w:val="00D7191C"/>
    <w:rsid w:val="00D767D7"/>
    <w:rsid w:val="00D77D9F"/>
    <w:rsid w:val="00D8525F"/>
    <w:rsid w:val="00D878EA"/>
    <w:rsid w:val="00D92621"/>
    <w:rsid w:val="00D95BBC"/>
    <w:rsid w:val="00DA55F6"/>
    <w:rsid w:val="00DA7A9F"/>
    <w:rsid w:val="00DB01DD"/>
    <w:rsid w:val="00DB0F34"/>
    <w:rsid w:val="00DB13D5"/>
    <w:rsid w:val="00DB1458"/>
    <w:rsid w:val="00DB19D9"/>
    <w:rsid w:val="00DB38B5"/>
    <w:rsid w:val="00DB3CF9"/>
    <w:rsid w:val="00DC00C7"/>
    <w:rsid w:val="00DC1531"/>
    <w:rsid w:val="00DC2157"/>
    <w:rsid w:val="00DC2C36"/>
    <w:rsid w:val="00DC36D5"/>
    <w:rsid w:val="00DC380F"/>
    <w:rsid w:val="00DC401B"/>
    <w:rsid w:val="00DC4992"/>
    <w:rsid w:val="00DD1A0D"/>
    <w:rsid w:val="00DD71AC"/>
    <w:rsid w:val="00DE03A2"/>
    <w:rsid w:val="00DE24D8"/>
    <w:rsid w:val="00DE7695"/>
    <w:rsid w:val="00DF0740"/>
    <w:rsid w:val="00DF477E"/>
    <w:rsid w:val="00DF4E86"/>
    <w:rsid w:val="00DF53DA"/>
    <w:rsid w:val="00DF7321"/>
    <w:rsid w:val="00DF781E"/>
    <w:rsid w:val="00E04BC7"/>
    <w:rsid w:val="00E05E20"/>
    <w:rsid w:val="00E1185F"/>
    <w:rsid w:val="00E132B2"/>
    <w:rsid w:val="00E14CCC"/>
    <w:rsid w:val="00E15C50"/>
    <w:rsid w:val="00E24156"/>
    <w:rsid w:val="00E24BD3"/>
    <w:rsid w:val="00E259E6"/>
    <w:rsid w:val="00E2699B"/>
    <w:rsid w:val="00E315B2"/>
    <w:rsid w:val="00E31DBA"/>
    <w:rsid w:val="00E322AC"/>
    <w:rsid w:val="00E333E7"/>
    <w:rsid w:val="00E33C95"/>
    <w:rsid w:val="00E34002"/>
    <w:rsid w:val="00E369A7"/>
    <w:rsid w:val="00E36DB1"/>
    <w:rsid w:val="00E41803"/>
    <w:rsid w:val="00E47946"/>
    <w:rsid w:val="00E5019C"/>
    <w:rsid w:val="00E508C1"/>
    <w:rsid w:val="00E53816"/>
    <w:rsid w:val="00E54627"/>
    <w:rsid w:val="00E54B36"/>
    <w:rsid w:val="00E55ABC"/>
    <w:rsid w:val="00E562A2"/>
    <w:rsid w:val="00E6133B"/>
    <w:rsid w:val="00E647EA"/>
    <w:rsid w:val="00E64AE6"/>
    <w:rsid w:val="00E66B13"/>
    <w:rsid w:val="00E71594"/>
    <w:rsid w:val="00E71B70"/>
    <w:rsid w:val="00E733ED"/>
    <w:rsid w:val="00E779E1"/>
    <w:rsid w:val="00E77C05"/>
    <w:rsid w:val="00E85935"/>
    <w:rsid w:val="00E8663B"/>
    <w:rsid w:val="00E94E49"/>
    <w:rsid w:val="00EA266D"/>
    <w:rsid w:val="00EA4993"/>
    <w:rsid w:val="00EB3709"/>
    <w:rsid w:val="00EB6BAB"/>
    <w:rsid w:val="00EC00AE"/>
    <w:rsid w:val="00EC0CBB"/>
    <w:rsid w:val="00EC1617"/>
    <w:rsid w:val="00EC558E"/>
    <w:rsid w:val="00EC7455"/>
    <w:rsid w:val="00ED0657"/>
    <w:rsid w:val="00ED07F3"/>
    <w:rsid w:val="00ED663D"/>
    <w:rsid w:val="00ED7B1E"/>
    <w:rsid w:val="00EE62A1"/>
    <w:rsid w:val="00EE62CE"/>
    <w:rsid w:val="00EF47B1"/>
    <w:rsid w:val="00F014BA"/>
    <w:rsid w:val="00F04411"/>
    <w:rsid w:val="00F04D45"/>
    <w:rsid w:val="00F061D0"/>
    <w:rsid w:val="00F063FD"/>
    <w:rsid w:val="00F07168"/>
    <w:rsid w:val="00F121FF"/>
    <w:rsid w:val="00F129A9"/>
    <w:rsid w:val="00F15200"/>
    <w:rsid w:val="00F16E27"/>
    <w:rsid w:val="00F170F3"/>
    <w:rsid w:val="00F2201E"/>
    <w:rsid w:val="00F23790"/>
    <w:rsid w:val="00F23F16"/>
    <w:rsid w:val="00F24484"/>
    <w:rsid w:val="00F2606D"/>
    <w:rsid w:val="00F279DE"/>
    <w:rsid w:val="00F35C02"/>
    <w:rsid w:val="00F40436"/>
    <w:rsid w:val="00F4137A"/>
    <w:rsid w:val="00F44B92"/>
    <w:rsid w:val="00F5065C"/>
    <w:rsid w:val="00F51C87"/>
    <w:rsid w:val="00F535BE"/>
    <w:rsid w:val="00F56D0C"/>
    <w:rsid w:val="00F637BF"/>
    <w:rsid w:val="00F64036"/>
    <w:rsid w:val="00F7167A"/>
    <w:rsid w:val="00F727C8"/>
    <w:rsid w:val="00F73908"/>
    <w:rsid w:val="00F80850"/>
    <w:rsid w:val="00F8576F"/>
    <w:rsid w:val="00F85FFE"/>
    <w:rsid w:val="00F907B0"/>
    <w:rsid w:val="00F9186A"/>
    <w:rsid w:val="00F91DBD"/>
    <w:rsid w:val="00F92B69"/>
    <w:rsid w:val="00F92FFA"/>
    <w:rsid w:val="00F957C5"/>
    <w:rsid w:val="00F95E71"/>
    <w:rsid w:val="00FA0EB5"/>
    <w:rsid w:val="00FA1B15"/>
    <w:rsid w:val="00FA564F"/>
    <w:rsid w:val="00FA7FE4"/>
    <w:rsid w:val="00FB17AA"/>
    <w:rsid w:val="00FB3AAE"/>
    <w:rsid w:val="00FB4098"/>
    <w:rsid w:val="00FB523D"/>
    <w:rsid w:val="00FB68F5"/>
    <w:rsid w:val="00FC4635"/>
    <w:rsid w:val="00FC68ED"/>
    <w:rsid w:val="00FD0941"/>
    <w:rsid w:val="00FD0C0F"/>
    <w:rsid w:val="00FE1333"/>
    <w:rsid w:val="00FE14FD"/>
    <w:rsid w:val="00FE1714"/>
    <w:rsid w:val="00FE657D"/>
    <w:rsid w:val="00FF0A67"/>
    <w:rsid w:val="00FF2040"/>
    <w:rsid w:val="00FF2546"/>
    <w:rsid w:val="00FF65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004A1"/>
  <w15:docId w15:val="{A66F0216-75A1-4E2C-9C3A-EDA13697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9"/>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9"/>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9"/>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9"/>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4D5"/>
    <w:rPr>
      <w:color w:val="0000FF"/>
      <w:u w:val="single"/>
    </w:rPr>
  </w:style>
  <w:style w:type="character" w:styleId="CommentReference">
    <w:name w:val="annotation reference"/>
    <w:semiHidden/>
    <w:rsid w:val="00DA7A9F"/>
    <w:rPr>
      <w:sz w:val="16"/>
      <w:szCs w:val="16"/>
    </w:rPr>
  </w:style>
  <w:style w:type="paragraph" w:styleId="CommentText">
    <w:name w:val="annotation text"/>
    <w:basedOn w:val="Normal"/>
    <w:link w:val="CommentTextChar"/>
    <w:semiHidden/>
    <w:rsid w:val="00DA7A9F"/>
    <w:pPr>
      <w:spacing w:before="0" w:after="0" w:line="360" w:lineRule="exact"/>
      <w:jc w:val="left"/>
    </w:pPr>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semiHidden/>
    <w:rsid w:val="00DA7A9F"/>
    <w:rPr>
      <w:rFonts w:ascii="Times New Roman" w:eastAsia="Times New Roman" w:hAnsi="Times New Roman" w:cs="Times New Roman"/>
      <w:sz w:val="20"/>
      <w:szCs w:val="20"/>
      <w:lang w:eastAsia="de-DE"/>
    </w:rPr>
  </w:style>
  <w:style w:type="paragraph" w:styleId="BalloonText">
    <w:name w:val="Balloon Text"/>
    <w:basedOn w:val="Normal"/>
    <w:link w:val="BalloonTextChar"/>
    <w:uiPriority w:val="99"/>
    <w:semiHidden/>
    <w:unhideWhenUsed/>
    <w:rsid w:val="00DA7A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9F"/>
    <w:rPr>
      <w:rFonts w:ascii="Tahoma" w:hAnsi="Tahoma" w:cs="Tahoma"/>
      <w:sz w:val="16"/>
      <w:szCs w:val="16"/>
    </w:rPr>
  </w:style>
  <w:style w:type="paragraph" w:customStyle="1" w:styleId="Normal-Absatz">
    <w:name w:val="Normal-Absatz"/>
    <w:basedOn w:val="Normal"/>
    <w:rsid w:val="007B13BA"/>
    <w:pPr>
      <w:spacing w:before="0" w:after="0" w:line="360" w:lineRule="auto"/>
      <w:jc w:val="left"/>
    </w:pPr>
    <w:rPr>
      <w:rFonts w:eastAsia="Times New Roman" w:cs="Times New Roman"/>
      <w:szCs w:val="20"/>
      <w:lang w:eastAsia="de-DE"/>
    </w:rPr>
  </w:style>
  <w:style w:type="paragraph" w:customStyle="1" w:styleId="CM1">
    <w:name w:val="CM1"/>
    <w:basedOn w:val="Normal"/>
    <w:next w:val="Normal"/>
    <w:uiPriority w:val="99"/>
    <w:rsid w:val="00CB5E99"/>
    <w:pPr>
      <w:autoSpaceDE w:val="0"/>
      <w:autoSpaceDN w:val="0"/>
      <w:adjustRightInd w:val="0"/>
      <w:spacing w:before="0" w:after="0"/>
      <w:jc w:val="left"/>
    </w:pPr>
    <w:rPr>
      <w:rFonts w:ascii="Times New Roman" w:eastAsia="Times New Roman" w:hAnsi="Times New Roman" w:cs="Times New Roman"/>
      <w:sz w:val="24"/>
      <w:szCs w:val="24"/>
      <w:lang w:eastAsia="de-DE"/>
    </w:rPr>
  </w:style>
  <w:style w:type="paragraph" w:styleId="CommentSubject">
    <w:name w:val="annotation subject"/>
    <w:basedOn w:val="CommentText"/>
    <w:next w:val="CommentText"/>
    <w:link w:val="CommentSubjectChar"/>
    <w:uiPriority w:val="99"/>
    <w:semiHidden/>
    <w:unhideWhenUsed/>
    <w:rsid w:val="005F1658"/>
    <w:pPr>
      <w:spacing w:before="120" w:after="120" w:line="240" w:lineRule="auto"/>
      <w:jc w:val="both"/>
    </w:pPr>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5F1658"/>
    <w:rPr>
      <w:rFonts w:ascii="Arial" w:eastAsia="Times New Roman" w:hAnsi="Arial" w:cs="Arial"/>
      <w:b/>
      <w:bCs/>
      <w:sz w:val="20"/>
      <w:szCs w:val="20"/>
      <w:lang w:eastAsia="de-DE"/>
    </w:rPr>
  </w:style>
  <w:style w:type="paragraph" w:styleId="Revision">
    <w:name w:val="Revision"/>
    <w:hidden/>
    <w:uiPriority w:val="99"/>
    <w:semiHidden/>
    <w:rsid w:val="005F1658"/>
    <w:pPr>
      <w:spacing w:after="0" w:line="240" w:lineRule="auto"/>
    </w:pPr>
    <w:rPr>
      <w:rFonts w:ascii="Arial" w:hAnsi="Arial" w:cs="Arial"/>
    </w:rPr>
  </w:style>
  <w:style w:type="paragraph" w:styleId="ListParagraph">
    <w:name w:val="List Paragraph"/>
    <w:basedOn w:val="Normal"/>
    <w:uiPriority w:val="34"/>
    <w:qFormat/>
    <w:rsid w:val="00D510AC"/>
    <w:pPr>
      <w:spacing w:before="0" w:after="0"/>
      <w:ind w:left="720"/>
      <w:jc w:val="left"/>
    </w:pPr>
    <w:rPr>
      <w:rFonts w:ascii="Times New Roman" w:hAnsi="Times New Roman" w:cs="Times New Roman"/>
      <w:sz w:val="24"/>
      <w:szCs w:val="24"/>
      <w:lang w:eastAsia="de-DE"/>
    </w:rPr>
  </w:style>
  <w:style w:type="paragraph" w:styleId="NormalWeb">
    <w:name w:val="Normal (Web)"/>
    <w:basedOn w:val="Normal"/>
    <w:uiPriority w:val="99"/>
    <w:semiHidden/>
    <w:unhideWhenUsed/>
    <w:rsid w:val="008036EA"/>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Emphasis">
    <w:name w:val="Emphasis"/>
    <w:basedOn w:val="DefaultParagraphFont"/>
    <w:uiPriority w:val="20"/>
    <w:qFormat/>
    <w:rsid w:val="00AC0558"/>
    <w:rPr>
      <w:i/>
      <w:iCs/>
    </w:rPr>
  </w:style>
  <w:style w:type="table" w:styleId="TableGrid">
    <w:name w:val="Table Grid"/>
    <w:basedOn w:val="TableNormal"/>
    <w:uiPriority w:val="59"/>
    <w:rsid w:val="004E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68F"/>
    <w:pPr>
      <w:autoSpaceDE w:val="0"/>
      <w:autoSpaceDN w:val="0"/>
      <w:adjustRightInd w:val="0"/>
      <w:spacing w:after="0" w:line="240" w:lineRule="auto"/>
    </w:pPr>
    <w:rPr>
      <w:rFonts w:ascii="MetaNormalLF-Roman" w:hAnsi="MetaNormalLF-Roman" w:cs="MetaNormalLF-Roman"/>
      <w:color w:val="000000"/>
      <w:sz w:val="24"/>
      <w:szCs w:val="24"/>
    </w:rPr>
  </w:style>
  <w:style w:type="paragraph" w:customStyle="1" w:styleId="CVUAGru">
    <w:name w:val="CVUA_Gruß"/>
    <w:basedOn w:val="Normal"/>
    <w:rsid w:val="007C7B00"/>
    <w:pPr>
      <w:tabs>
        <w:tab w:val="left" w:pos="13608"/>
      </w:tabs>
      <w:overflowPunct w:val="0"/>
      <w:autoSpaceDE w:val="0"/>
      <w:autoSpaceDN w:val="0"/>
      <w:adjustRightInd w:val="0"/>
      <w:spacing w:before="0" w:after="0" w:line="360" w:lineRule="auto"/>
      <w:jc w:val="left"/>
    </w:pPr>
    <w:rPr>
      <w:rFonts w:eastAsia="Times New Roman" w:cs="Times New Roman"/>
      <w:szCs w:val="20"/>
      <w:lang w:eastAsia="de-DE"/>
    </w:rPr>
  </w:style>
  <w:style w:type="character" w:customStyle="1" w:styleId="apple-converted-space">
    <w:name w:val="apple-converted-space"/>
    <w:basedOn w:val="DefaultParagraphFont"/>
    <w:rsid w:val="00B70726"/>
  </w:style>
  <w:style w:type="character" w:customStyle="1" w:styleId="wordmark">
    <w:name w:val="wordmark"/>
    <w:basedOn w:val="DefaultParagraphFont"/>
    <w:rsid w:val="00B70726"/>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5"/>
      </w:numPr>
      <w:spacing w:before="60" w:after="60"/>
    </w:pPr>
    <w:rPr>
      <w:sz w:val="18"/>
    </w:rPr>
  </w:style>
  <w:style w:type="paragraph" w:customStyle="1" w:styleId="TabelleListe">
    <w:name w:val="Tabelle Liste"/>
    <w:basedOn w:val="Normal"/>
    <w:rsid w:val="00A147E3"/>
    <w:pPr>
      <w:numPr>
        <w:numId w:val="16"/>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4"/>
      </w:numPr>
      <w:tabs>
        <w:tab w:val="left" w:pos="0"/>
      </w:tabs>
    </w:pPr>
  </w:style>
  <w:style w:type="paragraph" w:customStyle="1" w:styleId="ListeFolgeabsatzStufe1">
    <w:name w:val="Liste Folgeabsatz (Stufe 1)"/>
    <w:basedOn w:val="Normal"/>
    <w:rsid w:val="00A147E3"/>
    <w:pPr>
      <w:numPr>
        <w:ilvl w:val="1"/>
        <w:numId w:val="14"/>
      </w:numPr>
    </w:pPr>
  </w:style>
  <w:style w:type="paragraph" w:customStyle="1" w:styleId="ListeStufe2">
    <w:name w:val="Liste (Stufe 2)"/>
    <w:basedOn w:val="Normal"/>
    <w:rsid w:val="00A147E3"/>
    <w:pPr>
      <w:numPr>
        <w:ilvl w:val="2"/>
        <w:numId w:val="14"/>
      </w:numPr>
    </w:pPr>
  </w:style>
  <w:style w:type="paragraph" w:customStyle="1" w:styleId="ListeFolgeabsatzStufe2">
    <w:name w:val="Liste Folgeabsatz (Stufe 2)"/>
    <w:basedOn w:val="Normal"/>
    <w:rsid w:val="00A147E3"/>
    <w:pPr>
      <w:numPr>
        <w:ilvl w:val="3"/>
        <w:numId w:val="14"/>
      </w:numPr>
    </w:pPr>
  </w:style>
  <w:style w:type="paragraph" w:customStyle="1" w:styleId="ListeStufe3">
    <w:name w:val="Liste (Stufe 3)"/>
    <w:basedOn w:val="Normal"/>
    <w:rsid w:val="00A147E3"/>
    <w:pPr>
      <w:numPr>
        <w:ilvl w:val="4"/>
        <w:numId w:val="14"/>
      </w:numPr>
    </w:pPr>
  </w:style>
  <w:style w:type="paragraph" w:customStyle="1" w:styleId="ListeFolgeabsatzStufe3">
    <w:name w:val="Liste Folgeabsatz (Stufe 3)"/>
    <w:basedOn w:val="Normal"/>
    <w:rsid w:val="00A147E3"/>
    <w:pPr>
      <w:numPr>
        <w:ilvl w:val="5"/>
        <w:numId w:val="14"/>
      </w:numPr>
    </w:pPr>
  </w:style>
  <w:style w:type="paragraph" w:customStyle="1" w:styleId="ListeStufe4">
    <w:name w:val="Liste (Stufe 4)"/>
    <w:basedOn w:val="Normal"/>
    <w:rsid w:val="00A147E3"/>
    <w:pPr>
      <w:numPr>
        <w:ilvl w:val="6"/>
        <w:numId w:val="14"/>
      </w:numPr>
    </w:pPr>
  </w:style>
  <w:style w:type="paragraph" w:customStyle="1" w:styleId="ListeFolgeabsatzStufe4">
    <w:name w:val="Liste Folgeabsatz (Stufe 4)"/>
    <w:basedOn w:val="Normal"/>
    <w:rsid w:val="00A147E3"/>
    <w:pPr>
      <w:numPr>
        <w:ilvl w:val="7"/>
        <w:numId w:val="14"/>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9"/>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0"/>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1"/>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12"/>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3"/>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9"/>
      </w:numPr>
      <w:outlineLvl w:val="5"/>
    </w:pPr>
  </w:style>
  <w:style w:type="paragraph" w:customStyle="1" w:styleId="NummerierungStufe2">
    <w:name w:val="Nummerierung (Stufe 2)"/>
    <w:basedOn w:val="Normal"/>
    <w:rsid w:val="00A147E3"/>
    <w:pPr>
      <w:numPr>
        <w:ilvl w:val="4"/>
        <w:numId w:val="29"/>
      </w:numPr>
    </w:pPr>
  </w:style>
  <w:style w:type="paragraph" w:customStyle="1" w:styleId="NummerierungStufe3">
    <w:name w:val="Nummerierung (Stufe 3)"/>
    <w:basedOn w:val="Normal"/>
    <w:rsid w:val="00A147E3"/>
    <w:pPr>
      <w:numPr>
        <w:ilvl w:val="5"/>
        <w:numId w:val="29"/>
      </w:numPr>
    </w:pPr>
  </w:style>
  <w:style w:type="paragraph" w:customStyle="1" w:styleId="NummerierungStufe4">
    <w:name w:val="Nummerierung (Stufe 4)"/>
    <w:basedOn w:val="Normal"/>
    <w:rsid w:val="00A147E3"/>
    <w:pPr>
      <w:numPr>
        <w:ilvl w:val="6"/>
        <w:numId w:val="29"/>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7"/>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8"/>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0"/>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9"/>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9"/>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1"/>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32"/>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31"/>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32"/>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31"/>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32"/>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31"/>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32"/>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31"/>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32"/>
      </w:numPr>
      <w:spacing w:after="240"/>
      <w:jc w:val="center"/>
      <w:outlineLvl w:val="2"/>
    </w:pPr>
  </w:style>
  <w:style w:type="paragraph" w:customStyle="1" w:styleId="TitelBezeichner">
    <w:name w:val="Titel Bezeichner"/>
    <w:basedOn w:val="Normal"/>
    <w:next w:val="Titelberschrift"/>
    <w:rsid w:val="00A147E3"/>
    <w:pPr>
      <w:keepNext/>
      <w:numPr>
        <w:ilvl w:val="5"/>
        <w:numId w:val="31"/>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32"/>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31"/>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32"/>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33"/>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33"/>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20"/>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0"/>
      </w:numPr>
    </w:pPr>
    <w:rPr>
      <w:color w:val="800000"/>
    </w:rPr>
  </w:style>
  <w:style w:type="paragraph" w:customStyle="1" w:styleId="RevisionNummerierungStufe2">
    <w:name w:val="Revision Nummerierung (Stufe 2)"/>
    <w:basedOn w:val="Normal"/>
    <w:rsid w:val="00A147E3"/>
    <w:pPr>
      <w:numPr>
        <w:ilvl w:val="4"/>
        <w:numId w:val="20"/>
      </w:numPr>
    </w:pPr>
    <w:rPr>
      <w:color w:val="800000"/>
    </w:rPr>
  </w:style>
  <w:style w:type="paragraph" w:customStyle="1" w:styleId="RevisionNummerierungStufe3">
    <w:name w:val="Revision Nummerierung (Stufe 3)"/>
    <w:basedOn w:val="Normal"/>
    <w:rsid w:val="00A147E3"/>
    <w:pPr>
      <w:numPr>
        <w:ilvl w:val="5"/>
        <w:numId w:val="20"/>
      </w:numPr>
    </w:pPr>
    <w:rPr>
      <w:color w:val="800000"/>
    </w:rPr>
  </w:style>
  <w:style w:type="paragraph" w:customStyle="1" w:styleId="RevisionNummerierungStufe4">
    <w:name w:val="Revision Nummerierung (Stufe 4)"/>
    <w:basedOn w:val="Normal"/>
    <w:rsid w:val="00A147E3"/>
    <w:pPr>
      <w:numPr>
        <w:ilvl w:val="6"/>
        <w:numId w:val="20"/>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0"/>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20"/>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7"/>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1"/>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1"/>
      </w:numPr>
    </w:pPr>
    <w:rPr>
      <w:color w:val="800000"/>
    </w:rPr>
  </w:style>
  <w:style w:type="paragraph" w:customStyle="1" w:styleId="RevisionListeStufe2">
    <w:name w:val="Revision Liste (Stufe 2)"/>
    <w:basedOn w:val="Normal"/>
    <w:rsid w:val="00A147E3"/>
    <w:pPr>
      <w:numPr>
        <w:ilvl w:val="2"/>
        <w:numId w:val="21"/>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1"/>
      </w:numPr>
    </w:pPr>
    <w:rPr>
      <w:color w:val="800000"/>
    </w:rPr>
  </w:style>
  <w:style w:type="paragraph" w:customStyle="1" w:styleId="RevisionListeStufe3">
    <w:name w:val="Revision Liste (Stufe 3)"/>
    <w:basedOn w:val="Normal"/>
    <w:rsid w:val="00A147E3"/>
    <w:pPr>
      <w:numPr>
        <w:ilvl w:val="4"/>
        <w:numId w:val="21"/>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1"/>
      </w:numPr>
    </w:pPr>
    <w:rPr>
      <w:color w:val="800000"/>
    </w:rPr>
  </w:style>
  <w:style w:type="paragraph" w:customStyle="1" w:styleId="RevisionListeStufe4">
    <w:name w:val="Revision Liste (Stufe 4)"/>
    <w:basedOn w:val="Normal"/>
    <w:rsid w:val="00A147E3"/>
    <w:pPr>
      <w:numPr>
        <w:ilvl w:val="6"/>
        <w:numId w:val="21"/>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1"/>
      </w:numPr>
    </w:pPr>
    <w:rPr>
      <w:color w:val="800000"/>
    </w:rPr>
  </w:style>
  <w:style w:type="paragraph" w:customStyle="1" w:styleId="RevisionAufzhlungStufe1">
    <w:name w:val="Revision Aufzählung (Stufe 1)"/>
    <w:basedOn w:val="Normal"/>
    <w:rsid w:val="00A147E3"/>
    <w:pPr>
      <w:numPr>
        <w:numId w:val="22"/>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3"/>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4"/>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5"/>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6"/>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8"/>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9"/>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083">
      <w:bodyDiv w:val="1"/>
      <w:marLeft w:val="0"/>
      <w:marRight w:val="0"/>
      <w:marTop w:val="0"/>
      <w:marBottom w:val="0"/>
      <w:divBdr>
        <w:top w:val="none" w:sz="0" w:space="0" w:color="auto"/>
        <w:left w:val="none" w:sz="0" w:space="0" w:color="auto"/>
        <w:bottom w:val="none" w:sz="0" w:space="0" w:color="auto"/>
        <w:right w:val="none" w:sz="0" w:space="0" w:color="auto"/>
      </w:divBdr>
    </w:div>
    <w:div w:id="427625987">
      <w:bodyDiv w:val="1"/>
      <w:marLeft w:val="0"/>
      <w:marRight w:val="0"/>
      <w:marTop w:val="0"/>
      <w:marBottom w:val="0"/>
      <w:divBdr>
        <w:top w:val="none" w:sz="0" w:space="0" w:color="auto"/>
        <w:left w:val="none" w:sz="0" w:space="0" w:color="auto"/>
        <w:bottom w:val="none" w:sz="0" w:space="0" w:color="auto"/>
        <w:right w:val="none" w:sz="0" w:space="0" w:color="auto"/>
      </w:divBdr>
    </w:div>
    <w:div w:id="535854703">
      <w:bodyDiv w:val="1"/>
      <w:marLeft w:val="0"/>
      <w:marRight w:val="0"/>
      <w:marTop w:val="0"/>
      <w:marBottom w:val="0"/>
      <w:divBdr>
        <w:top w:val="none" w:sz="0" w:space="0" w:color="auto"/>
        <w:left w:val="none" w:sz="0" w:space="0" w:color="auto"/>
        <w:bottom w:val="none" w:sz="0" w:space="0" w:color="auto"/>
        <w:right w:val="none" w:sz="0" w:space="0" w:color="auto"/>
      </w:divBdr>
      <w:divsChild>
        <w:div w:id="2079745499">
          <w:marLeft w:val="0"/>
          <w:marRight w:val="0"/>
          <w:marTop w:val="0"/>
          <w:marBottom w:val="0"/>
          <w:divBdr>
            <w:top w:val="none" w:sz="0" w:space="0" w:color="auto"/>
            <w:left w:val="none" w:sz="0" w:space="0" w:color="auto"/>
            <w:bottom w:val="none" w:sz="0" w:space="0" w:color="auto"/>
            <w:right w:val="none" w:sz="0" w:space="0" w:color="auto"/>
          </w:divBdr>
          <w:divsChild>
            <w:div w:id="1737849462">
              <w:marLeft w:val="0"/>
              <w:marRight w:val="0"/>
              <w:marTop w:val="0"/>
              <w:marBottom w:val="0"/>
              <w:divBdr>
                <w:top w:val="none" w:sz="0" w:space="0" w:color="auto"/>
                <w:left w:val="none" w:sz="0" w:space="0" w:color="auto"/>
                <w:bottom w:val="none" w:sz="0" w:space="0" w:color="auto"/>
                <w:right w:val="none" w:sz="0" w:space="0" w:color="auto"/>
              </w:divBdr>
              <w:divsChild>
                <w:div w:id="1960069827">
                  <w:marLeft w:val="405"/>
                  <w:marRight w:val="75"/>
                  <w:marTop w:val="0"/>
                  <w:marBottom w:val="0"/>
                  <w:divBdr>
                    <w:top w:val="none" w:sz="0" w:space="0" w:color="auto"/>
                    <w:left w:val="none" w:sz="0" w:space="0" w:color="auto"/>
                    <w:bottom w:val="none" w:sz="0" w:space="0" w:color="auto"/>
                    <w:right w:val="none" w:sz="0" w:space="0" w:color="auto"/>
                  </w:divBdr>
                  <w:divsChild>
                    <w:div w:id="1732070215">
                      <w:marLeft w:val="0"/>
                      <w:marRight w:val="0"/>
                      <w:marTop w:val="120"/>
                      <w:marBottom w:val="0"/>
                      <w:divBdr>
                        <w:top w:val="none" w:sz="0" w:space="0" w:color="auto"/>
                        <w:left w:val="none" w:sz="0" w:space="0" w:color="auto"/>
                        <w:bottom w:val="none" w:sz="0" w:space="0" w:color="auto"/>
                        <w:right w:val="none" w:sz="0" w:space="0" w:color="auto"/>
                      </w:divBdr>
                      <w:divsChild>
                        <w:div w:id="1796558889">
                          <w:marLeft w:val="0"/>
                          <w:marRight w:val="0"/>
                          <w:marTop w:val="120"/>
                          <w:marBottom w:val="0"/>
                          <w:divBdr>
                            <w:top w:val="none" w:sz="0" w:space="0" w:color="auto"/>
                            <w:left w:val="none" w:sz="0" w:space="0" w:color="auto"/>
                            <w:bottom w:val="none" w:sz="0" w:space="0" w:color="auto"/>
                            <w:right w:val="none" w:sz="0" w:space="0" w:color="auto"/>
                          </w:divBdr>
                          <w:divsChild>
                            <w:div w:id="37434247">
                              <w:marLeft w:val="0"/>
                              <w:marRight w:val="0"/>
                              <w:marTop w:val="120"/>
                              <w:marBottom w:val="0"/>
                              <w:divBdr>
                                <w:top w:val="none" w:sz="0" w:space="0" w:color="auto"/>
                                <w:left w:val="none" w:sz="0" w:space="0" w:color="auto"/>
                                <w:bottom w:val="none" w:sz="0" w:space="0" w:color="auto"/>
                                <w:right w:val="none" w:sz="0" w:space="0" w:color="auto"/>
                              </w:divBdr>
                              <w:divsChild>
                                <w:div w:id="876233226">
                                  <w:marLeft w:val="150"/>
                                  <w:marRight w:val="0"/>
                                  <w:marTop w:val="240"/>
                                  <w:marBottom w:val="240"/>
                                  <w:divBdr>
                                    <w:top w:val="none" w:sz="0" w:space="0" w:color="auto"/>
                                    <w:left w:val="none" w:sz="0" w:space="0" w:color="auto"/>
                                    <w:bottom w:val="none" w:sz="0" w:space="0" w:color="auto"/>
                                    <w:right w:val="none" w:sz="0" w:space="0" w:color="auto"/>
                                  </w:divBdr>
                                </w:div>
                                <w:div w:id="1301687252">
                                  <w:marLeft w:val="0"/>
                                  <w:marRight w:val="0"/>
                                  <w:marTop w:val="120"/>
                                  <w:marBottom w:val="0"/>
                                  <w:divBdr>
                                    <w:top w:val="none" w:sz="0" w:space="0" w:color="auto"/>
                                    <w:left w:val="none" w:sz="0" w:space="0" w:color="auto"/>
                                    <w:bottom w:val="none" w:sz="0" w:space="0" w:color="auto"/>
                                    <w:right w:val="none" w:sz="0" w:space="0" w:color="auto"/>
                                  </w:divBdr>
                                  <w:divsChild>
                                    <w:div w:id="988168305">
                                      <w:marLeft w:val="0"/>
                                      <w:marRight w:val="0"/>
                                      <w:marTop w:val="0"/>
                                      <w:marBottom w:val="0"/>
                                      <w:divBdr>
                                        <w:top w:val="none" w:sz="0" w:space="0" w:color="auto"/>
                                        <w:left w:val="none" w:sz="0" w:space="0" w:color="auto"/>
                                        <w:bottom w:val="none" w:sz="0" w:space="0" w:color="auto"/>
                                        <w:right w:val="none" w:sz="0" w:space="0" w:color="auto"/>
                                      </w:divBdr>
                                      <w:divsChild>
                                        <w:div w:id="733117977">
                                          <w:marLeft w:val="0"/>
                                          <w:marRight w:val="0"/>
                                          <w:marTop w:val="0"/>
                                          <w:marBottom w:val="0"/>
                                          <w:divBdr>
                                            <w:top w:val="none" w:sz="0" w:space="0" w:color="auto"/>
                                            <w:left w:val="none" w:sz="0" w:space="0" w:color="auto"/>
                                            <w:bottom w:val="none" w:sz="0" w:space="0" w:color="auto"/>
                                            <w:right w:val="none" w:sz="0" w:space="0" w:color="auto"/>
                                          </w:divBdr>
                                          <w:divsChild>
                                            <w:div w:id="1797990294">
                                              <w:marLeft w:val="0"/>
                                              <w:marRight w:val="0"/>
                                              <w:marTop w:val="0"/>
                                              <w:marBottom w:val="0"/>
                                              <w:divBdr>
                                                <w:top w:val="none" w:sz="0" w:space="0" w:color="auto"/>
                                                <w:left w:val="none" w:sz="0" w:space="0" w:color="auto"/>
                                                <w:bottom w:val="none" w:sz="0" w:space="0" w:color="auto"/>
                                                <w:right w:val="none" w:sz="0" w:space="0" w:color="auto"/>
                                              </w:divBdr>
                                              <w:divsChild>
                                                <w:div w:id="662315423">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837269">
      <w:bodyDiv w:val="1"/>
      <w:marLeft w:val="0"/>
      <w:marRight w:val="0"/>
      <w:marTop w:val="0"/>
      <w:marBottom w:val="0"/>
      <w:divBdr>
        <w:top w:val="none" w:sz="0" w:space="0" w:color="auto"/>
        <w:left w:val="none" w:sz="0" w:space="0" w:color="auto"/>
        <w:bottom w:val="none" w:sz="0" w:space="0" w:color="auto"/>
        <w:right w:val="none" w:sz="0" w:space="0" w:color="auto"/>
      </w:divBdr>
    </w:div>
    <w:div w:id="982734847">
      <w:bodyDiv w:val="1"/>
      <w:marLeft w:val="0"/>
      <w:marRight w:val="0"/>
      <w:marTop w:val="0"/>
      <w:marBottom w:val="0"/>
      <w:divBdr>
        <w:top w:val="none" w:sz="0" w:space="0" w:color="auto"/>
        <w:left w:val="none" w:sz="0" w:space="0" w:color="auto"/>
        <w:bottom w:val="none" w:sz="0" w:space="0" w:color="auto"/>
        <w:right w:val="none" w:sz="0" w:space="0" w:color="auto"/>
      </w:divBdr>
    </w:div>
    <w:div w:id="1266503457">
      <w:bodyDiv w:val="1"/>
      <w:marLeft w:val="0"/>
      <w:marRight w:val="0"/>
      <w:marTop w:val="0"/>
      <w:marBottom w:val="0"/>
      <w:divBdr>
        <w:top w:val="none" w:sz="0" w:space="0" w:color="auto"/>
        <w:left w:val="none" w:sz="0" w:space="0" w:color="auto"/>
        <w:bottom w:val="none" w:sz="0" w:space="0" w:color="auto"/>
        <w:right w:val="none" w:sz="0" w:space="0" w:color="auto"/>
      </w:divBdr>
    </w:div>
    <w:div w:id="1506628327">
      <w:bodyDiv w:val="1"/>
      <w:marLeft w:val="0"/>
      <w:marRight w:val="0"/>
      <w:marTop w:val="0"/>
      <w:marBottom w:val="0"/>
      <w:divBdr>
        <w:top w:val="none" w:sz="0" w:space="0" w:color="auto"/>
        <w:left w:val="none" w:sz="0" w:space="0" w:color="auto"/>
        <w:bottom w:val="none" w:sz="0" w:space="0" w:color="auto"/>
        <w:right w:val="none" w:sz="0" w:space="0" w:color="auto"/>
      </w:divBdr>
      <w:divsChild>
        <w:div w:id="1907453108">
          <w:marLeft w:val="0"/>
          <w:marRight w:val="0"/>
          <w:marTop w:val="0"/>
          <w:marBottom w:val="0"/>
          <w:divBdr>
            <w:top w:val="none" w:sz="0" w:space="0" w:color="auto"/>
            <w:left w:val="none" w:sz="0" w:space="0" w:color="auto"/>
            <w:bottom w:val="none" w:sz="0" w:space="0" w:color="auto"/>
            <w:right w:val="none" w:sz="0" w:space="0" w:color="auto"/>
          </w:divBdr>
          <w:divsChild>
            <w:div w:id="66273619">
              <w:marLeft w:val="0"/>
              <w:marRight w:val="0"/>
              <w:marTop w:val="0"/>
              <w:marBottom w:val="0"/>
              <w:divBdr>
                <w:top w:val="none" w:sz="0" w:space="0" w:color="auto"/>
                <w:left w:val="none" w:sz="0" w:space="0" w:color="auto"/>
                <w:bottom w:val="none" w:sz="0" w:space="0" w:color="auto"/>
                <w:right w:val="none" w:sz="0" w:space="0" w:color="auto"/>
              </w:divBdr>
              <w:divsChild>
                <w:div w:id="138769159">
                  <w:marLeft w:val="405"/>
                  <w:marRight w:val="75"/>
                  <w:marTop w:val="0"/>
                  <w:marBottom w:val="0"/>
                  <w:divBdr>
                    <w:top w:val="none" w:sz="0" w:space="0" w:color="auto"/>
                    <w:left w:val="none" w:sz="0" w:space="0" w:color="auto"/>
                    <w:bottom w:val="none" w:sz="0" w:space="0" w:color="auto"/>
                    <w:right w:val="none" w:sz="0" w:space="0" w:color="auto"/>
                  </w:divBdr>
                  <w:divsChild>
                    <w:div w:id="752505842">
                      <w:marLeft w:val="0"/>
                      <w:marRight w:val="0"/>
                      <w:marTop w:val="120"/>
                      <w:marBottom w:val="0"/>
                      <w:divBdr>
                        <w:top w:val="none" w:sz="0" w:space="0" w:color="auto"/>
                        <w:left w:val="none" w:sz="0" w:space="0" w:color="auto"/>
                        <w:bottom w:val="none" w:sz="0" w:space="0" w:color="auto"/>
                        <w:right w:val="none" w:sz="0" w:space="0" w:color="auto"/>
                      </w:divBdr>
                      <w:divsChild>
                        <w:div w:id="926500079">
                          <w:marLeft w:val="0"/>
                          <w:marRight w:val="0"/>
                          <w:marTop w:val="120"/>
                          <w:marBottom w:val="0"/>
                          <w:divBdr>
                            <w:top w:val="none" w:sz="0" w:space="0" w:color="auto"/>
                            <w:left w:val="none" w:sz="0" w:space="0" w:color="auto"/>
                            <w:bottom w:val="none" w:sz="0" w:space="0" w:color="auto"/>
                            <w:right w:val="none" w:sz="0" w:space="0" w:color="auto"/>
                          </w:divBdr>
                          <w:divsChild>
                            <w:div w:id="515509904">
                              <w:marLeft w:val="0"/>
                              <w:marRight w:val="0"/>
                              <w:marTop w:val="120"/>
                              <w:marBottom w:val="0"/>
                              <w:divBdr>
                                <w:top w:val="none" w:sz="0" w:space="0" w:color="auto"/>
                                <w:left w:val="none" w:sz="0" w:space="0" w:color="auto"/>
                                <w:bottom w:val="none" w:sz="0" w:space="0" w:color="auto"/>
                                <w:right w:val="none" w:sz="0" w:space="0" w:color="auto"/>
                              </w:divBdr>
                              <w:divsChild>
                                <w:div w:id="202639034">
                                  <w:marLeft w:val="150"/>
                                  <w:marRight w:val="0"/>
                                  <w:marTop w:val="240"/>
                                  <w:marBottom w:val="240"/>
                                  <w:divBdr>
                                    <w:top w:val="none" w:sz="0" w:space="0" w:color="auto"/>
                                    <w:left w:val="none" w:sz="0" w:space="0" w:color="auto"/>
                                    <w:bottom w:val="none" w:sz="0" w:space="0" w:color="auto"/>
                                    <w:right w:val="none" w:sz="0" w:space="0" w:color="auto"/>
                                  </w:divBdr>
                                </w:div>
                                <w:div w:id="1948346549">
                                  <w:marLeft w:val="0"/>
                                  <w:marRight w:val="0"/>
                                  <w:marTop w:val="120"/>
                                  <w:marBottom w:val="0"/>
                                  <w:divBdr>
                                    <w:top w:val="none" w:sz="0" w:space="0" w:color="auto"/>
                                    <w:left w:val="none" w:sz="0" w:space="0" w:color="auto"/>
                                    <w:bottom w:val="none" w:sz="0" w:space="0" w:color="auto"/>
                                    <w:right w:val="none" w:sz="0" w:space="0" w:color="auto"/>
                                  </w:divBdr>
                                  <w:divsChild>
                                    <w:div w:id="118571736">
                                      <w:marLeft w:val="0"/>
                                      <w:marRight w:val="0"/>
                                      <w:marTop w:val="0"/>
                                      <w:marBottom w:val="0"/>
                                      <w:divBdr>
                                        <w:top w:val="none" w:sz="0" w:space="0" w:color="auto"/>
                                        <w:left w:val="none" w:sz="0" w:space="0" w:color="auto"/>
                                        <w:bottom w:val="none" w:sz="0" w:space="0" w:color="auto"/>
                                        <w:right w:val="none" w:sz="0" w:space="0" w:color="auto"/>
                                      </w:divBdr>
                                      <w:divsChild>
                                        <w:div w:id="1003508732">
                                          <w:marLeft w:val="0"/>
                                          <w:marRight w:val="0"/>
                                          <w:marTop w:val="0"/>
                                          <w:marBottom w:val="0"/>
                                          <w:divBdr>
                                            <w:top w:val="none" w:sz="0" w:space="0" w:color="auto"/>
                                            <w:left w:val="none" w:sz="0" w:space="0" w:color="auto"/>
                                            <w:bottom w:val="none" w:sz="0" w:space="0" w:color="auto"/>
                                            <w:right w:val="none" w:sz="0" w:space="0" w:color="auto"/>
                                          </w:divBdr>
                                          <w:divsChild>
                                            <w:div w:id="1593930208">
                                              <w:marLeft w:val="0"/>
                                              <w:marRight w:val="0"/>
                                              <w:marTop w:val="0"/>
                                              <w:marBottom w:val="0"/>
                                              <w:divBdr>
                                                <w:top w:val="none" w:sz="0" w:space="0" w:color="auto"/>
                                                <w:left w:val="none" w:sz="0" w:space="0" w:color="auto"/>
                                                <w:bottom w:val="none" w:sz="0" w:space="0" w:color="auto"/>
                                                <w:right w:val="none" w:sz="0" w:space="0" w:color="auto"/>
                                              </w:divBdr>
                                              <w:divsChild>
                                                <w:div w:id="448135547">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8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r.bund.de/cm/343/bestimmung-von-kohlenwasserstoffen-aus-mineraloel-oder-kunststoff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fr.bund.de/cm/343/messung-von-mineraloel-kohlenwasserstoffen-in-lebensmitteln-und-verpackungsmateriali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6BABC-724E-4E64-B700-28D30D02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0</TotalTime>
  <Pages>20</Pages>
  <Words>7985</Words>
  <Characters>45517</Characters>
  <Application>Microsoft Office Word</Application>
  <DocSecurity>0</DocSecurity>
  <Lines>379</Lines>
  <Paragraphs>106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Bundesministerium der Justiz</Company>
  <LinksUpToDate>false</LinksUpToDate>
  <CharactersWithSpaces>53396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Katharina</dc:creator>
  <cp:lastModifiedBy>PETSIMERIS, Christodoulos</cp:lastModifiedBy>
  <cp:revision>4</cp:revision>
  <cp:lastPrinted>2020-07-29T12:01:00Z</cp:lastPrinted>
  <dcterms:created xsi:type="dcterms:W3CDTF">2020-08-17T12:48:00Z</dcterms:created>
  <dcterms:modified xsi:type="dcterms:W3CDTF">2020-08-31T16:25:00Z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14.08.2020  15:07 Uhr</vt:lpwstr>
  </property>
  <property fmtid="{D5CDD505-2E9C-101B-9397-08002B2CF9AE}" pid="3" name="Meta_Initiant">
    <vt:lpwstr>Bundesministerium der Justiz und fuer Verbraucherschutz</vt:lpwstr>
  </property>
  <property fmtid="{D5CDD505-2E9C-101B-9397-08002B2CF9AE}" pid="4" name="Version">
    <vt:lpwstr>3.12.2.0</vt:lpwstr>
  </property>
  <property fmtid="{D5CDD505-2E9C-101B-9397-08002B2CF9AE}" pid="5" name="Last edited using">
    <vt:lpwstr>LW 5.4, Build 20200526</vt:lpwstr>
  </property>
  <property fmtid="{D5CDD505-2E9C-101B-9397-08002B2CF9AE}" pid="6" name="Kategorie">
    <vt:lpwstr>AENDER/NOVVER</vt:lpwstr>
  </property>
  <property fmtid="{D5CDD505-2E9C-101B-9397-08002B2CF9AE}" pid="7" name="eNorm-Version vorherige Bearbeitung">
    <vt:lpwstr>4.1.5 Bundesregierung [20200526]</vt:lpwstr>
  </property>
  <property fmtid="{D5CDD505-2E9C-101B-9397-08002B2CF9AE}" pid="8" name="eNorm-Version Erstellung">
    <vt:lpwstr>3.12.4, Bundesregierung</vt:lpwstr>
  </property>
  <property fmtid="{D5CDD505-2E9C-101B-9397-08002B2CF9AE}" pid="9" name="Created using">
    <vt:lpwstr>LW 5.4, Build 20151231</vt:lpwstr>
  </property>
  <property fmtid="{D5CDD505-2E9C-101B-9397-08002B2CF9AE}" pid="10" name="Classification">
    <vt:lpwstr> </vt:lpwstr>
  </property>
  <property fmtid="{D5CDD505-2E9C-101B-9397-08002B2CF9AE}" pid="11" name="eNorm-Version letzte Bearbeitung">
    <vt:lpwstr>4.1.5 Bundesregierung [20200526]</vt:lpwstr>
  </property>
  <property fmtid="{D5CDD505-2E9C-101B-9397-08002B2CF9AE}" pid="12" name="DQP-Ergebnis für Version 4">
    <vt:lpwstr>130 Fehler</vt:lpwstr>
  </property>
  <property fmtid="{D5CDD505-2E9C-101B-9397-08002B2CF9AE}" pid="13" name="eNorm-Version letzte DQP">
    <vt:lpwstr>4.1.5, Bundesregierung, [20200526]</vt:lpwstr>
  </property>
  <property fmtid="{D5CDD505-2E9C-101B-9397-08002B2CF9AE}" pid="14" name="Meta_Bezeichnung">
    <vt:lpwstr>Zweiundzwanzigste Verordnung zur Änderung der Bedarfsgegenständeverordnung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Einzelnovelle einer Verordnung</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vt:lpwstr>
  </property>
  <property fmtid="{D5CDD505-2E9C-101B-9397-08002B2CF9AE}" pid="20" name="Meta_Anlagen">
    <vt:lpwstr/>
  </property>
</Properties>
</file>