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rPr>
        <w:t>1. ------IND- 2020 0510 D-- ES-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Proyecto del Ministerio Federal de Alimentación y Agricultura</w:t>
      </w:r>
    </w:p>
    <w:p w14:paraId="453D9A69" w14:textId="77777777" w:rsidR="006444D5" w:rsidRPr="00D43FA1" w:rsidRDefault="006444D5" w:rsidP="00D43FA1">
      <w:pPr>
        <w:pStyle w:val="Bezeichnungnderungsdokument"/>
        <w:keepNext/>
        <w:keepLines/>
      </w:pPr>
      <w:r>
        <w:t>Vigesimosegundo Decreto relativo a la modificación del Decreto sobre los materiales y objetos destinados al contacto con alimentos</w:t>
      </w:r>
      <w:r>
        <w:rPr>
          <w:rStyle w:val="FootnoteReference"/>
        </w:rPr>
        <w:footnoteReference w:customMarkFollows="1" w:id="1"/>
        <w:t>1)</w:t>
      </w:r>
      <w:r>
        <w:t xml:space="preserve"> </w:t>
      </w:r>
    </w:p>
    <w:p w14:paraId="6759776C" w14:textId="77777777" w:rsidR="006444D5" w:rsidRPr="00D43FA1" w:rsidRDefault="006444D5" w:rsidP="00D43FA1">
      <w:pPr>
        <w:pStyle w:val="Ausfertigungsdatumnderungsdokument"/>
        <w:keepNext/>
        <w:keepLines/>
      </w:pPr>
      <w:r>
        <w:t>De …2020</w:t>
      </w:r>
    </w:p>
    <w:p w14:paraId="6E475CCC" w14:textId="77777777" w:rsidR="006444D5" w:rsidRPr="00D43FA1" w:rsidRDefault="006444D5" w:rsidP="000511BF">
      <w:pPr>
        <w:pStyle w:val="EingangsformelStandardnderungsdokument"/>
      </w:pPr>
      <w:r>
        <w:t xml:space="preserve">El Ministerio Federal de Alimentación y Agricultura decreta en virtud de: </w:t>
      </w:r>
    </w:p>
    <w:p w14:paraId="42BFF3E6" w14:textId="77777777" w:rsidR="000511BF" w:rsidRPr="00D43FA1" w:rsidRDefault="006444D5" w:rsidP="00C74C74">
      <w:pPr>
        <w:pStyle w:val="EingangsformelStandardnderungsdokument"/>
        <w:numPr>
          <w:ilvl w:val="0"/>
          <w:numId w:val="1"/>
        </w:numPr>
        <w:ind w:left="0" w:firstLine="425"/>
      </w:pPr>
      <w:r>
        <w:t>el artículo 31, apartado 2, frase primera, punto 2, también en relación con el artículo 4, apartado 2, punto 2, y el artículo 46, apartado 2, frase primera, punto 1, letra a), del Código sobre alimentos y piensos, en la versión publicada el 3 de junio de 2013 (Boletín Oficial Federal, parte I, p. 1426), y</w:t>
      </w:r>
    </w:p>
    <w:p w14:paraId="58FC86B6" w14:textId="77777777" w:rsidR="006444D5" w:rsidRPr="00D43FA1" w:rsidRDefault="000511BF" w:rsidP="00C74C74">
      <w:pPr>
        <w:pStyle w:val="EingangsformelStandardnderungsdokument"/>
        <w:numPr>
          <w:ilvl w:val="0"/>
          <w:numId w:val="1"/>
        </w:numPr>
        <w:ind w:left="0" w:firstLine="425"/>
      </w:pPr>
      <w:r>
        <w:t>el artículo 34, frase primera, punto 2, modificado por el artículo 67, punto 6, del Decreto de 31 de agosto de 2015 (Boletín Oficial Federal, parte I, p. 1474), también en relación con el artículo 4, apartado 2, punto 2, del Código sobre alimentos y piensos, en la versión publicada el 3 de junio de 2013 (Boletín Oficial Federal, parte I, p. 1426), de acuerdo con el Ministerio Federal de Economía y Energía:</w:t>
      </w:r>
    </w:p>
    <w:p w14:paraId="6AC8CAE2" w14:textId="1699357E" w:rsidR="006444D5" w:rsidRPr="00D43FA1" w:rsidRDefault="00D43FA1" w:rsidP="00D43FA1">
      <w:pPr>
        <w:pStyle w:val="ArtikelBezeichner"/>
        <w:keepLines/>
        <w:numPr>
          <w:ilvl w:val="0"/>
          <w:numId w:val="0"/>
        </w:numPr>
      </w:pPr>
      <w:r>
        <w:t>Artículo 1</w:t>
      </w:r>
    </w:p>
    <w:p w14:paraId="37102DCC" w14:textId="1749B86C" w:rsidR="006444D5" w:rsidRPr="007E01A6" w:rsidRDefault="006444D5" w:rsidP="00D43FA1">
      <w:pPr>
        <w:pStyle w:val="Artikelberschrift"/>
        <w:keepLines/>
      </w:pPr>
      <w:r>
        <w:t>Modificación del Decreto sobre los materiales y objetos destinados al contacto con alimentos</w:t>
      </w:r>
    </w:p>
    <w:p w14:paraId="504DEE92" w14:textId="4F2C4E22" w:rsidR="00E24BD3" w:rsidRPr="007E01A6" w:rsidRDefault="00E24BD3" w:rsidP="00D43FA1">
      <w:pPr>
        <w:pStyle w:val="JuristischerAbsatznichtnummeriert"/>
        <w:keepNext/>
        <w:keepLines/>
        <w:rPr>
          <w:rStyle w:val="Marker"/>
          <w:color w:val="auto"/>
        </w:rPr>
      </w:pPr>
      <w:r>
        <w:rPr>
          <w:rStyle w:val="Marker"/>
          <w:color w:val="auto"/>
        </w:rPr>
        <w:t>El Decreto sobre los materiales y objetos destinados al contacto con alimentos, en la versión publicada el 23 de diciembre de 1997 (Boletín Oficial Federal, 1998, parte I, p. 5), modificado por última vez por el artículo 2, apartado 1, de la Ley de 15 de febrero de 2016 (Boletín Oficial Federal, parte I, p. 198), se modifica como sigue:</w:t>
      </w:r>
    </w:p>
    <w:p w14:paraId="02B9B0F2" w14:textId="7CA490A4" w:rsidR="00846C2F" w:rsidRPr="00D43FA1" w:rsidRDefault="00846C2F" w:rsidP="00806507">
      <w:pPr>
        <w:pStyle w:val="NummerierungStufe1"/>
      </w:pPr>
      <w:r>
        <w:t>el artículo 2 se modifica como sigue:</w:t>
      </w:r>
    </w:p>
    <w:p w14:paraId="28C5F27B" w14:textId="77777777" w:rsidR="00846C2F" w:rsidRPr="00D43FA1" w:rsidRDefault="00846C2F" w:rsidP="00846C2F">
      <w:pPr>
        <w:pStyle w:val="NummerierungStufe2"/>
        <w:rPr>
          <w:rStyle w:val="Marker"/>
          <w:color w:val="auto"/>
        </w:rPr>
      </w:pPr>
      <w:r>
        <w:rPr>
          <w:rStyle w:val="Marker"/>
          <w:color w:val="auto"/>
        </w:rPr>
        <w:t>en el punto 6 se sustituye el punto final por un punto y coma;</w:t>
      </w:r>
    </w:p>
    <w:p w14:paraId="4CF425DD" w14:textId="26F4A3C3" w:rsidR="00846C2F" w:rsidRPr="00D43FA1" w:rsidRDefault="003B2E93" w:rsidP="00846C2F">
      <w:pPr>
        <w:pStyle w:val="NummerierungStufe2"/>
        <w:rPr>
          <w:rStyle w:val="Marker"/>
          <w:color w:val="auto"/>
        </w:rPr>
      </w:pPr>
      <w:r>
        <w:rPr>
          <w:rStyle w:val="Marker"/>
          <w:color w:val="auto"/>
        </w:rPr>
        <w:t>se añaden los siguientes puntos 7 a 10:</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material de papel usado: material fibroso obtenido a partir de papel usado mediante procesos de tratamiento para la fabricación de papel o cartón;</w:t>
      </w:r>
    </w:p>
    <w:p w14:paraId="0106737F" w14:textId="5C38BB44" w:rsidR="00E24BD3" w:rsidRPr="00D43FA1" w:rsidRDefault="00E24BD3" w:rsidP="00067EA9">
      <w:pPr>
        <w:pStyle w:val="JuristischerAbsatznichtnummeriert"/>
        <w:ind w:left="850" w:firstLine="295"/>
      </w:pPr>
      <w:r>
        <w:rPr>
          <w:rStyle w:val="Marker"/>
          <w:color w:val="auto"/>
        </w:rPr>
        <w:t xml:space="preserve">8) </w:t>
      </w:r>
      <w:r>
        <w:t>hidrocarburos aromáticos de aceites minerales: hidrocarburos aromáticos alquilados con un número de carbonos del intervalo de C16 a C35, que contienen uno o varios anillos, con excepción de los diisopropilnaftalenos; el núme</w:t>
      </w:r>
      <w:r w:rsidR="004711FD">
        <w:t>ro de carbonos está relacionado</w:t>
      </w:r>
      <w:r>
        <w:t xml:space="preserve"> con los intervalos de elución o con los tiempos de retención de los n-alcanos correspondientes en el análisis cromatográfico de gases en una columna de separación revestida con dimetilpolisiloxano;</w:t>
      </w:r>
    </w:p>
    <w:p w14:paraId="1BECF263" w14:textId="3D179D1B" w:rsidR="00846C2F" w:rsidRPr="00D43FA1" w:rsidRDefault="00E24BD3" w:rsidP="00D43FA1">
      <w:pPr>
        <w:pStyle w:val="JuristischerAbsatznichtnummeriert"/>
        <w:keepNext/>
        <w:keepLines/>
        <w:ind w:left="425" w:firstLine="720"/>
      </w:pPr>
      <w:r>
        <w:rPr>
          <w:rStyle w:val="Marker"/>
          <w:color w:val="auto"/>
        </w:rPr>
        <w:lastRenderedPageBreak/>
        <w:t xml:space="preserve">9) </w:t>
      </w:r>
      <w:r>
        <w:t xml:space="preserve"> barrera funcional:</w:t>
      </w:r>
    </w:p>
    <w:p w14:paraId="74FD3E26" w14:textId="39827560" w:rsidR="00B643B8" w:rsidRPr="00D43FA1" w:rsidRDefault="002F7BDF" w:rsidP="00067EA9">
      <w:pPr>
        <w:pStyle w:val="JuristischerAbsatznichtnummeriert"/>
        <w:ind w:left="851" w:firstLine="589"/>
      </w:pPr>
      <w:r>
        <w:rPr>
          <w:rStyle w:val="Marker"/>
          <w:color w:val="auto"/>
        </w:rPr>
        <w:t xml:space="preserve">a) </w:t>
      </w:r>
      <w:r>
        <w:t>una o varias capas o revestimientos de un material u objeto destinado al contacto con alimentos; o</w:t>
      </w:r>
    </w:p>
    <w:p w14:paraId="6C74E0DD" w14:textId="61F756EB" w:rsidR="002F7BDF" w:rsidRPr="00D43FA1" w:rsidRDefault="002F7BDF" w:rsidP="00067EA9">
      <w:pPr>
        <w:pStyle w:val="JuristischerAbsatznichtnummeriert"/>
        <w:ind w:left="720" w:firstLine="720"/>
      </w:pPr>
      <w:r>
        <w:rPr>
          <w:rStyle w:val="Marker"/>
          <w:color w:val="auto"/>
        </w:rPr>
        <w:t>b) el envoltorio de un producto alimenticio,</w:t>
      </w:r>
    </w:p>
    <w:p w14:paraId="326B7F41" w14:textId="0B4EE35B" w:rsidR="00E24BD3" w:rsidRPr="00D43FA1" w:rsidRDefault="00E24BD3" w:rsidP="00067EA9">
      <w:pPr>
        <w:pStyle w:val="JuristischerAbsatznichtnummeriert"/>
        <w:ind w:left="851" w:firstLine="0"/>
      </w:pPr>
      <w:r>
        <w:t>que garantiza que determinadas sustancias de los materiales y objetos destinados al contacto con alimentos no migren a los productos alimenticios;</w:t>
      </w:r>
    </w:p>
    <w:p w14:paraId="4B18F3E3" w14:textId="70788493" w:rsidR="00846C2F" w:rsidRPr="00D43FA1" w:rsidRDefault="00E24BD3" w:rsidP="00067EA9">
      <w:pPr>
        <w:pStyle w:val="JuristischerAbsatznichtnummeriert"/>
        <w:ind w:left="851" w:firstLine="294"/>
      </w:pPr>
      <w:r>
        <w:rPr>
          <w:rStyle w:val="Marker"/>
          <w:color w:val="auto"/>
        </w:rPr>
        <w:t xml:space="preserve">10) </w:t>
      </w:r>
      <w:r>
        <w:t>simulante alimentario: un simulante alimentario en el sentido del artículo 3, punto 12, del Reglamento (UE) n.º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 xml:space="preserve">después del artículo 6, se añade el siguiente artículo 6 </w:t>
      </w:r>
      <w:r>
        <w:rPr>
          <w:rStyle w:val="Marker"/>
          <w:i/>
          <w:iCs/>
          <w:color w:val="auto"/>
        </w:rPr>
        <w:t>bis</w:t>
      </w:r>
      <w:r>
        <w:rPr>
          <w:rStyle w:val="Marker"/>
          <w:color w:val="auto"/>
        </w:rPr>
        <w:t>:</w:t>
      </w:r>
    </w:p>
    <w:p w14:paraId="254DF9EA" w14:textId="256D5011" w:rsidR="00846C2F" w:rsidRPr="00D43FA1" w:rsidRDefault="00846C2F" w:rsidP="007E01A6">
      <w:pPr>
        <w:pStyle w:val="RevisionParagraphBezeichnermanuell"/>
        <w:keepLines/>
        <w:ind w:left="425" w:hanging="75"/>
        <w:rPr>
          <w:color w:val="auto"/>
        </w:rPr>
      </w:pPr>
      <w:r>
        <w:rPr>
          <w:color w:val="auto"/>
        </w:rPr>
        <w:t xml:space="preserve">«Artículo </w:t>
      </w:r>
      <w:r>
        <w:rPr>
          <w:rStyle w:val="Marker"/>
          <w:color w:val="auto"/>
        </w:rPr>
        <w:t xml:space="preserve">6 </w:t>
      </w:r>
      <w:r>
        <w:rPr>
          <w:rStyle w:val="Marker"/>
          <w:i/>
          <w:iCs/>
          <w:color w:val="auto"/>
        </w:rPr>
        <w:t>bis</w:t>
      </w:r>
      <w:r>
        <w:rPr>
          <w:rStyle w:val="Marker"/>
          <w:color w:val="auto"/>
        </w:rPr>
        <w:br/>
        <w:t>Materiales y objetos destinados al contacto con alimentos hechos de papel o cartón con una proporción de material de papel usado</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1. Los materiales y objetos destinados al contacto con alimentos hechos de papel o cartón solamente podrán fabricarse y comercializarse utilizando material de papel usado si una barrera funcional según el artículo 2, punto 9, garantiza que no se transfieran hidrocarburos aromáticos de aceites minerales de los materiales u objetos destinados al contacto con alimentos a los productos alimenticios. Se considerará que no ha ocurrido una migración si: </w:t>
      </w:r>
    </w:p>
    <w:p w14:paraId="16C207F7" w14:textId="77777777" w:rsidR="002F7BDF" w:rsidRPr="00D43FA1" w:rsidRDefault="002F7BDF" w:rsidP="00067EA9">
      <w:pPr>
        <w:pStyle w:val="JuristischerAbsatznichtnummeriert"/>
        <w:ind w:left="425" w:firstLine="0"/>
        <w:rPr>
          <w:szCs w:val="24"/>
        </w:rPr>
      </w:pPr>
      <w:r>
        <w:t xml:space="preserve">1) no se supera el límite de detección de 0,5 miligramos de la suma de hidrocarburos aromáticos de aceites minerales por kilogramo de alimento; o </w:t>
      </w:r>
    </w:p>
    <w:p w14:paraId="172F3F97" w14:textId="20287DA3" w:rsidR="00C74C74" w:rsidRPr="007E01A6" w:rsidRDefault="002F7BDF" w:rsidP="00067EA9">
      <w:pPr>
        <w:pStyle w:val="JuristischerAbsatznichtnummeriert"/>
        <w:ind w:left="425" w:firstLine="0"/>
        <w:rPr>
          <w:szCs w:val="24"/>
        </w:rPr>
      </w:pPr>
      <w:r>
        <w:t xml:space="preserve">2) no se supera el límite de detección de 0,15 miligramos de la suma de hidrocarburos aromáticos de aceites minerales por kilogramo de simulante alimentario. </w:t>
      </w:r>
    </w:p>
    <w:p w14:paraId="4CAF2837" w14:textId="266BC0F6" w:rsidR="00C74C74" w:rsidRPr="00D43FA1" w:rsidRDefault="00E24BD3" w:rsidP="00067EA9">
      <w:pPr>
        <w:pStyle w:val="JuristischerAbsatznichtnummeriert"/>
        <w:ind w:left="425" w:firstLine="295"/>
      </w:pPr>
      <w:r>
        <w:rPr>
          <w:rStyle w:val="Marker"/>
          <w:color w:val="auto"/>
        </w:rPr>
        <w:t>2. No</w:t>
      </w:r>
      <w:r>
        <w:t xml:space="preserve"> se aplicará el apartado 1, frase primera, si se excluye la migración de hidrocarburos aromáticos de aceites minerales del material u objeto destinado al contacto con alimentos a los productos alimenticios en el sentido del apartado 1, frase segunda, porque:</w:t>
      </w:r>
    </w:p>
    <w:p w14:paraId="6CBC600B" w14:textId="68240402" w:rsidR="002F7BDF" w:rsidRPr="00D43FA1" w:rsidRDefault="002F7BDF" w:rsidP="00067EA9">
      <w:pPr>
        <w:pStyle w:val="JuristischerAbsatznichtnummeriert"/>
        <w:ind w:left="425" w:firstLine="0"/>
      </w:pPr>
      <w:r>
        <w:rPr>
          <w:rStyle w:val="Marker"/>
          <w:color w:val="auto"/>
        </w:rPr>
        <w:t>1) existen requisitos especiales para el material u objeto destinado al contacto con alimentos, en particular que solo presente un bajo contenido de hidrocarburos aromáticos de aceites minerales en dicho material u objeto; o</w:t>
      </w:r>
    </w:p>
    <w:p w14:paraId="05A8EA42" w14:textId="0B5F5620" w:rsidR="00123700" w:rsidRPr="00C010B9" w:rsidRDefault="002F7BDF" w:rsidP="00067EA9">
      <w:pPr>
        <w:pStyle w:val="JuristischerAbsatznichtnummeriert"/>
        <w:ind w:left="425" w:firstLine="0"/>
        <w:rPr>
          <w:spacing w:val="-4"/>
        </w:rPr>
      </w:pPr>
      <w:r w:rsidRPr="00C010B9">
        <w:rPr>
          <w:rStyle w:val="Marker"/>
          <w:color w:val="auto"/>
          <w:spacing w:val="-4"/>
        </w:rPr>
        <w:t xml:space="preserve">2) </w:t>
      </w:r>
      <w:r w:rsidRPr="00C010B9">
        <w:rPr>
          <w:spacing w:val="-4"/>
        </w:rPr>
        <w:t>el fabricante o el responsable de la comercialización del material u objeto destinado al contacto con alimentos ha adoptado otras medidas adecuadas para evitar la migración.</w:t>
      </w:r>
    </w:p>
    <w:p w14:paraId="0AD974E6" w14:textId="6D982343" w:rsidR="00735843" w:rsidRPr="00D43FA1" w:rsidRDefault="00E24BD3" w:rsidP="00067EA9">
      <w:pPr>
        <w:pStyle w:val="JuristischerAbsatznichtnummeriert"/>
        <w:ind w:left="425" w:firstLine="295"/>
      </w:pPr>
      <w:r>
        <w:rPr>
          <w:rStyle w:val="Marker"/>
          <w:color w:val="auto"/>
        </w:rPr>
        <w:t>3. En</w:t>
      </w:r>
      <w:r>
        <w:t xml:space="preserve"> contra de lo dispuesto en el apartado 1, frase primera, los materiales y objetos destinados al contacto con alimentos ahí mencionados podrán fabricarse o comercializarse sin una barrera funcional si el operador de empresas alimentarias que ponga en contacto por primera vez el material u objeto en cuestión con un producto alimenticio, mediante el envasado o de otro modo, antes del suministro de tal material u objeto declara, por escrito o de manera electrónica, ante el fabricante o el responsable de la comercialización del material u objeto destinado al contacto con alimentos, que prescindirá de la barrera funcional según el artículo 2, punto 9. </w:t>
      </w:r>
    </w:p>
    <w:p w14:paraId="789B1568" w14:textId="520EFB10" w:rsidR="00E24BD3" w:rsidRPr="00C010B9" w:rsidRDefault="00E24BD3" w:rsidP="00C010B9">
      <w:pPr>
        <w:pStyle w:val="JuristischerAbsatznichtnummeriert"/>
        <w:keepLines/>
        <w:ind w:left="425" w:firstLine="295"/>
        <w:rPr>
          <w:spacing w:val="-4"/>
        </w:rPr>
      </w:pPr>
      <w:r w:rsidRPr="00C010B9">
        <w:rPr>
          <w:rStyle w:val="Marker"/>
          <w:color w:val="auto"/>
          <w:spacing w:val="-4"/>
        </w:rPr>
        <w:lastRenderedPageBreak/>
        <w:t>4.</w:t>
      </w:r>
      <w:r w:rsidRPr="00C010B9">
        <w:rPr>
          <w:spacing w:val="-4"/>
        </w:rPr>
        <w:t xml:space="preserve"> En los casos del apartado 3, el operador de empresas alimentarias que utilice el material u objeto destinado al contacto con alimentos deberá garantizar que se excluye la migración de hidrocarburos aromáticos de aceites minerales de dicho material u objeto a los productos alimenticios en el sentido del apartado 1, frase segunda. Para ello, deberá emplear una barrera funcional según el artículo 2, punto 9, letra b), o tomar otras medidas adecuadas. La frase segunda no se aplicará si, en particular debido a la naturaleza del producto alimenticio que entra en contacto con el material u objeto destinado al contacto con alimentos, o debido a las condiciones de uso previstas de dicho material u objeto, existen requisitos especiales que permiten la migración de los hidrocarburos aromáticos de aceites minerales del material u objeto destinado al contacto con alimentos al producto alimenticio en el sentido del apartado 1, frase segunda.</w:t>
      </w:r>
    </w:p>
    <w:p w14:paraId="5366601D" w14:textId="03640CCF" w:rsidR="00313AFD" w:rsidRPr="00D43FA1" w:rsidRDefault="00E24BD3" w:rsidP="00C62066">
      <w:pPr>
        <w:pStyle w:val="JuristischerAbsatznichtnummeriert"/>
        <w:ind w:firstLine="720"/>
      </w:pPr>
      <w:r>
        <w:rPr>
          <w:rStyle w:val="Marker"/>
          <w:color w:val="auto"/>
        </w:rPr>
        <w:t xml:space="preserve">5. </w:t>
      </w:r>
      <w:r>
        <w:t>A solicitud de la autoridad competente, deberá demostrarse lo siguiente:</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1) en el caso del fabricante o responsable de la comercialización del material u objeto destinado al contacto con alimentos, el cumplimiento de los requisitos de los apartados 2 y 3; y</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2) en el caso del operador de empresas alimentarias, el cumplimiento de los requisitos del apartado 4.</w:t>
      </w:r>
    </w:p>
    <w:p w14:paraId="587A74FC" w14:textId="6F4A63D4" w:rsidR="004F1DB4" w:rsidRPr="00C010B9" w:rsidRDefault="00E24BD3" w:rsidP="00C62066">
      <w:pPr>
        <w:pStyle w:val="JuristischerAbsatznichtnummeriert"/>
        <w:ind w:left="425" w:firstLine="0"/>
        <w:rPr>
          <w:spacing w:val="-4"/>
        </w:rPr>
      </w:pPr>
      <w:r w:rsidRPr="00C010B9">
        <w:rPr>
          <w:spacing w:val="-4"/>
        </w:rPr>
        <w:t>Las personas sujetas a la obligación según la frase primera deberán disponer de documentos que demuestren que se excluye la migración de hidrocarburos aromáticos de aceites minerales del material u objeto destinado al contacto con alimentos a los productos alimenticios o a los simulantes alimentarios en el sentido del apartado 1, frase segunda.</w:t>
      </w:r>
    </w:p>
    <w:p w14:paraId="0AA413D8" w14:textId="1C6B2756" w:rsidR="007F06A5" w:rsidRPr="00D43FA1" w:rsidRDefault="00E24BD3" w:rsidP="00C62066">
      <w:pPr>
        <w:pStyle w:val="JuristischerAbsatznichtnummeriert"/>
        <w:ind w:left="425" w:firstLine="295"/>
      </w:pPr>
      <w:r>
        <w:rPr>
          <w:rStyle w:val="Marker"/>
          <w:color w:val="auto"/>
        </w:rPr>
        <w:t>6. Queda</w:t>
      </w:r>
      <w:r>
        <w:t xml:space="preserve"> prohibido comercializar alimentos como alimentos tratados con un material u objeto destinado al contacto con alimentos sin que se cumplan los requisitos del apartado 1, frase primera, o del apartado 4, frase primera.»;</w:t>
      </w:r>
    </w:p>
    <w:p w14:paraId="6FA09614" w14:textId="77777777" w:rsidR="00D10507" w:rsidRPr="00D43FA1" w:rsidRDefault="00D10507" w:rsidP="00D43FA1">
      <w:pPr>
        <w:pStyle w:val="NummerierungStufe1"/>
        <w:keepNext/>
        <w:keepLines/>
      </w:pPr>
      <w:r>
        <w:t xml:space="preserve">en el artículo 7, apartado 1, se sustituye la indicación «6» por la indicación «6 </w:t>
      </w:r>
      <w:r>
        <w:rPr>
          <w:i/>
          <w:iCs/>
        </w:rPr>
        <w:t>bis</w:t>
      </w:r>
      <w:r>
        <w:t>, apartado 4,»;</w:t>
      </w:r>
    </w:p>
    <w:p w14:paraId="7EAA6364" w14:textId="77777777" w:rsidR="00D10507" w:rsidRPr="00D43FA1" w:rsidRDefault="00634FE4" w:rsidP="00D43FA1">
      <w:pPr>
        <w:pStyle w:val="NummerierungStufe1"/>
        <w:keepNext/>
        <w:keepLines/>
      </w:pPr>
      <w:r>
        <w:t xml:space="preserve">el artículo 12 se modifica como sigue: </w:t>
      </w:r>
    </w:p>
    <w:p w14:paraId="69B3E358" w14:textId="77777777" w:rsidR="005068AC" w:rsidRPr="00D43FA1" w:rsidRDefault="005068AC" w:rsidP="00D43FA1">
      <w:pPr>
        <w:pStyle w:val="NummerierungStufe2"/>
        <w:keepNext/>
        <w:keepLines/>
        <w:rPr>
          <w:rStyle w:val="Marker"/>
          <w:color w:val="auto"/>
        </w:rPr>
      </w:pPr>
      <w:r>
        <w:rPr>
          <w:rStyle w:val="Marker"/>
          <w:color w:val="auto"/>
        </w:rPr>
        <w:t>el apartado 2 se modifica como sigue:</w:t>
      </w:r>
    </w:p>
    <w:p w14:paraId="35259617" w14:textId="77777777" w:rsidR="005068AC" w:rsidRPr="00D43FA1" w:rsidRDefault="00AC0D2A" w:rsidP="005068AC">
      <w:pPr>
        <w:pStyle w:val="NummerierungStufe3"/>
        <w:rPr>
          <w:rStyle w:val="Marker"/>
          <w:color w:val="auto"/>
        </w:rPr>
      </w:pPr>
      <w:r>
        <w:rPr>
          <w:rStyle w:val="Marker"/>
          <w:color w:val="auto"/>
        </w:rPr>
        <w:t>en el punto 3 se sustituye la palabra «o» por un punto y coma;</w:t>
      </w:r>
    </w:p>
    <w:p w14:paraId="7DFBB224" w14:textId="77777777" w:rsidR="005068AC" w:rsidRPr="00D43FA1" w:rsidRDefault="00AC0D2A" w:rsidP="005068AC">
      <w:pPr>
        <w:pStyle w:val="NummerierungStufe3"/>
        <w:rPr>
          <w:rStyle w:val="Marker"/>
          <w:color w:val="auto"/>
        </w:rPr>
      </w:pPr>
      <w:r>
        <w:rPr>
          <w:rStyle w:val="Marker"/>
          <w:color w:val="auto"/>
        </w:rPr>
        <w:t>en el punto 4 se sustituye el punto final por un punto y coma;</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se añaden los siguientes puntos 5 y 6:</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en contra de lo dispuesto en el artículo 6 </w:t>
      </w:r>
      <w:r>
        <w:rPr>
          <w:rStyle w:val="Marker"/>
          <w:i/>
          <w:iCs/>
          <w:color w:val="auto"/>
        </w:rPr>
        <w:t>bis</w:t>
      </w:r>
      <w:r>
        <w:rPr>
          <w:rStyle w:val="Marker"/>
          <w:color w:val="auto"/>
        </w:rPr>
        <w:t xml:space="preserve">, apartado 1, frase primera, o el artículo 6 </w:t>
      </w:r>
      <w:r>
        <w:rPr>
          <w:rStyle w:val="Marker"/>
          <w:i/>
          <w:iCs/>
          <w:color w:val="auto"/>
        </w:rPr>
        <w:t>bis</w:t>
      </w:r>
      <w:r>
        <w:rPr>
          <w:rStyle w:val="Marker"/>
          <w:color w:val="auto"/>
        </w:rPr>
        <w:t xml:space="preserve">, apartado 6, comercializa un material u objeto destinado al contacto con alimentos o un producto alimenticio; o </w:t>
      </w:r>
    </w:p>
    <w:p w14:paraId="5E978D5C" w14:textId="45631538" w:rsidR="00B77970" w:rsidRPr="00D43FA1" w:rsidRDefault="00E24BD3" w:rsidP="00E24BD3">
      <w:pPr>
        <w:pStyle w:val="JuristischerAbsatznichtnummeriert"/>
        <w:ind w:left="850" w:firstLine="426"/>
      </w:pPr>
      <w:r>
        <w:rPr>
          <w:rStyle w:val="Marker"/>
          <w:color w:val="auto"/>
        </w:rPr>
        <w:t xml:space="preserve">6) en contra de lo dispuesto en el artículo 6 </w:t>
      </w:r>
      <w:r>
        <w:rPr>
          <w:rStyle w:val="Marker"/>
          <w:i/>
          <w:iCs/>
          <w:color w:val="auto"/>
        </w:rPr>
        <w:t>bis</w:t>
      </w:r>
      <w:r>
        <w:rPr>
          <w:rStyle w:val="Marker"/>
          <w:color w:val="auto"/>
        </w:rPr>
        <w:t xml:space="preserve">, apartado 4, frase primera, no garantiza que se excluya la migración de hidrocarburos aromáticos de aceites minerales.»; </w:t>
      </w:r>
    </w:p>
    <w:p w14:paraId="7716DBF5" w14:textId="4D9148FD" w:rsidR="005068AC" w:rsidRPr="00D43FA1" w:rsidRDefault="005068AC" w:rsidP="00D43FA1">
      <w:pPr>
        <w:pStyle w:val="NummerierungStufe2"/>
        <w:keepNext/>
        <w:keepLines/>
        <w:rPr>
          <w:rStyle w:val="Marker"/>
          <w:color w:val="auto"/>
        </w:rPr>
      </w:pPr>
      <w:r>
        <w:rPr>
          <w:rStyle w:val="Marker"/>
          <w:color w:val="auto"/>
        </w:rPr>
        <w:t>el apartado 6 se modifica como sigue:</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antes del punto 1, se añade el siguiente punto 1:</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 xml:space="preserve">«1) en contra de lo dispuesto en el artículo 6 </w:t>
      </w:r>
      <w:r>
        <w:rPr>
          <w:rStyle w:val="Marker"/>
          <w:i/>
          <w:iCs/>
          <w:color w:val="auto"/>
        </w:rPr>
        <w:t>bis</w:t>
      </w:r>
      <w:r>
        <w:rPr>
          <w:rStyle w:val="Marker"/>
          <w:color w:val="auto"/>
        </w:rPr>
        <w:t>, apartado 5, frase segunda, no disponga de algún documento, o solo disponga de algún documento de forma incorrecta o incompleta;»;</w:t>
      </w:r>
    </w:p>
    <w:p w14:paraId="27C15FD7" w14:textId="64F26C1B" w:rsidR="005068AC" w:rsidRPr="00D43FA1" w:rsidRDefault="00504030" w:rsidP="00E53816">
      <w:pPr>
        <w:pStyle w:val="NummerierungStufe3"/>
      </w:pPr>
      <w:r>
        <w:rPr>
          <w:rStyle w:val="Marker"/>
          <w:color w:val="auto"/>
        </w:rPr>
        <w:lastRenderedPageBreak/>
        <w:t>el actual punto 1 pasa a ser el punto 2;</w:t>
      </w:r>
    </w:p>
    <w:p w14:paraId="40868CB4" w14:textId="77777777" w:rsidR="00DA7A9F" w:rsidRPr="00D43FA1" w:rsidRDefault="00DA7A9F" w:rsidP="00D43FA1">
      <w:pPr>
        <w:pStyle w:val="NummerierungStufe1"/>
        <w:keepNext/>
        <w:keepLines/>
      </w:pPr>
      <w:r>
        <w:t>en el artículo 16 se añaden los siguientes apartados 15 y 16:</w:t>
      </w:r>
    </w:p>
    <w:p w14:paraId="53C2A8E8" w14:textId="4612D6D2" w:rsidR="002666C4" w:rsidRPr="00D43FA1" w:rsidRDefault="00C07FE5" w:rsidP="00C07FE5">
      <w:pPr>
        <w:pStyle w:val="JuristischerAbsatznichtnummeriert"/>
        <w:ind w:left="425" w:firstLine="295"/>
      </w:pPr>
      <w:r>
        <w:rPr>
          <w:rStyle w:val="Marker"/>
          <w:color w:val="auto"/>
        </w:rPr>
        <w:t xml:space="preserve">«15. El artículo 6 </w:t>
      </w:r>
      <w:r>
        <w:rPr>
          <w:rStyle w:val="Marker"/>
          <w:i/>
          <w:iCs/>
          <w:color w:val="auto"/>
        </w:rPr>
        <w:t>bis</w:t>
      </w:r>
      <w:r>
        <w:rPr>
          <w:rStyle w:val="Marker"/>
          <w:color w:val="auto"/>
        </w:rPr>
        <w:t xml:space="preserve"> </w:t>
      </w:r>
      <w:r>
        <w:t>solo se aplicará a partir del … [introducir: fecha del primer día del trigésimo séptimo mes natural siguiente al de la publicación del presente Decreto].</w:t>
      </w:r>
    </w:p>
    <w:p w14:paraId="0BC81A17" w14:textId="18B7C145" w:rsidR="00C07FE5" w:rsidRPr="00D43FA1" w:rsidRDefault="00C07FE5" w:rsidP="00C07FE5">
      <w:pPr>
        <w:pStyle w:val="JuristischerAbsatznichtnummeriert"/>
        <w:tabs>
          <w:tab w:val="left" w:pos="1134"/>
          <w:tab w:val="left" w:pos="1418"/>
        </w:tabs>
        <w:ind w:left="425" w:firstLine="295"/>
      </w:pPr>
      <w:r>
        <w:t>16. Los materiales y objetos destinados al contacto con alimentos que se hayan fabricado con material de papel usado de conformidad con las disposiciones aplicables hasta la fecha prevista en el apartado 15 podrán seguir comercializándose y utilizándose hasta el ... [introducir: fecha del primer día del sexagésimo primer mes natural siguiente al de la publicación del presente Decreto].».</w:t>
      </w:r>
    </w:p>
    <w:p w14:paraId="6DD6BE05" w14:textId="1E96CDA2" w:rsidR="00C86A55" w:rsidRPr="00D43FA1" w:rsidRDefault="00D43FA1" w:rsidP="00D43FA1">
      <w:pPr>
        <w:pStyle w:val="ArtikelBezeichner"/>
        <w:numPr>
          <w:ilvl w:val="0"/>
          <w:numId w:val="0"/>
        </w:numPr>
        <w:ind w:left="720" w:hanging="720"/>
      </w:pPr>
      <w:r>
        <w:t>Artículo 2</w:t>
      </w:r>
    </w:p>
    <w:p w14:paraId="6244BBAD" w14:textId="77777777" w:rsidR="00C86A55" w:rsidRPr="00D43FA1" w:rsidRDefault="000B2DB8" w:rsidP="00C86A55">
      <w:pPr>
        <w:pStyle w:val="Artikelberschrift"/>
      </w:pPr>
      <w:r>
        <w:t>Permiso de publicación</w:t>
      </w:r>
    </w:p>
    <w:p w14:paraId="01E0D16A" w14:textId="3D86B3E2" w:rsidR="00C86A55" w:rsidRPr="00D43FA1" w:rsidRDefault="00C86A55" w:rsidP="00B643B8">
      <w:pPr>
        <w:pStyle w:val="JuristischerAbsatznichtnummeriert"/>
      </w:pPr>
      <w:r>
        <w:t>El Ministerio Federal de Alimentación y Agricultura podrá publicar, en el Boletín Oficial Federal, el texto del Decreto sobre los materiales y objetos destinados al contacto con alimentos, en la versión vigente a partir del … [introducir: fecha de entrada en vigor del presente Decreto].</w:t>
      </w:r>
    </w:p>
    <w:p w14:paraId="28CE82C3" w14:textId="25904053" w:rsidR="006444D5" w:rsidRPr="00D43FA1" w:rsidRDefault="00D43FA1" w:rsidP="00D43FA1">
      <w:pPr>
        <w:pStyle w:val="ArtikelBezeichner"/>
        <w:numPr>
          <w:ilvl w:val="0"/>
          <w:numId w:val="0"/>
        </w:numPr>
      </w:pPr>
      <w:r>
        <w:t>Artículo 3</w:t>
      </w:r>
    </w:p>
    <w:p w14:paraId="157B2F9D" w14:textId="77777777" w:rsidR="006444D5" w:rsidRPr="00D43FA1" w:rsidRDefault="006444D5" w:rsidP="00612652">
      <w:pPr>
        <w:pStyle w:val="Artikelberschrift"/>
      </w:pPr>
      <w:r>
        <w:rPr>
          <w:rStyle w:val="Marker"/>
          <w:color w:val="auto"/>
        </w:rPr>
        <w:t>Entrada en vigor</w:t>
      </w:r>
    </w:p>
    <w:p w14:paraId="31DE4A11" w14:textId="77777777" w:rsidR="006444D5" w:rsidRPr="00D43FA1" w:rsidRDefault="00C86A55" w:rsidP="00612652">
      <w:pPr>
        <w:pStyle w:val="JuristischerAbsatznichtnummeriert"/>
      </w:pPr>
      <w:r>
        <w:rPr>
          <w:rStyle w:val="Marker"/>
          <w:color w:val="auto"/>
        </w:rPr>
        <w:t>El presente Decreto entrará en vigor el día siguiente al de su publicación.</w:t>
      </w:r>
    </w:p>
    <w:p w14:paraId="37CC3236" w14:textId="77777777" w:rsidR="006444D5" w:rsidRPr="00D43FA1" w:rsidRDefault="006444D5" w:rsidP="006444D5">
      <w:pPr>
        <w:pStyle w:val="Schlussformel"/>
        <w:rPr>
          <w:rStyle w:val="Marker"/>
          <w:color w:val="auto"/>
        </w:rPr>
      </w:pPr>
      <w:r>
        <w:rPr>
          <w:rStyle w:val="Marker"/>
          <w:color w:val="auto"/>
        </w:rPr>
        <w:t>Aprobado por el Bundesrat alemán.</w:t>
      </w:r>
    </w:p>
    <w:p w14:paraId="2FAF18C3" w14:textId="5D4D10CB" w:rsidR="00646A3B" w:rsidRPr="00D43FA1" w:rsidRDefault="001B10CC" w:rsidP="00646A3B">
      <w:pPr>
        <w:pStyle w:val="OrtDatum"/>
      </w:pPr>
      <w:r>
        <w:t>En Bonn, a ….. de 2020</w:t>
      </w:r>
    </w:p>
    <w:p w14:paraId="6B55ADD4" w14:textId="5958D35B" w:rsidR="00646A3B" w:rsidRPr="00D43FA1" w:rsidRDefault="00646A3B" w:rsidP="00646A3B">
      <w:pPr>
        <w:pStyle w:val="Organisation"/>
        <w:rPr>
          <w:spacing w:val="0"/>
        </w:rPr>
      </w:pPr>
    </w:p>
    <w:p w14:paraId="50FA98AC" w14:textId="24B1EF63" w:rsidR="00646A3B" w:rsidRPr="00C010B9" w:rsidRDefault="00646A3B" w:rsidP="00646A3B">
      <w:pPr>
        <w:pStyle w:val="Organisation"/>
        <w:rPr>
          <w:spacing w:val="0"/>
        </w:rPr>
      </w:pPr>
      <w:r w:rsidRPr="00C010B9">
        <w:rPr>
          <w:spacing w:val="0"/>
        </w:rPr>
        <w:t xml:space="preserve">La Ministra Federal </w:t>
      </w:r>
    </w:p>
    <w:p w14:paraId="38BFE5A9" w14:textId="2AF85087" w:rsidR="00646A3B" w:rsidRPr="00C010B9" w:rsidRDefault="00646A3B" w:rsidP="00646A3B">
      <w:pPr>
        <w:pStyle w:val="Organisation"/>
        <w:rPr>
          <w:spacing w:val="0"/>
        </w:rPr>
      </w:pPr>
      <w:r w:rsidRPr="00C010B9">
        <w:rPr>
          <w:spacing w:val="0"/>
        </w:rPr>
        <w:t>de Alimentación y Agricultura</w:t>
      </w:r>
    </w:p>
    <w:p w14:paraId="390D4D95" w14:textId="18482467" w:rsidR="006444D5" w:rsidRPr="00D43FA1" w:rsidRDefault="006444D5" w:rsidP="00D43FA1">
      <w:pPr>
        <w:pStyle w:val="BegrndungTitel"/>
        <w:keepLines/>
        <w:pageBreakBefore/>
      </w:pPr>
      <w:r>
        <w:lastRenderedPageBreak/>
        <w:t>Exposición de motivos</w:t>
      </w:r>
    </w:p>
    <w:p w14:paraId="4E661150" w14:textId="77777777" w:rsidR="006444D5" w:rsidRPr="00D43FA1" w:rsidRDefault="006444D5" w:rsidP="00D43FA1">
      <w:pPr>
        <w:pStyle w:val="BegrndungAllgemeinerTeil"/>
        <w:keepLines/>
      </w:pPr>
      <w:r>
        <w:t>A. Parte general</w:t>
      </w:r>
    </w:p>
    <w:p w14:paraId="3CB30F24" w14:textId="77777777" w:rsidR="006444D5" w:rsidRPr="00D43FA1" w:rsidRDefault="006444D5" w:rsidP="00D43FA1">
      <w:pPr>
        <w:pStyle w:val="berschriftrmischBegrndung"/>
        <w:keepLines/>
      </w:pPr>
      <w:r>
        <w:t>Finalidad y necesidad de la reglamentación</w:t>
      </w:r>
    </w:p>
    <w:p w14:paraId="3C58B331" w14:textId="65DA7301" w:rsidR="00CB5E99" w:rsidRPr="00D43FA1" w:rsidRDefault="00CB5E99" w:rsidP="00CB5E99">
      <w:pPr>
        <w:pStyle w:val="Text"/>
      </w:pPr>
      <w:r>
        <w:t xml:space="preserve">Los productos alimenticios pueden estar contaminados con aceite mineral, como han demostrado, entre otros, estudios en el marco de un proyecto de investigación financiado por el Ministerio Federal de Alimentación y Agricultura («Grado de migración de sustancias no deseadas provenientes de materiales de embalaje hechos de papel usado a los alimentos» – informe especial «Análisis de "119 productos alimenticios" para detectar sustancias no deseadas provenientes del papel usado», referencia de financiación 2809HS012). Además de otras fuentes de contaminación, una de las principales causas de ello son los envases de alimentos hechos de papel o cartón, especialmente los de papel reciclado. </w:t>
      </w:r>
    </w:p>
    <w:p w14:paraId="31DF33D8" w14:textId="77777777" w:rsidR="00CB5E99" w:rsidRPr="00D43FA1" w:rsidRDefault="00CB5E99" w:rsidP="00CB5E99">
      <w:pPr>
        <w:pStyle w:val="Text"/>
      </w:pPr>
      <w:r>
        <w:t>El aceite mineral puede llegar al papel reciclado a través de la valorización del papel usado. El papel reciclado contiene material fibroso que se obtiene del papel usado (el denominado «material de papel usado»). El papel usado se compone esencialmente de periódicos, papeles publicitarios, revistas, catálogos y otros papeles gráficos, así como de papel de embalaje. Para imprimir sobre estos papeles se utilizan tintas de impresión que, según el proceso de impresión y el área de aplicación, también contienen aceite mineral.</w:t>
      </w:r>
    </w:p>
    <w:p w14:paraId="5AD4C587" w14:textId="1F6D1D80" w:rsidR="00CB5E99" w:rsidRPr="00D43FA1" w:rsidRDefault="00CB5E99" w:rsidP="00CB5E99">
      <w:pPr>
        <w:pStyle w:val="Text"/>
      </w:pPr>
      <w:r>
        <w:t>El aceite mineral se obtiene a partir del petróleo y representa una mezcla compleja que consiste principalmente en hidrocarburos saturados (en forma de cadena y de anillo) y aromáticos (en su mayoría alquilados). En algunos casos, se encontraron cantidades considerables de hidrocarburos de aceites minerales en los productos alimenticios. Estos también contienen hidrocarburos aromáticos de aceites minerales (MOAH). En opinión del Instituto Federal de Evaluación del Riesgo (BfR, por su versión en alemán), debería minimizarse la ingesta de MOAH (por ejemplo, Dictamen BfR n.º 008/2010, Comunicado de prensa BfR 41/2012, Preguntas frecuentes BfR de 30 de noviembre de 2012/26 de noviembre de 2015), ya que no puede descartarse que los MOAH contengan sustancias que, incluso en pequeñas cantidades, pueden perjudicar a la salud (por ejemplo, causar cáncer). La Autoridad Europea de Seguridad Alimentaria (EFSA) también expresó su preocupación, en su dictamen de 3 de mayo de 2012 (EFSA Journal 2012;10(6):2704), con respecto a la exposición a los MOAH debido al posible potencial carcinogénico. La EFSA también descubrió que los envases de alimentos basados en material de papel usado pueden contribuir de manera significativa a la exposición a los hidrocarburos de aceites minerales procedente de los productos alimenticios.</w:t>
      </w:r>
    </w:p>
    <w:p w14:paraId="2FAAA0A3" w14:textId="77777777" w:rsidR="00612652" w:rsidRPr="00C010B9" w:rsidRDefault="00612652">
      <w:pPr>
        <w:pStyle w:val="Text"/>
        <w:rPr>
          <w:spacing w:val="-4"/>
        </w:rPr>
      </w:pPr>
      <w:r w:rsidRPr="00C010B9">
        <w:rPr>
          <w:spacing w:val="-4"/>
        </w:rPr>
        <w:t>El presente Decreto está destinado a mejorar notablemente la protección de los consumidores frente a posibles peligros para la salud provocados por los materiales y objetos destinados al contacto con alimentos hechos de papel o cartón, que se fabrican con material de papel usado y desde los cuales pueden migrar MOAH a los productos alimenticios.</w:t>
      </w:r>
    </w:p>
    <w:p w14:paraId="3FE169D4" w14:textId="0217AD32" w:rsidR="006444D5" w:rsidRPr="00D43FA1" w:rsidRDefault="006444D5">
      <w:pPr>
        <w:pStyle w:val="berschriftrmischBegrndung"/>
      </w:pPr>
      <w:r>
        <w:lastRenderedPageBreak/>
        <w:t>Contenido fundamental</w:t>
      </w:r>
    </w:p>
    <w:p w14:paraId="45A5B0F9" w14:textId="2B0307C3" w:rsidR="00F04D45" w:rsidRPr="007E01A6" w:rsidRDefault="00F04D45" w:rsidP="00C010B9">
      <w:pPr>
        <w:pStyle w:val="Text"/>
        <w:keepLines/>
        <w:rPr>
          <w:szCs w:val="24"/>
        </w:rPr>
      </w:pPr>
      <w:r>
        <w:t>El objetivo de este Decreto consiste en limitar todo lo posible la migración de MOAH de los materiales y objetos destinados al contacto con alimentos hechos de papel o cartón, que se fabrican con material de papel usado, a los productos alimenticios. Una forma adecuada de introducir tal limitación es una barrera funcional. Por lo tanto, se crea una obligación fundamental de proveer los materiales y objetos destinados al contacto con alimentos en cuestión de una barrera funcional de este tipo. Según este Decreto, la funcionalidad de la barrera está determinada por un límite de detección de 0,5 miligramos de MOAH por kilogramo de producto alimenticio para la migración del material u objeto destinado al contacto con alimentos. Al realizar ensayos en simulantes alimentarios, se aplicará un límite de detección de 0,15 miligramos de MOAH por kilogramo de simulante alimentario. Sin embargo, la obligación del fabricante o responsable de la comercialización de materiales y objetos destinados al contacto con alimentos de proveer los materiales y objetos destinados al contacto con alimentos de una barrera funcional no se aplicará si el operador de empresas alimentarias que adquiere el material u objeto destinado al contacto con alimentos, antes del suministro, declara ante el fabricante o el responsable de la comercialización que renuncia al uso de una barrera funcional. En este caso, el operador de empresas alimentarias deberá tomar sus propias medidas para garantizar que no se produzca la migración de MOAH a los productos alimenticios, a menos que existan condiciones especiales, por ejemplo, con respecto a la naturaleza de los alimentos, que impiden la migración de MOAH a los productos alimenticios. La obligación de proveer los materiales y objetos destinados al contacto con alimentos de una barrera funcional tampoco se aplicará si el fabricante o el responsable de la comercialización de los materiales y objetos destinados al contacto con alimentos puede garantizar que se evita la migración de MOAH a los productos alimenticios por otros medios que no sean el uso de una barrera funcional. Este podría ser el caso, por ejemplo, si el contenido de MOAH en el papel o el cartón en sí es tan bajo que no se produce una migración de MOAH a los alimentos por encima del límite de detección.</w:t>
      </w:r>
    </w:p>
    <w:p w14:paraId="00831AD3" w14:textId="77777777" w:rsidR="006444D5" w:rsidRPr="00D43FA1" w:rsidRDefault="006444D5">
      <w:pPr>
        <w:pStyle w:val="berschriftrmischBegrndung"/>
      </w:pPr>
      <w:r>
        <w:t>Alternativas</w:t>
      </w:r>
    </w:p>
    <w:p w14:paraId="40A8C660" w14:textId="77777777" w:rsidR="00CB5E99" w:rsidRPr="00D43FA1" w:rsidRDefault="00E53816" w:rsidP="00CB5E99">
      <w:pPr>
        <w:pStyle w:val="Text"/>
      </w:pPr>
      <w:r>
        <w:t xml:space="preserve">Ninguna. Para proteger la salud de los consumidores y garantizar una manipulación uniforme, se requieren requisitos legales adecuados y la aplicación vinculante de un límite de detección de MOAH en los productos alimenticios. </w:t>
      </w:r>
    </w:p>
    <w:p w14:paraId="25CF33C9" w14:textId="77777777" w:rsidR="00F279DE" w:rsidRPr="00D43FA1" w:rsidRDefault="00F279DE">
      <w:pPr>
        <w:pStyle w:val="berschriftrmischBegrndung"/>
      </w:pPr>
      <w:r>
        <w:t>Competencia legislativa</w:t>
      </w:r>
    </w:p>
    <w:p w14:paraId="19025BF8" w14:textId="613F8FF1" w:rsidR="00F279DE" w:rsidRPr="00D43FA1" w:rsidRDefault="007525FC" w:rsidP="00F279DE">
      <w:pPr>
        <w:pStyle w:val="Text"/>
      </w:pPr>
      <w:r>
        <w:t>El Ministerio Federal de Alimentación y Agricultura está autorizado a adoptar el presente Decreto en virtud del artículo 31, apartado 2, frase primera, punto 2, del Código de Alimentos y Piensos (LFGB, por su versión en alemán), también en relación con el artículo 4, apartado 2, punto 2, y el artículo 46, apartado 2, frase primera, punto 1, letra a), del Código de Alimentos y Piensos, así como el artículo 34, frase primera, punto 2, también en relación con el artículo 4, apartado 2, punto 2, del Código de Alimentos y Piensos.</w:t>
      </w:r>
    </w:p>
    <w:p w14:paraId="0A8F0A8B" w14:textId="77777777" w:rsidR="00CD79FA" w:rsidRPr="00D43FA1" w:rsidRDefault="00CD79FA">
      <w:pPr>
        <w:pStyle w:val="berschriftrmischBegrndung"/>
      </w:pPr>
      <w:r>
        <w:lastRenderedPageBreak/>
        <w:t>Compatibilidad con la legislación de la Unión Europea y los acuerdos regidos por el Derecho internacional</w:t>
      </w:r>
    </w:p>
    <w:p w14:paraId="2C943AFB" w14:textId="0C4761B7" w:rsidR="00CD79FA" w:rsidRPr="00C010B9" w:rsidRDefault="00CD79FA" w:rsidP="00C010B9">
      <w:pPr>
        <w:pStyle w:val="Text"/>
        <w:keepLines/>
        <w:rPr>
          <w:spacing w:val="-4"/>
        </w:rPr>
      </w:pPr>
      <w:r w:rsidRPr="00C010B9">
        <w:rPr>
          <w:spacing w:val="-4"/>
        </w:rPr>
        <w:t>La legislación de la UE sobre materiales y objetos destinados al contacto con alimentos aún no se ha armonizado completamente. El Reglamento (CE) n.º 1935/2004 establece requisitos generales. Sin embargo, hasta ahora solo han existido medidas específicas para grupos de materiales concretos. El artículo 6 del Reglamento (CE) n.º 1935/2004 permite a los Estados miembros de la UE mantener o adoptar disposiciones nacionales en el caso de los grupos de materiales y objetos para los que no se han tomado medidas específicas a escala de la UE. No existen tales medidas específicas de la UE para los materiales y objetos destinados al contacto con alimentos hechos de papel o cartón, ya sea de fibra virgen o de material de papel usado. En este sentido, se garantiza la compatibilidad con la legislación de la UE. Los acuerdos regidos por el Derecho internacional no se ven afectados.</w:t>
      </w:r>
    </w:p>
    <w:p w14:paraId="4DA789C5" w14:textId="77777777" w:rsidR="006444D5" w:rsidRPr="00D43FA1" w:rsidRDefault="006444D5">
      <w:pPr>
        <w:pStyle w:val="berschriftrmischBegrndung"/>
      </w:pPr>
      <w:r>
        <w:t>Repercusiones de la legislación</w:t>
      </w:r>
    </w:p>
    <w:p w14:paraId="2F5D3B8F" w14:textId="77777777" w:rsidR="009809AB" w:rsidRPr="00D43FA1" w:rsidRDefault="009809AB">
      <w:pPr>
        <w:pStyle w:val="berschriftarabischBegrndung"/>
      </w:pPr>
      <w:r>
        <w:t>Simplificación legal y administrativa</w:t>
      </w:r>
    </w:p>
    <w:p w14:paraId="26C2B37E" w14:textId="16E58B47" w:rsidR="009809AB" w:rsidRPr="00D43FA1" w:rsidRDefault="009809AB" w:rsidP="009809AB">
      <w:pPr>
        <w:pStyle w:val="Text"/>
      </w:pPr>
      <w:r>
        <w:t xml:space="preserve">Este Decreto no prevé la simplificación o derogación de reglamentaciones. No obstante, se armonizan los requisitos para evitar la migración de MOAH de los materiales y objetos destinados al contacto con alimentos hechos de papel o cartón que contienen material de papel usado, lo que mejorará significativamente la seguridad jurídica tanto para las autoridades competentes de los Estados federados como para las empresas en cuestión. </w:t>
      </w:r>
    </w:p>
    <w:p w14:paraId="166CBABF" w14:textId="77777777" w:rsidR="006444D5" w:rsidRPr="00D43FA1" w:rsidRDefault="006444D5">
      <w:pPr>
        <w:pStyle w:val="berschriftarabischBegrndung"/>
      </w:pPr>
      <w:r>
        <w:t>Aspectos de sostenibilidad</w:t>
      </w:r>
    </w:p>
    <w:p w14:paraId="64450049" w14:textId="6C431023" w:rsidR="00612652" w:rsidRPr="00C010B9" w:rsidRDefault="00B269E6">
      <w:pPr>
        <w:pStyle w:val="Text"/>
        <w:rPr>
          <w:spacing w:val="-4"/>
        </w:rPr>
      </w:pPr>
      <w:r w:rsidRPr="00C010B9">
        <w:rPr>
          <w:spacing w:val="-4"/>
        </w:rPr>
        <w:t xml:space="preserve">Se ha llevado a cabo una evaluación de sostenibilidad conforme al artículo 44, apartado 1, frase cuarta, del Reglamento interno común de los ministerios federales (GGO, por su versión en alemán). Las presentes reglamentaciones son sostenibles en el sentido de la estrategia alemana de sostenibilidad. En particular, es relevante el Objetivo de Desarrollo Sostenible 3, «Garantizar una vida sana y promover el bienestar para todos en todas las edades». Además, se tiene en cuenta el Principio de desarrollo sostenible n.º 3, letra b), «Evitar peligros y riesgos inaceptables para la salud humana». Asimismo, se contribuye al objetivo global 12, «Garantizar modalidades de consumo y producción sostenibles». En aras de la sostenibilidad, también será posible en el futuro el uso de materiales de reciclado para los materiales y objetos destinados al contacto con alimentos hechos de papel o cartón, siempre que se cumplan los requisitos de protección del consumidor especificados en este Decreto. El Decreto garantiza que los consumidores no se vean afectados negativamente por los componentes de aceite mineral de los materiales y objetos destinados al contacto con alimentos hechos de papel o cartón, que se hayan fabricado con material de papel usado. Sirve para proteger la salud del consumidor y, con ello, contribuye al desarrollo sostenible. </w:t>
      </w:r>
    </w:p>
    <w:p w14:paraId="4628D4A0" w14:textId="77777777" w:rsidR="006444D5" w:rsidRPr="00D43FA1" w:rsidRDefault="006444D5">
      <w:pPr>
        <w:pStyle w:val="berschriftarabischBegrndung"/>
      </w:pPr>
      <w:r>
        <w:t>Gastos presupuestarios sin costes de cumplimiento</w:t>
      </w:r>
    </w:p>
    <w:p w14:paraId="2771CB61" w14:textId="77777777" w:rsidR="003923C4" w:rsidRPr="00D43FA1" w:rsidRDefault="00CB5E99">
      <w:pPr>
        <w:pStyle w:val="Text"/>
      </w:pPr>
      <w:r>
        <w:t>Los presupuestos públicos no se ven afectados por gastos presupuestarios sin costes de ejecución.</w:t>
      </w:r>
    </w:p>
    <w:p w14:paraId="53940621" w14:textId="77777777" w:rsidR="006444D5" w:rsidRPr="00D43FA1" w:rsidRDefault="006444D5" w:rsidP="0070360F">
      <w:pPr>
        <w:pStyle w:val="berschriftarabischBegrndung"/>
        <w:keepLines/>
      </w:pPr>
      <w:r>
        <w:lastRenderedPageBreak/>
        <w:t>Costes de cumplimiento</w:t>
      </w:r>
    </w:p>
    <w:p w14:paraId="70BBFB2C" w14:textId="77777777" w:rsidR="00D25113" w:rsidRPr="00D43FA1" w:rsidRDefault="00D25113" w:rsidP="0070360F">
      <w:pPr>
        <w:pStyle w:val="Text"/>
        <w:keepNext/>
        <w:keepLines/>
        <w:rPr>
          <w:u w:val="single"/>
        </w:rPr>
      </w:pPr>
      <w:r>
        <w:rPr>
          <w:u w:val="single"/>
        </w:rPr>
        <w:t>a) Costes de cumplimiento para la Administración</w:t>
      </w:r>
    </w:p>
    <w:p w14:paraId="769FC95B" w14:textId="77777777" w:rsidR="00612652" w:rsidRPr="00D43FA1" w:rsidRDefault="00612652" w:rsidP="0070360F">
      <w:pPr>
        <w:pStyle w:val="Text"/>
        <w:keepNext/>
        <w:keepLines/>
      </w:pPr>
      <w:r>
        <w:t xml:space="preserve">El Decreto no genera costes adicionales para la Administración del Estado federal. </w:t>
      </w:r>
    </w:p>
    <w:p w14:paraId="6AFCAA5B" w14:textId="77777777" w:rsidR="00AD0A9D" w:rsidRPr="00D43FA1" w:rsidRDefault="006A578D" w:rsidP="0070360F">
      <w:pPr>
        <w:pStyle w:val="Text"/>
        <w:keepNext/>
        <w:keepLines/>
      </w:pPr>
      <w:r>
        <w:t>Sobre la base de la información proporcionada por los Estados federados, como consecuencia del Decreto, la Administración de los Estados federados incurre en los siguientes costes adicionales de cumplimiento debido a actividades adicionales de supervisión y control:</w:t>
      </w:r>
    </w:p>
    <w:tbl>
      <w:tblPr>
        <w:tblStyle w:val="TableGrid"/>
        <w:tblW w:w="0" w:type="auto"/>
        <w:tblLook w:val="04A0" w:firstRow="1" w:lastRow="0" w:firstColumn="1" w:lastColumn="0" w:noHBand="0" w:noVBand="1"/>
      </w:tblPr>
      <w:tblGrid>
        <w:gridCol w:w="4381"/>
        <w:gridCol w:w="4398"/>
      </w:tblGrid>
      <w:tr w:rsidR="00AD0A9D" w:rsidRPr="00D43FA1" w14:paraId="6E6BEC6C" w14:textId="77777777" w:rsidTr="007905CF">
        <w:tc>
          <w:tcPr>
            <w:tcW w:w="4464" w:type="dxa"/>
          </w:tcPr>
          <w:p w14:paraId="7A206076" w14:textId="77777777" w:rsidR="00AD0A9D" w:rsidRPr="00D43FA1" w:rsidRDefault="00E77C05" w:rsidP="007905CF">
            <w:pPr>
              <w:pStyle w:val="Text"/>
            </w:pPr>
            <w:r>
              <w:t>Costes de material únicos</w:t>
            </w:r>
          </w:p>
        </w:tc>
        <w:tc>
          <w:tcPr>
            <w:tcW w:w="4465" w:type="dxa"/>
          </w:tcPr>
          <w:p w14:paraId="4721955D" w14:textId="77777777" w:rsidR="00AD0A9D" w:rsidRPr="00D43FA1" w:rsidRDefault="00AD0A9D" w:rsidP="009969BE">
            <w:pPr>
              <w:pStyle w:val="Text"/>
              <w:jc w:val="left"/>
            </w:pPr>
            <w:r>
              <w:t>aprox.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Costes de personal únicos</w:t>
            </w:r>
          </w:p>
        </w:tc>
        <w:tc>
          <w:tcPr>
            <w:tcW w:w="4465" w:type="dxa"/>
          </w:tcPr>
          <w:p w14:paraId="38C1D206" w14:textId="77777777" w:rsidR="00AD0A9D" w:rsidRPr="00D43FA1" w:rsidRDefault="00AD0A9D" w:rsidP="009969BE">
            <w:pPr>
              <w:pStyle w:val="Text"/>
              <w:jc w:val="left"/>
            </w:pPr>
            <w:r>
              <w:t>aprox.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Costes de material anuales</w:t>
            </w:r>
          </w:p>
        </w:tc>
        <w:tc>
          <w:tcPr>
            <w:tcW w:w="4465" w:type="dxa"/>
          </w:tcPr>
          <w:p w14:paraId="4080915D" w14:textId="77777777" w:rsidR="00AD0A9D" w:rsidRPr="00D43FA1" w:rsidRDefault="00AD0A9D" w:rsidP="009969BE">
            <w:pPr>
              <w:pStyle w:val="Text"/>
              <w:jc w:val="left"/>
            </w:pPr>
            <w:r>
              <w:t>aprox.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Costes de personal anuales</w:t>
            </w:r>
          </w:p>
        </w:tc>
        <w:tc>
          <w:tcPr>
            <w:tcW w:w="4465" w:type="dxa"/>
          </w:tcPr>
          <w:p w14:paraId="21ABAEB6" w14:textId="77777777" w:rsidR="00AD0A9D" w:rsidRPr="00D43FA1" w:rsidRDefault="00AD0A9D" w:rsidP="000636B3">
            <w:pPr>
              <w:pStyle w:val="Text"/>
              <w:jc w:val="left"/>
            </w:pPr>
            <w:r>
              <w:t>aprox. 292 000 EUR</w:t>
            </w:r>
          </w:p>
        </w:tc>
      </w:tr>
    </w:tbl>
    <w:p w14:paraId="6B8CCD1C" w14:textId="77777777" w:rsidR="00E6133B" w:rsidRPr="00D43FA1" w:rsidRDefault="00E6133B" w:rsidP="00612652">
      <w:pPr>
        <w:pStyle w:val="Text"/>
      </w:pPr>
      <w:r>
        <w:t xml:space="preserve">Esto da como resultado unos costes de cumplimiento promedios únicos de 236 200 EUR y unos costes de cumplimiento promedios anuales de 74 400 EUR. </w:t>
      </w:r>
    </w:p>
    <w:p w14:paraId="525979E7" w14:textId="108FCA64" w:rsidR="00891D8C" w:rsidRPr="007E01A6" w:rsidRDefault="007C7B00" w:rsidP="00E24BD3">
      <w:pPr>
        <w:pStyle w:val="Text"/>
      </w:pPr>
      <w:r>
        <w:t xml:space="preserve">Estos costes se componen de los siguientes elementos de acuerdo con los detalles individuales de los Estados federados que se indican a continuación. No todos los Estados federados notificaron repercusiones financieras causadas por el Decreto. Esto puede deberse, por ejemplo, a que los ensayos pertinentes no se realicen inicialmente o se lleven a cabo en cooperación con otros Estados federados. </w:t>
      </w:r>
    </w:p>
    <w:p w14:paraId="4DA66B7C" w14:textId="77777777" w:rsidR="007C7B00" w:rsidRPr="00D43FA1" w:rsidRDefault="007C7B00" w:rsidP="0070360F">
      <w:pPr>
        <w:pStyle w:val="Text"/>
        <w:keepNext/>
        <w:keepLines/>
        <w:tabs>
          <w:tab w:val="left" w:pos="0"/>
        </w:tabs>
        <w:spacing w:before="0" w:after="0"/>
        <w:rPr>
          <w:u w:val="single"/>
        </w:rPr>
      </w:pPr>
      <w:r>
        <w:rPr>
          <w:u w:val="single"/>
        </w:rPr>
        <w:t>Baden-Württemberg:</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77"/>
        <w:gridCol w:w="4402"/>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Costes de material únicos</w:t>
            </w:r>
          </w:p>
        </w:tc>
        <w:tc>
          <w:tcPr>
            <w:tcW w:w="4465" w:type="dxa"/>
          </w:tcPr>
          <w:p w14:paraId="633997F1" w14:textId="77777777" w:rsidR="009969BE" w:rsidRPr="00D43FA1" w:rsidRDefault="000636B3" w:rsidP="000636B3">
            <w:pPr>
              <w:pStyle w:val="Text"/>
            </w:pPr>
            <w:r>
              <w:t xml:space="preserve">220 000 EUR (adquisición de equipos)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Costes de personal únicos </w:t>
            </w:r>
          </w:p>
        </w:tc>
        <w:tc>
          <w:tcPr>
            <w:tcW w:w="4465" w:type="dxa"/>
          </w:tcPr>
          <w:p w14:paraId="65DA8490" w14:textId="77777777" w:rsidR="009969BE" w:rsidRPr="00D43FA1" w:rsidRDefault="000636B3" w:rsidP="000636B3">
            <w:pPr>
              <w:pStyle w:val="Text"/>
              <w:tabs>
                <w:tab w:val="left" w:pos="0"/>
              </w:tabs>
              <w:jc w:val="left"/>
            </w:pPr>
            <w:r>
              <w:t>35 000 EUR (establecimiento de un análisis estandarizado sin medir muestras rutinarias)</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Costes de material anuales</w:t>
            </w:r>
          </w:p>
        </w:tc>
        <w:tc>
          <w:tcPr>
            <w:tcW w:w="4465" w:type="dxa"/>
          </w:tcPr>
          <w:p w14:paraId="77320B51" w14:textId="77777777" w:rsidR="009969BE" w:rsidRPr="00D43FA1" w:rsidRDefault="009969BE" w:rsidP="000636B3">
            <w:pPr>
              <w:pStyle w:val="Text"/>
              <w:jc w:val="left"/>
            </w:pPr>
            <w:r>
              <w:t>aprox.10 000 EUR (estimación) (mantenimiento de equipos, material fungible, reparaciones, etc.)</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Costes de personal anuales</w:t>
            </w:r>
          </w:p>
        </w:tc>
        <w:tc>
          <w:tcPr>
            <w:tcW w:w="4465" w:type="dxa"/>
          </w:tcPr>
          <w:p w14:paraId="440A534D" w14:textId="6BDB973C" w:rsidR="000636B3" w:rsidRPr="00D43FA1" w:rsidRDefault="000636B3" w:rsidP="00E24BD3">
            <w:pPr>
              <w:contextualSpacing/>
              <w:jc w:val="left"/>
            </w:pPr>
            <w:r>
              <w:t>aprox. 60 000 EUR (suponiendo una asignación del 50 % de un asistente técnico-químico y de un jefe de laboratorio; los costes de personal anuales reales dependen del número real de muestras y del esfuerzo real necesario para la revisión de documentos).</w:t>
            </w:r>
          </w:p>
        </w:tc>
      </w:tr>
    </w:tbl>
    <w:p w14:paraId="08E5AD35" w14:textId="2F20F6E7" w:rsidR="007C7B00" w:rsidRPr="00D43FA1" w:rsidRDefault="007C7B00" w:rsidP="009969BE">
      <w:pPr>
        <w:pStyle w:val="Text"/>
        <w:spacing w:before="0" w:after="0"/>
      </w:pPr>
    </w:p>
    <w:p w14:paraId="37B8C963" w14:textId="77777777" w:rsidR="00D43FA1" w:rsidRDefault="007C7B00" w:rsidP="00BE6637">
      <w:pPr>
        <w:pStyle w:val="ListParagraph"/>
        <w:ind w:left="0"/>
        <w:contextualSpacing/>
        <w:rPr>
          <w:rFonts w:ascii="Arial" w:hAnsi="Arial" w:cs="Arial"/>
          <w:sz w:val="22"/>
          <w:szCs w:val="22"/>
        </w:rPr>
      </w:pPr>
      <w:r>
        <w:rPr>
          <w:rFonts w:ascii="Arial" w:hAnsi="Arial"/>
          <w:sz w:val="22"/>
        </w:rPr>
        <w:t xml:space="preserve">Los costes nombrados incluyen el esfuerzo para el análisis y los costes de solo una parte de la revisión de documentos en la instalación de ensayo, ya que no hay obligación de registrar empresas en el ámbito de la fabricación y la comercialización de materiales y objetos destinados al contacto con alimentos y, por consiguiente, no hay datos completos sobre el número de tales fabricantes y responsables de la comercialización de los materiales y objetos destinados al contacto con alimentos cubiertos por el Decreto.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lastRenderedPageBreak/>
        <w:t>Baviera:</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3"/>
        <w:gridCol w:w="4396"/>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Costes de material únicos</w:t>
            </w:r>
          </w:p>
        </w:tc>
        <w:tc>
          <w:tcPr>
            <w:tcW w:w="4465" w:type="dxa"/>
          </w:tcPr>
          <w:p w14:paraId="368558E6" w14:textId="77777777" w:rsidR="000636B3" w:rsidRPr="00D43FA1" w:rsidRDefault="000636B3" w:rsidP="000636B3">
            <w:pPr>
              <w:pStyle w:val="Text"/>
              <w:rPr>
                <w:color w:val="000000"/>
              </w:rPr>
            </w:pPr>
            <w:r>
              <w:rPr>
                <w:color w:val="000000"/>
              </w:rPr>
              <w:t xml:space="preserve">aprox.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Costes de personal anuales</w:t>
            </w:r>
          </w:p>
        </w:tc>
        <w:tc>
          <w:tcPr>
            <w:tcW w:w="4465" w:type="dxa"/>
          </w:tcPr>
          <w:p w14:paraId="670B56AD" w14:textId="77777777" w:rsidR="000636B3" w:rsidRPr="00D43FA1" w:rsidRDefault="000636B3" w:rsidP="000636B3">
            <w:pPr>
              <w:pStyle w:val="Text"/>
              <w:rPr>
                <w:color w:val="000000"/>
              </w:rPr>
            </w:pPr>
            <w:r>
              <w:rPr>
                <w:color w:val="000000"/>
              </w:rPr>
              <w:t xml:space="preserve">aprox.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Costes de material anuales </w:t>
            </w:r>
          </w:p>
        </w:tc>
        <w:tc>
          <w:tcPr>
            <w:tcW w:w="4465" w:type="dxa"/>
          </w:tcPr>
          <w:p w14:paraId="3AA9289D" w14:textId="77777777" w:rsidR="000636B3" w:rsidRPr="00D43FA1" w:rsidRDefault="000636B3" w:rsidP="000636B3">
            <w:pPr>
              <w:pStyle w:val="Text"/>
              <w:rPr>
                <w:color w:val="000000"/>
              </w:rPr>
            </w:pPr>
            <w:r>
              <w:rPr>
                <w:color w:val="000000"/>
              </w:rPr>
              <w:t xml:space="preserve">aprox.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Baja Sajonia:</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3"/>
        <w:gridCol w:w="4396"/>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Costes de material únicos </w:t>
            </w:r>
          </w:p>
        </w:tc>
        <w:tc>
          <w:tcPr>
            <w:tcW w:w="4465" w:type="dxa"/>
          </w:tcPr>
          <w:p w14:paraId="3E9249EF" w14:textId="7A6FADAD" w:rsidR="0092712D" w:rsidRPr="00D43FA1" w:rsidRDefault="0092712D" w:rsidP="00CB2B7C">
            <w:pPr>
              <w:spacing w:before="0" w:after="0"/>
              <w:jc w:val="left"/>
            </w:pPr>
            <w:r>
              <w:t>170 000 EUR (costes de equipos para el acoplamiento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Costes anuales</w:t>
            </w:r>
          </w:p>
        </w:tc>
        <w:tc>
          <w:tcPr>
            <w:tcW w:w="4465" w:type="dxa"/>
          </w:tcPr>
          <w:p w14:paraId="51489E53" w14:textId="640CCC19" w:rsidR="0092712D" w:rsidRPr="00D43FA1" w:rsidRDefault="0092712D" w:rsidP="00CB2B7C">
            <w:pPr>
              <w:pStyle w:val="Text"/>
              <w:spacing w:before="0" w:after="0"/>
              <w:jc w:val="left"/>
              <w:rPr>
                <w:u w:val="single"/>
              </w:rPr>
            </w:pPr>
            <w:r>
              <w:t>52 000 EUR (sobre la base de 200 muestras que deben examinarse y 40 revisiones de documentos por año</w:t>
            </w:r>
            <w:r>
              <w:rPr>
                <w:rFonts w:ascii="Calibri" w:hAnsi="Calibri"/>
              </w:rPr>
              <w:t>)</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Schleswig-Holstein:</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3"/>
        <w:gridCol w:w="4396"/>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Costes de material únicos</w:t>
            </w:r>
          </w:p>
        </w:tc>
        <w:tc>
          <w:tcPr>
            <w:tcW w:w="4465" w:type="dxa"/>
          </w:tcPr>
          <w:p w14:paraId="48B6D078" w14:textId="77777777" w:rsidR="0092712D" w:rsidRPr="00D43FA1" w:rsidRDefault="0092712D" w:rsidP="00CB2B7C">
            <w:pPr>
              <w:pStyle w:val="Text"/>
              <w:jc w:val="left"/>
              <w:rPr>
                <w:color w:val="000000"/>
              </w:rPr>
            </w:pPr>
            <w:r>
              <w:rPr>
                <w:color w:val="000000"/>
              </w:rPr>
              <w:t>238 000 EUR (costes de equipos para el acoplamiento LC-GC; el equipo se adquirió en marzo/abril de 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Costes de personal únicos </w:t>
            </w:r>
          </w:p>
        </w:tc>
        <w:tc>
          <w:tcPr>
            <w:tcW w:w="4465" w:type="dxa"/>
          </w:tcPr>
          <w:p w14:paraId="5F896AF4" w14:textId="77777777" w:rsidR="0092712D" w:rsidRPr="00D43FA1" w:rsidRDefault="0092712D" w:rsidP="0092712D">
            <w:pPr>
              <w:pStyle w:val="Text"/>
              <w:rPr>
                <w:color w:val="000000"/>
              </w:rPr>
            </w:pPr>
            <w:r>
              <w:rPr>
                <w:color w:val="000000"/>
              </w:rPr>
              <w:t>5 000 EUR (formación continua)</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Costes de personal anuales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aprox. 70 000 EUR (0,5 puestos para personal científico E14,</w:t>
            </w:r>
          </w:p>
          <w:p w14:paraId="093480AE" w14:textId="77777777" w:rsidR="0092712D" w:rsidRPr="00D43FA1" w:rsidRDefault="0092712D" w:rsidP="0092712D">
            <w:pPr>
              <w:pStyle w:val="Text"/>
              <w:tabs>
                <w:tab w:val="left" w:pos="2694"/>
              </w:tabs>
              <w:spacing w:before="0"/>
              <w:rPr>
                <w:color w:val="000000"/>
              </w:rPr>
            </w:pPr>
            <w:r>
              <w:rPr>
                <w:color w:val="000000"/>
              </w:rPr>
              <w:t>1 puesto de empleado técnico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t>Sajonia:</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1"/>
        <w:gridCol w:w="4398"/>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Costes de material únicos</w:t>
            </w:r>
          </w:p>
        </w:tc>
        <w:tc>
          <w:tcPr>
            <w:tcW w:w="4465" w:type="dxa"/>
          </w:tcPr>
          <w:p w14:paraId="071DBD33" w14:textId="77777777" w:rsidR="00891D8C" w:rsidRPr="00D43FA1" w:rsidRDefault="00891D8C" w:rsidP="00CB2B7C">
            <w:pPr>
              <w:pStyle w:val="Text"/>
              <w:tabs>
                <w:tab w:val="left" w:pos="0"/>
              </w:tabs>
              <w:jc w:val="left"/>
            </w:pPr>
            <w:r>
              <w:t>230 000 EUR (adquisición de equipos)</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Costes de personal únicos</w:t>
            </w:r>
          </w:p>
        </w:tc>
        <w:tc>
          <w:tcPr>
            <w:tcW w:w="4465" w:type="dxa"/>
          </w:tcPr>
          <w:p w14:paraId="6E7CBC6B" w14:textId="77777777" w:rsidR="00891D8C" w:rsidRPr="00D43FA1" w:rsidRDefault="00891D8C" w:rsidP="00CB2B7C">
            <w:pPr>
              <w:pStyle w:val="Text"/>
              <w:jc w:val="left"/>
              <w:rPr>
                <w:color w:val="000000"/>
                <w:u w:val="single"/>
              </w:rPr>
            </w:pPr>
            <w:r>
              <w:t>83 000 EUR (0,5 EJC grupo salarial Ü13 y 1,0 EJC grupo salarial 6 en la fase de familiarización con el equipo de análisis en cuestión y para la aplicación del método)</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Costes de material anuales </w:t>
            </w:r>
          </w:p>
        </w:tc>
        <w:tc>
          <w:tcPr>
            <w:tcW w:w="4465" w:type="dxa"/>
          </w:tcPr>
          <w:p w14:paraId="3563608C" w14:textId="77777777" w:rsidR="00891D8C" w:rsidRPr="00D43FA1" w:rsidRDefault="00891D8C" w:rsidP="00CB2B7C">
            <w:pPr>
              <w:pStyle w:val="Text"/>
              <w:tabs>
                <w:tab w:val="left" w:pos="0"/>
              </w:tabs>
              <w:jc w:val="left"/>
              <w:rPr>
                <w:color w:val="000000"/>
                <w:u w:val="single"/>
              </w:rPr>
            </w:pPr>
            <w:r>
              <w:t>aprox. entre 6 000 EUR y 8 000 EUR (mantenimiento de equipos, material fungible, reparaciones)</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Costes de personal anuales </w:t>
            </w:r>
          </w:p>
        </w:tc>
        <w:tc>
          <w:tcPr>
            <w:tcW w:w="4465" w:type="dxa"/>
          </w:tcPr>
          <w:p w14:paraId="09C3AC3F" w14:textId="77777777" w:rsidR="00891D8C" w:rsidRPr="00D43FA1" w:rsidRDefault="00891D8C" w:rsidP="00CB2B7C">
            <w:pPr>
              <w:pStyle w:val="Text"/>
              <w:tabs>
                <w:tab w:val="left" w:pos="0"/>
              </w:tabs>
              <w:jc w:val="left"/>
              <w:rPr>
                <w:color w:val="000000"/>
                <w:u w:val="single"/>
              </w:rPr>
            </w:pPr>
            <w:r>
              <w:t>aprox. 90 000 EUR (2,0 EJC grupo salarial 6 en el funcionamiento rutinario)</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color w:val="000000"/>
          <w:u w:val="single"/>
        </w:rPr>
        <w:t>Sajonia-Anhalt</w:t>
      </w:r>
      <w:r>
        <w:rPr>
          <w:color w:val="000000"/>
        </w:rPr>
        <w:t xml:space="preserve"> </w:t>
      </w:r>
      <w:r>
        <w:t>aún no ha podido cuantificar los costes únicos y recurrentes.</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u w:val="single"/>
        </w:rPr>
        <w:t>Turingia</w:t>
      </w:r>
      <w:r>
        <w:rPr>
          <w:color w:val="000000"/>
        </w:rPr>
        <w:t xml:space="preserve"> indicó que es probable que se produzcan costes únicos en cantidades nada despreciables. Una especificación detallada de los costes no es factible para Turingia en esta etapa.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Costes de cumplimiento para las empresas</w:t>
      </w:r>
    </w:p>
    <w:p w14:paraId="1AC16888" w14:textId="187C182C" w:rsidR="00755B7A" w:rsidRPr="00D43FA1" w:rsidRDefault="004D5050" w:rsidP="007C7B00">
      <w:pPr>
        <w:pStyle w:val="Text"/>
      </w:pPr>
      <w:r>
        <w:t>En lo que respecta a los costes de cumplimiento para las empresas, el Decreto genera costes adicionales, en particular, para las pequeñas y medianas empresas. Dado que el problema de la contaminación de los alimentos con componentes de aceite mineral de materiales y objetos destinados al contacto con alimentos se conoce desde hace tiempo, ya se han transformado varios envases, por ejemplo, mediante el uso de bolsas intermedias, revestimientos o fibras vírgenes en lugar de fibras a base de material de papel usado. Sin embargo, ahora también será necesario modificar una proporción adicional considerable de materiales y objetos destinados al contacto con alimentos, a menos que se aplique la excepción prevista.</w:t>
      </w:r>
    </w:p>
    <w:p w14:paraId="08D3E308" w14:textId="77777777" w:rsidR="0082568F" w:rsidRPr="00D43FA1" w:rsidRDefault="0082568F" w:rsidP="007C7B00">
      <w:pPr>
        <w:pStyle w:val="Text"/>
      </w:pPr>
      <w:r>
        <w:t xml:space="preserve">Una estimación </w:t>
      </w:r>
      <w:r>
        <w:rPr>
          <w:i/>
          <w:iCs/>
        </w:rPr>
        <w:t>ex ante</w:t>
      </w:r>
      <w:r>
        <w:t xml:space="preserve"> de la Oficina Federal de Estadística indicó unos costes de cumplimiento únicos (costes de adaptación) de alrededor de 9 280 000 EUR y unos costes de cumplimiento adicionales anuales de alrededor de 8 160 000 EUR. La Oficina Federal de Estadística estima que las dos nuevas obligaciones de información previstas (la declaración escrita o electrónica cuando se renuncia a una barrera funcional según el artículo 6 </w:t>
      </w:r>
      <w:r>
        <w:rPr>
          <w:i/>
          <w:iCs/>
        </w:rPr>
        <w:t>bis</w:t>
      </w:r>
      <w:r>
        <w:t xml:space="preserve">, apartado 3, y la obligación de demostrar la exclusión de la migración de MOAH según el artículo 6 </w:t>
      </w:r>
      <w:r>
        <w:rPr>
          <w:i/>
          <w:iCs/>
        </w:rPr>
        <w:t>bis</w:t>
      </w:r>
      <w:r>
        <w:t xml:space="preserve">, apartado 5) solo darán como resultado costes reducidos. </w:t>
      </w:r>
    </w:p>
    <w:p w14:paraId="43B9512B" w14:textId="77777777" w:rsidR="006B7BFE" w:rsidRPr="00D43FA1" w:rsidRDefault="006B7BFE" w:rsidP="0070360F">
      <w:pPr>
        <w:pStyle w:val="Text"/>
        <w:keepNext/>
        <w:keepLines/>
      </w:pPr>
      <w:r>
        <w:rPr>
          <w:b/>
        </w:rPr>
        <w:t xml:space="preserve">Tabla 1: Resumen de los costes de cumplimiento </w:t>
      </w:r>
    </w:p>
    <w:tbl>
      <w:tblPr>
        <w:tblStyle w:val="TableGrid"/>
        <w:tblW w:w="0" w:type="auto"/>
        <w:tblLayout w:type="fixed"/>
        <w:tblLook w:val="04A0" w:firstRow="1" w:lastRow="0" w:firstColumn="1" w:lastColumn="0" w:noHBand="0" w:noVBand="1"/>
      </w:tblPr>
      <w:tblGrid>
        <w:gridCol w:w="1530"/>
        <w:gridCol w:w="3470"/>
        <w:gridCol w:w="1912"/>
        <w:gridCol w:w="2093"/>
      </w:tblGrid>
      <w:tr w:rsidR="0082568F" w:rsidRPr="00C010B9" w14:paraId="720AC6FB" w14:textId="77777777" w:rsidTr="00295A54">
        <w:tc>
          <w:tcPr>
            <w:tcW w:w="1530" w:type="dxa"/>
          </w:tcPr>
          <w:p w14:paraId="376BBF5B" w14:textId="2A2748C7" w:rsidR="0082568F" w:rsidRPr="00C010B9" w:rsidRDefault="0082568F" w:rsidP="0070360F">
            <w:pPr>
              <w:pStyle w:val="Text"/>
              <w:keepNext/>
              <w:keepLines/>
              <w:jc w:val="center"/>
              <w:rPr>
                <w:b/>
                <w:spacing w:val="-4"/>
              </w:rPr>
            </w:pPr>
            <w:proofErr w:type="spellStart"/>
            <w:r w:rsidRPr="00C010B9">
              <w:rPr>
                <w:b/>
                <w:spacing w:val="-4"/>
              </w:rPr>
              <w:t>Reglamen</w:t>
            </w:r>
            <w:r w:rsidR="00C010B9">
              <w:rPr>
                <w:b/>
                <w:spacing w:val="-4"/>
              </w:rPr>
              <w:t>-</w:t>
            </w:r>
            <w:r w:rsidRPr="00C010B9">
              <w:rPr>
                <w:b/>
                <w:spacing w:val="-4"/>
              </w:rPr>
              <w:t>tación</w:t>
            </w:r>
            <w:proofErr w:type="spellEnd"/>
          </w:p>
        </w:tc>
        <w:tc>
          <w:tcPr>
            <w:tcW w:w="3470" w:type="dxa"/>
          </w:tcPr>
          <w:p w14:paraId="3B98CCA4" w14:textId="77777777" w:rsidR="0082568F" w:rsidRPr="00C010B9" w:rsidRDefault="0082568F" w:rsidP="0070360F">
            <w:pPr>
              <w:pStyle w:val="Text"/>
              <w:keepNext/>
              <w:keepLines/>
              <w:jc w:val="center"/>
              <w:rPr>
                <w:b/>
                <w:spacing w:val="-4"/>
              </w:rPr>
            </w:pPr>
            <w:r w:rsidRPr="00C010B9">
              <w:rPr>
                <w:b/>
                <w:spacing w:val="-4"/>
              </w:rPr>
              <w:t>Requisito u obligación de información</w:t>
            </w:r>
          </w:p>
        </w:tc>
        <w:tc>
          <w:tcPr>
            <w:tcW w:w="1912" w:type="dxa"/>
          </w:tcPr>
          <w:p w14:paraId="6FEF8D76" w14:textId="77777777" w:rsidR="0082568F" w:rsidRPr="00C010B9" w:rsidRDefault="0082568F" w:rsidP="0070360F">
            <w:pPr>
              <w:pStyle w:val="Text"/>
              <w:keepNext/>
              <w:keepLines/>
              <w:jc w:val="center"/>
              <w:rPr>
                <w:b/>
                <w:spacing w:val="-4"/>
              </w:rPr>
            </w:pPr>
            <w:r w:rsidRPr="00C010B9">
              <w:rPr>
                <w:b/>
                <w:spacing w:val="-4"/>
              </w:rPr>
              <w:t xml:space="preserve">Balance de la carga anual </w:t>
            </w:r>
          </w:p>
        </w:tc>
        <w:tc>
          <w:tcPr>
            <w:tcW w:w="2093" w:type="dxa"/>
          </w:tcPr>
          <w:p w14:paraId="5412D88F" w14:textId="77777777" w:rsidR="0082568F" w:rsidRPr="00C010B9" w:rsidRDefault="00295A54" w:rsidP="0070360F">
            <w:pPr>
              <w:pStyle w:val="Text"/>
              <w:keepNext/>
              <w:keepLines/>
              <w:jc w:val="center"/>
              <w:rPr>
                <w:b/>
                <w:spacing w:val="-4"/>
              </w:rPr>
            </w:pPr>
            <w:r w:rsidRPr="00C010B9">
              <w:rPr>
                <w:b/>
                <w:spacing w:val="-4"/>
              </w:rPr>
              <w:t xml:space="preserve">Costos de adaptación únicos </w:t>
            </w:r>
          </w:p>
        </w:tc>
      </w:tr>
      <w:tr w:rsidR="0082568F" w:rsidRPr="00C010B9" w14:paraId="28659270" w14:textId="77777777" w:rsidTr="00295A54">
        <w:tc>
          <w:tcPr>
            <w:tcW w:w="1530" w:type="dxa"/>
          </w:tcPr>
          <w:p w14:paraId="22806DA4" w14:textId="2D7CD670" w:rsidR="0082568F" w:rsidRPr="00C010B9" w:rsidRDefault="0082568F" w:rsidP="00E24BD3">
            <w:pPr>
              <w:pStyle w:val="Text"/>
              <w:jc w:val="left"/>
              <w:rPr>
                <w:spacing w:val="-4"/>
              </w:rPr>
            </w:pPr>
            <w:r w:rsidRPr="00C010B9">
              <w:rPr>
                <w:spacing w:val="-4"/>
              </w:rPr>
              <w:t xml:space="preserve">Artículo 6 </w:t>
            </w:r>
            <w:r w:rsidRPr="00C010B9">
              <w:rPr>
                <w:i/>
                <w:iCs/>
                <w:spacing w:val="-4"/>
              </w:rPr>
              <w:t>bis</w:t>
            </w:r>
            <w:r w:rsidRPr="00C010B9">
              <w:rPr>
                <w:spacing w:val="-4"/>
              </w:rPr>
              <w:t>, apartados 1 y 4</w:t>
            </w:r>
          </w:p>
        </w:tc>
        <w:tc>
          <w:tcPr>
            <w:tcW w:w="3470" w:type="dxa"/>
          </w:tcPr>
          <w:p w14:paraId="33FAFA21" w14:textId="77777777" w:rsidR="0082568F" w:rsidRPr="00C010B9" w:rsidRDefault="0082568F" w:rsidP="00295A54">
            <w:pPr>
              <w:pStyle w:val="Text"/>
              <w:jc w:val="left"/>
              <w:rPr>
                <w:spacing w:val="-4"/>
              </w:rPr>
            </w:pPr>
            <w:r w:rsidRPr="00C010B9">
              <w:rPr>
                <w:spacing w:val="-4"/>
              </w:rPr>
              <w:t>Barrera funcional para materiales y objetos destinados al contacto con alimentos hechos de material de papel usado</w:t>
            </w:r>
          </w:p>
        </w:tc>
        <w:tc>
          <w:tcPr>
            <w:tcW w:w="1912" w:type="dxa"/>
          </w:tcPr>
          <w:p w14:paraId="3E5A9DC1" w14:textId="77777777" w:rsidR="0082568F" w:rsidRPr="00C010B9" w:rsidRDefault="000F6183" w:rsidP="00295A54">
            <w:pPr>
              <w:pStyle w:val="Text"/>
              <w:jc w:val="left"/>
              <w:rPr>
                <w:spacing w:val="-4"/>
              </w:rPr>
            </w:pPr>
            <w:r w:rsidRPr="00C010B9">
              <w:rPr>
                <w:spacing w:val="-4"/>
              </w:rPr>
              <w:t xml:space="preserve"> 8 160 000 EUR</w:t>
            </w:r>
          </w:p>
        </w:tc>
        <w:tc>
          <w:tcPr>
            <w:tcW w:w="2093" w:type="dxa"/>
          </w:tcPr>
          <w:p w14:paraId="3562BFD1" w14:textId="77777777" w:rsidR="0082568F" w:rsidRPr="00C010B9" w:rsidRDefault="000F6183" w:rsidP="00295A54">
            <w:pPr>
              <w:pStyle w:val="Text"/>
              <w:jc w:val="left"/>
              <w:rPr>
                <w:spacing w:val="-4"/>
              </w:rPr>
            </w:pPr>
            <w:r w:rsidRPr="00C010B9">
              <w:rPr>
                <w:spacing w:val="-4"/>
              </w:rPr>
              <w:t>9 280 000 EUR</w:t>
            </w:r>
          </w:p>
        </w:tc>
      </w:tr>
      <w:tr w:rsidR="0082568F" w:rsidRPr="00C010B9" w14:paraId="0106BED3" w14:textId="77777777" w:rsidTr="00295A54">
        <w:tc>
          <w:tcPr>
            <w:tcW w:w="1530" w:type="dxa"/>
          </w:tcPr>
          <w:p w14:paraId="5BAFA089" w14:textId="0EFB06F8" w:rsidR="0082568F" w:rsidRPr="00C010B9" w:rsidRDefault="0082568F" w:rsidP="00E24BD3">
            <w:pPr>
              <w:pStyle w:val="Text"/>
              <w:jc w:val="left"/>
              <w:rPr>
                <w:spacing w:val="-4"/>
              </w:rPr>
            </w:pPr>
            <w:r w:rsidRPr="00C010B9">
              <w:rPr>
                <w:spacing w:val="-4"/>
              </w:rPr>
              <w:t xml:space="preserve">Artículo 6 </w:t>
            </w:r>
            <w:r w:rsidRPr="00C010B9">
              <w:rPr>
                <w:i/>
                <w:iCs/>
                <w:spacing w:val="-4"/>
              </w:rPr>
              <w:t>bis</w:t>
            </w:r>
            <w:r w:rsidRPr="00C010B9">
              <w:rPr>
                <w:spacing w:val="-4"/>
              </w:rPr>
              <w:t>, apartado 3</w:t>
            </w:r>
          </w:p>
        </w:tc>
        <w:tc>
          <w:tcPr>
            <w:tcW w:w="3470" w:type="dxa"/>
          </w:tcPr>
          <w:p w14:paraId="7BAE9D67" w14:textId="77777777" w:rsidR="0082568F" w:rsidRPr="00C010B9" w:rsidRDefault="0082568F" w:rsidP="00295A54">
            <w:pPr>
              <w:pStyle w:val="Text"/>
              <w:jc w:val="left"/>
              <w:rPr>
                <w:spacing w:val="-4"/>
              </w:rPr>
            </w:pPr>
            <w:r w:rsidRPr="00C010B9">
              <w:rPr>
                <w:spacing w:val="-4"/>
              </w:rPr>
              <w:t>Declaración escrita o electrónica de la renuncia a barreras funcionales</w:t>
            </w:r>
          </w:p>
        </w:tc>
        <w:tc>
          <w:tcPr>
            <w:tcW w:w="1912" w:type="dxa"/>
          </w:tcPr>
          <w:p w14:paraId="74D97F5C" w14:textId="77777777" w:rsidR="0082568F" w:rsidRPr="00C010B9" w:rsidRDefault="0082568F" w:rsidP="00295A54">
            <w:pPr>
              <w:pStyle w:val="Text"/>
              <w:jc w:val="left"/>
              <w:rPr>
                <w:spacing w:val="-4"/>
              </w:rPr>
            </w:pPr>
            <w:r w:rsidRPr="00C010B9">
              <w:rPr>
                <w:spacing w:val="-4"/>
              </w:rPr>
              <w:t>Costes adicionales reducidos</w:t>
            </w:r>
          </w:p>
        </w:tc>
        <w:tc>
          <w:tcPr>
            <w:tcW w:w="2093" w:type="dxa"/>
          </w:tcPr>
          <w:p w14:paraId="56F7F1DE" w14:textId="77777777" w:rsidR="0082568F" w:rsidRPr="00C010B9" w:rsidRDefault="0082568F" w:rsidP="00295A54">
            <w:pPr>
              <w:pStyle w:val="Text"/>
              <w:jc w:val="left"/>
              <w:rPr>
                <w:spacing w:val="-4"/>
              </w:rPr>
            </w:pPr>
            <w:r w:rsidRPr="00C010B9">
              <w:rPr>
                <w:spacing w:val="-4"/>
              </w:rPr>
              <w:t>-</w:t>
            </w:r>
          </w:p>
        </w:tc>
      </w:tr>
      <w:tr w:rsidR="0082568F" w:rsidRPr="00C010B9" w14:paraId="3E200EA4" w14:textId="77777777" w:rsidTr="00295A54">
        <w:tc>
          <w:tcPr>
            <w:tcW w:w="1530" w:type="dxa"/>
          </w:tcPr>
          <w:p w14:paraId="7AD34AB6" w14:textId="3F27C1E4" w:rsidR="0082568F" w:rsidRPr="00C010B9" w:rsidRDefault="0082568F" w:rsidP="00E24BD3">
            <w:pPr>
              <w:pStyle w:val="Text"/>
              <w:jc w:val="left"/>
              <w:rPr>
                <w:spacing w:val="-4"/>
              </w:rPr>
            </w:pPr>
            <w:r w:rsidRPr="00C010B9">
              <w:rPr>
                <w:spacing w:val="-4"/>
              </w:rPr>
              <w:t xml:space="preserve">Artículo 6 </w:t>
            </w:r>
            <w:r w:rsidRPr="00C010B9">
              <w:rPr>
                <w:i/>
                <w:iCs/>
                <w:spacing w:val="-4"/>
              </w:rPr>
              <w:t>bis</w:t>
            </w:r>
            <w:r w:rsidRPr="00C010B9">
              <w:rPr>
                <w:spacing w:val="-4"/>
              </w:rPr>
              <w:t>, apartado 5</w:t>
            </w:r>
          </w:p>
        </w:tc>
        <w:tc>
          <w:tcPr>
            <w:tcW w:w="3470" w:type="dxa"/>
          </w:tcPr>
          <w:p w14:paraId="16E632D0" w14:textId="77777777" w:rsidR="0082568F" w:rsidRPr="00C010B9" w:rsidRDefault="0082568F" w:rsidP="00295A54">
            <w:pPr>
              <w:pStyle w:val="Text"/>
              <w:jc w:val="left"/>
              <w:rPr>
                <w:spacing w:val="-4"/>
              </w:rPr>
            </w:pPr>
            <w:r w:rsidRPr="00C010B9">
              <w:rPr>
                <w:spacing w:val="-4"/>
              </w:rPr>
              <w:t xml:space="preserve">Obligación de demostrar la exclusión de la migración de MOAH según el artículo 6 </w:t>
            </w:r>
            <w:r w:rsidRPr="00C010B9">
              <w:rPr>
                <w:i/>
                <w:iCs/>
                <w:spacing w:val="-4"/>
              </w:rPr>
              <w:t>bis</w:t>
            </w:r>
            <w:r w:rsidRPr="00C010B9">
              <w:rPr>
                <w:spacing w:val="-4"/>
              </w:rPr>
              <w:t>, apartados 1, 2 y 4</w:t>
            </w:r>
          </w:p>
        </w:tc>
        <w:tc>
          <w:tcPr>
            <w:tcW w:w="1912" w:type="dxa"/>
          </w:tcPr>
          <w:p w14:paraId="18381CF9" w14:textId="77777777" w:rsidR="0082568F" w:rsidRPr="00C010B9" w:rsidRDefault="0082568F" w:rsidP="00295A54">
            <w:pPr>
              <w:pStyle w:val="Text"/>
              <w:jc w:val="left"/>
              <w:rPr>
                <w:spacing w:val="-4"/>
              </w:rPr>
            </w:pPr>
            <w:r w:rsidRPr="00C010B9">
              <w:rPr>
                <w:spacing w:val="-4"/>
              </w:rPr>
              <w:t>Costes adicionales reducidos</w:t>
            </w:r>
          </w:p>
        </w:tc>
        <w:tc>
          <w:tcPr>
            <w:tcW w:w="2093" w:type="dxa"/>
          </w:tcPr>
          <w:p w14:paraId="3BBC33E8" w14:textId="77777777" w:rsidR="0082568F" w:rsidRPr="00C010B9" w:rsidRDefault="0082568F" w:rsidP="00295A54">
            <w:pPr>
              <w:pStyle w:val="Text"/>
              <w:jc w:val="left"/>
              <w:rPr>
                <w:spacing w:val="-4"/>
              </w:rPr>
            </w:pPr>
            <w:r w:rsidRPr="00C010B9">
              <w:rPr>
                <w:spacing w:val="-4"/>
              </w:rPr>
              <w:t>-</w:t>
            </w:r>
          </w:p>
        </w:tc>
      </w:tr>
      <w:tr w:rsidR="0082568F" w:rsidRPr="00C010B9" w14:paraId="2CE5F889" w14:textId="77777777" w:rsidTr="00295A54">
        <w:tc>
          <w:tcPr>
            <w:tcW w:w="1530" w:type="dxa"/>
            <w:shd w:val="clear" w:color="auto" w:fill="D9D9D9" w:themeFill="background1" w:themeFillShade="D9"/>
          </w:tcPr>
          <w:p w14:paraId="6EDE8EBB" w14:textId="77777777" w:rsidR="0082568F" w:rsidRPr="00C010B9"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C010B9" w:rsidRDefault="0082568F" w:rsidP="00295A54">
            <w:pPr>
              <w:pStyle w:val="Text"/>
              <w:jc w:val="left"/>
              <w:rPr>
                <w:b/>
                <w:spacing w:val="-4"/>
              </w:rPr>
            </w:pPr>
            <w:r w:rsidRPr="00C010B9">
              <w:rPr>
                <w:b/>
                <w:spacing w:val="-4"/>
              </w:rPr>
              <w:t xml:space="preserve">Total </w:t>
            </w:r>
          </w:p>
        </w:tc>
        <w:tc>
          <w:tcPr>
            <w:tcW w:w="1912" w:type="dxa"/>
            <w:shd w:val="clear" w:color="auto" w:fill="D9D9D9" w:themeFill="background1" w:themeFillShade="D9"/>
          </w:tcPr>
          <w:p w14:paraId="58ED3073" w14:textId="77777777" w:rsidR="0082568F" w:rsidRPr="00C010B9" w:rsidRDefault="00AD0A9D" w:rsidP="00295A54">
            <w:pPr>
              <w:pStyle w:val="Text"/>
              <w:jc w:val="left"/>
              <w:rPr>
                <w:b/>
                <w:spacing w:val="-4"/>
              </w:rPr>
            </w:pPr>
            <w:r w:rsidRPr="00C010B9">
              <w:rPr>
                <w:b/>
                <w:spacing w:val="-4"/>
              </w:rPr>
              <w:t xml:space="preserve"> 8 160 000 EUR</w:t>
            </w:r>
          </w:p>
        </w:tc>
        <w:tc>
          <w:tcPr>
            <w:tcW w:w="2093" w:type="dxa"/>
            <w:shd w:val="clear" w:color="auto" w:fill="D9D9D9" w:themeFill="background1" w:themeFillShade="D9"/>
          </w:tcPr>
          <w:p w14:paraId="1E689341" w14:textId="77777777" w:rsidR="0082568F" w:rsidRPr="00C010B9" w:rsidRDefault="000F6183" w:rsidP="00295A54">
            <w:pPr>
              <w:pStyle w:val="Text"/>
              <w:jc w:val="left"/>
              <w:rPr>
                <w:b/>
                <w:spacing w:val="-4"/>
              </w:rPr>
            </w:pPr>
            <w:r w:rsidRPr="00C010B9">
              <w:rPr>
                <w:b/>
                <w:spacing w:val="-4"/>
              </w:rPr>
              <w:t>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t xml:space="preserve">El resultado de la estimación </w:t>
      </w:r>
      <w:r>
        <w:rPr>
          <w:i/>
          <w:iCs/>
        </w:rPr>
        <w:t>ex ante</w:t>
      </w:r>
      <w:r>
        <w:t xml:space="preserve"> se basa en los siguientes principios:</w:t>
      </w:r>
    </w:p>
    <w:p w14:paraId="0A8513DA" w14:textId="77777777" w:rsidR="006B7BFE" w:rsidRPr="00D43FA1" w:rsidRDefault="006B7BFE" w:rsidP="0070360F">
      <w:pPr>
        <w:pStyle w:val="Text"/>
        <w:keepNext/>
        <w:keepLines/>
        <w:tabs>
          <w:tab w:val="left" w:pos="0"/>
        </w:tabs>
      </w:pPr>
      <w:r>
        <w:t xml:space="preserve">La estimación </w:t>
      </w:r>
      <w:r>
        <w:rPr>
          <w:i/>
          <w:iCs/>
        </w:rPr>
        <w:t>ex ante</w:t>
      </w:r>
      <w:r>
        <w:t xml:space="preserve"> se refiere a dos obligaciones de información, así como a otro requisito para las empresas, que se derivan del nuevo artículo 6 </w:t>
      </w:r>
      <w:r>
        <w:rPr>
          <w:i/>
          <w:iCs/>
        </w:rPr>
        <w:t>bis</w:t>
      </w:r>
      <w:r>
        <w:t xml:space="preserve"> del Decreto sobre los materiales y objetos destinados al contacto con alimentos: </w:t>
      </w:r>
    </w:p>
    <w:p w14:paraId="2E574154" w14:textId="77777777" w:rsidR="006B7BFE" w:rsidRPr="00D43FA1" w:rsidRDefault="006B7BFE" w:rsidP="0070360F">
      <w:pPr>
        <w:pStyle w:val="Text"/>
        <w:keepNext/>
        <w:keepLines/>
        <w:numPr>
          <w:ilvl w:val="0"/>
          <w:numId w:val="2"/>
        </w:numPr>
        <w:ind w:left="0" w:firstLine="0"/>
      </w:pPr>
      <w:r>
        <w:t xml:space="preserve">Los materiales y objetos destinados al contacto con alimentos a base de papel usado únicamente podrán fabricarse y comercializarse con una barrera funcional (apartado 1, frase primera; apartado 4). Se aplicarán exenciones a esta reglamentación si: </w:t>
      </w:r>
    </w:p>
    <w:p w14:paraId="6471F0A8" w14:textId="77777777" w:rsidR="006B7BFE" w:rsidRPr="00D43FA1" w:rsidRDefault="000F1682" w:rsidP="00557D18">
      <w:pPr>
        <w:pStyle w:val="Text"/>
        <w:numPr>
          <w:ilvl w:val="0"/>
          <w:numId w:val="4"/>
        </w:numPr>
        <w:ind w:left="1134" w:hanging="425"/>
      </w:pPr>
      <w:r>
        <w:t>en particular, el material u objeto destinado al contacto con alimentos presenta un contenido tan bajo de MOAH que no se produce una migración a los productos alimenticios (apartado 2, frase primera),</w:t>
      </w:r>
    </w:p>
    <w:p w14:paraId="022A3F44" w14:textId="64B85AD9" w:rsidR="006B7BFE" w:rsidRPr="00D43FA1" w:rsidRDefault="006B7BFE" w:rsidP="00557D18">
      <w:pPr>
        <w:pStyle w:val="Text"/>
        <w:numPr>
          <w:ilvl w:val="0"/>
          <w:numId w:val="4"/>
        </w:numPr>
        <w:ind w:left="1134" w:hanging="425"/>
      </w:pPr>
      <w:r>
        <w:lastRenderedPageBreak/>
        <w:t>se han adoptado otras medidas adecuadas para evitar la migración de MOAH a los productos alimenticios (apartado 2, frase segunda).</w:t>
      </w:r>
    </w:p>
    <w:p w14:paraId="29C9CC33" w14:textId="77777777" w:rsidR="006B7BFE" w:rsidRPr="00D43FA1" w:rsidRDefault="006B7BFE" w:rsidP="00557D18">
      <w:pPr>
        <w:pStyle w:val="Text"/>
        <w:numPr>
          <w:ilvl w:val="0"/>
          <w:numId w:val="3"/>
        </w:numPr>
        <w:ind w:left="0" w:firstLine="0"/>
      </w:pPr>
      <w:r>
        <w:t xml:space="preserve">Si el propio operador de empresas alimentarias utiliza una barrera funcional (bolsas intermedias o similares) o toma otras medidas para proteger contra la migración de MOAH a los productos alimenticios y, por consiguiente, no requiere que el fabricante o el responsable de la comercialización del material u objeto en contacto con alimentos equipe el material u objeto en cuestión con una barrera funcional, deberá presentar una declaración escrita o electrónica al respecto ante el fabricante o el responsable de la comercialización del material u objeto destinado al contacto con alimentos (apartado 3), antes del suministro del material u objeto destinado al contacto con alimentos. </w:t>
      </w:r>
    </w:p>
    <w:p w14:paraId="3DAB98B9" w14:textId="77777777" w:rsidR="006B7BFE" w:rsidRPr="00D43FA1" w:rsidRDefault="006B7BFE" w:rsidP="0070360F">
      <w:pPr>
        <w:pStyle w:val="Text"/>
        <w:keepNext/>
        <w:keepLines/>
        <w:numPr>
          <w:ilvl w:val="0"/>
          <w:numId w:val="3"/>
        </w:numPr>
        <w:ind w:left="709" w:hanging="709"/>
      </w:pPr>
      <w:r>
        <w:t xml:space="preserve">Obligación de demostrar la exclusión de la migración de MOAH (apartado 5) </w:t>
      </w:r>
    </w:p>
    <w:p w14:paraId="7B0EB3AA" w14:textId="77777777" w:rsidR="006B7BFE" w:rsidRPr="00D43FA1" w:rsidRDefault="000447FD" w:rsidP="009140F6">
      <w:pPr>
        <w:pStyle w:val="Text"/>
      </w:pPr>
      <w:r>
        <w:t>Esta estimación siguió las «Directrices para el cálculo y la representación de los costes de cumplimiento en el proyecto de reglamentación del Gobierno federal»</w:t>
      </w:r>
      <w:r w:rsidR="006B7BFE" w:rsidRPr="00D43FA1">
        <w:rPr>
          <w:rStyle w:val="FootnoteReference"/>
        </w:rPr>
        <w:footnoteReference w:id="2"/>
      </w:r>
      <w:r>
        <w:t xml:space="preserve">. Para estimar el número de casos, así como el tiempo y los costes de material, se entrevistó por teléfono a empresas e instituciones de investigación. El cálculo del número de casos incluye datos de estadísticas oficiales. </w:t>
      </w:r>
    </w:p>
    <w:p w14:paraId="7E0F8561" w14:textId="4AAB2740" w:rsidR="006B7BFE" w:rsidRPr="007E01A6" w:rsidRDefault="006B7BFE" w:rsidP="0070360F">
      <w:pPr>
        <w:pStyle w:val="Text"/>
        <w:keepNext/>
        <w:keepLines/>
        <w:rPr>
          <w:b/>
          <w:bCs/>
          <w:u w:val="single"/>
        </w:rPr>
      </w:pPr>
      <w:r>
        <w:rPr>
          <w:b/>
          <w:u w:val="single"/>
        </w:rPr>
        <w:t xml:space="preserve">Barrera funcional para materiales y objetos destinados al contacto con alimentos según el artículo 6 </w:t>
      </w:r>
      <w:r>
        <w:rPr>
          <w:b/>
          <w:i/>
          <w:iCs/>
          <w:u w:val="single"/>
        </w:rPr>
        <w:t>bis</w:t>
      </w:r>
      <w:r>
        <w:rPr>
          <w:b/>
          <w:u w:val="single"/>
        </w:rPr>
        <w:t>, apartados 1 y 4</w:t>
      </w:r>
    </w:p>
    <w:p w14:paraId="347CC78F" w14:textId="77777777" w:rsidR="006B7BFE" w:rsidRPr="00D43FA1" w:rsidRDefault="006B7BFE" w:rsidP="0070360F">
      <w:pPr>
        <w:pStyle w:val="Text"/>
        <w:keepNext/>
        <w:keepLines/>
      </w:pPr>
      <w:r>
        <w:t xml:space="preserve">a) Costes de adaptación únicos </w:t>
      </w:r>
    </w:p>
    <w:p w14:paraId="32009364" w14:textId="77777777" w:rsidR="006B7BFE" w:rsidRPr="00D43FA1" w:rsidRDefault="006B7BFE" w:rsidP="009140F6">
      <w:pPr>
        <w:pStyle w:val="Text"/>
      </w:pPr>
      <w:r>
        <w:rPr>
          <w:i/>
        </w:rPr>
        <w:t xml:space="preserve">Los costes de adaptación incluyen los costes de personal y material para el ensayo inicial de los productos alimenticios y los materiales y objetos destinados al contacto con alimentos, así como para el desarrollo, el ensayo y la puesta en servicio de envases adecuados de conformidad con el artículo 6 </w:t>
      </w:r>
      <w:r>
        <w:rPr>
          <w:i/>
          <w:iCs/>
        </w:rPr>
        <w:t>bis</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color w:val="000000"/>
        </w:rPr>
        <w:t xml:space="preserve">Número de casos </w:t>
      </w:r>
    </w:p>
    <w:p w14:paraId="6D903E99" w14:textId="77777777" w:rsidR="006B7BFE" w:rsidRPr="00D43FA1" w:rsidRDefault="006B7BFE" w:rsidP="0070360F">
      <w:pPr>
        <w:pStyle w:val="Text"/>
        <w:keepNext/>
        <w:keepLines/>
        <w:rPr>
          <w:color w:val="000000"/>
        </w:rPr>
      </w:pPr>
      <w:r>
        <w:rPr>
          <w:color w:val="000000"/>
        </w:rPr>
        <w:t>Para derivar el número de casos (= productos afectados: productos alimenticios + materiales y objetos destinados a entrar en contacto con alimentos que entran en contacto con estos), se utilizaron tanto los datos obtenidos de las entrevistas como la encuesta de estructura de costes en el sector de la fabricación</w:t>
      </w:r>
      <w:r w:rsidRPr="00D43FA1">
        <w:rPr>
          <w:rStyle w:val="FootnoteReference"/>
          <w:color w:val="000000"/>
        </w:rPr>
        <w:footnoteReference w:id="3"/>
      </w:r>
      <w:r>
        <w:rPr>
          <w:color w:val="000000"/>
        </w:rPr>
        <w:t>.</w:t>
      </w:r>
      <w:r>
        <w:rPr>
          <w:color w:val="000000"/>
          <w:vertAlign w:val="superscript"/>
        </w:rPr>
        <w:t xml:space="preserve"> </w:t>
      </w:r>
      <w:r>
        <w:rPr>
          <w:color w:val="000000"/>
        </w:rPr>
        <w:t xml:space="preserve">Sobre la base de las entrevistas, pudieron recopilarse datos sobre el número de productos de empresas individuales. Las cifras de ventas de la empresa se extrajeron de fuentes disponibles públicamente. A partir de estos valores se determinó el volumen de ventas por producto de cinco empresas, que asciende a unos 2,5 millones EUR de media. La encuesta de estructura de costes contiene información sobre el número y el volumen de ventas de empresas en los sectores económicos de la fabricación (según la clasificación de los sectores económicos, edición de 2008). Sobre la base de la información de las entrevistas, pudieron identificarse siete sectores económicos afectados: </w:t>
      </w:r>
    </w:p>
    <w:p w14:paraId="51BE6B2B" w14:textId="77777777" w:rsidR="006B7BFE" w:rsidRPr="00D43FA1" w:rsidRDefault="006B7BFE" w:rsidP="0070360F">
      <w:pPr>
        <w:pStyle w:val="Text"/>
        <w:keepNext/>
        <w:keepLines/>
        <w:spacing w:before="0" w:after="0"/>
        <w:rPr>
          <w:color w:val="000000"/>
        </w:rPr>
      </w:pPr>
      <w:r>
        <w:rPr>
          <w:color w:val="000000"/>
        </w:rPr>
        <w:t xml:space="preserve">Producción de: </w:t>
      </w:r>
    </w:p>
    <w:p w14:paraId="11222691" w14:textId="77777777" w:rsidR="006B7BFE" w:rsidRPr="00D43FA1" w:rsidRDefault="006B7BFE" w:rsidP="009140F6">
      <w:pPr>
        <w:pStyle w:val="Text"/>
        <w:spacing w:before="0" w:after="0"/>
        <w:rPr>
          <w:color w:val="000000"/>
        </w:rPr>
      </w:pPr>
      <w:r>
        <w:rPr>
          <w:color w:val="000000"/>
        </w:rPr>
        <w:t xml:space="preserve">• almidón y productos de almidón, </w:t>
      </w:r>
    </w:p>
    <w:p w14:paraId="662E4943" w14:textId="77777777" w:rsidR="006B7BFE" w:rsidRPr="00D43FA1" w:rsidRDefault="006B7BFE" w:rsidP="009140F6">
      <w:pPr>
        <w:pStyle w:val="Text"/>
        <w:spacing w:before="0" w:after="0"/>
        <w:rPr>
          <w:color w:val="000000"/>
        </w:rPr>
      </w:pPr>
      <w:r>
        <w:rPr>
          <w:color w:val="000000"/>
        </w:rPr>
        <w:t xml:space="preserve">• productos de panadería y pastelería de larga duración, </w:t>
      </w:r>
    </w:p>
    <w:p w14:paraId="18BD7F36" w14:textId="77777777" w:rsidR="006B7BFE" w:rsidRPr="00D43FA1" w:rsidRDefault="006B7BFE" w:rsidP="009140F6">
      <w:pPr>
        <w:pStyle w:val="Text"/>
        <w:spacing w:before="0" w:after="0"/>
        <w:rPr>
          <w:color w:val="000000"/>
        </w:rPr>
      </w:pPr>
      <w:r>
        <w:rPr>
          <w:color w:val="000000"/>
        </w:rPr>
        <w:t xml:space="preserve">• pastas, </w:t>
      </w:r>
    </w:p>
    <w:p w14:paraId="38C5F55D" w14:textId="77777777" w:rsidR="006B7BFE" w:rsidRPr="00D43FA1" w:rsidRDefault="006B7BFE" w:rsidP="009140F6">
      <w:pPr>
        <w:pStyle w:val="Text"/>
        <w:spacing w:before="0" w:after="0"/>
        <w:rPr>
          <w:color w:val="000000"/>
        </w:rPr>
      </w:pPr>
      <w:r>
        <w:rPr>
          <w:color w:val="000000"/>
        </w:rPr>
        <w:t xml:space="preserve">• productos de pastelería, </w:t>
      </w:r>
    </w:p>
    <w:p w14:paraId="1D62B3D9" w14:textId="77777777" w:rsidR="006B7BFE" w:rsidRPr="00D43FA1" w:rsidRDefault="006B7BFE" w:rsidP="009140F6">
      <w:pPr>
        <w:pStyle w:val="Text"/>
        <w:spacing w:before="0" w:after="0"/>
        <w:rPr>
          <w:color w:val="000000"/>
        </w:rPr>
      </w:pPr>
      <w:r>
        <w:rPr>
          <w:color w:val="000000"/>
        </w:rPr>
        <w:t xml:space="preserve">• café y té, </w:t>
      </w:r>
    </w:p>
    <w:p w14:paraId="6E9A551C" w14:textId="77777777" w:rsidR="006B7BFE" w:rsidRPr="00D43FA1" w:rsidRDefault="006B7BFE" w:rsidP="009140F6">
      <w:pPr>
        <w:pStyle w:val="Text"/>
        <w:spacing w:before="0" w:after="0"/>
        <w:rPr>
          <w:color w:val="000000"/>
        </w:rPr>
      </w:pPr>
      <w:r>
        <w:rPr>
          <w:color w:val="000000"/>
        </w:rPr>
        <w:t xml:space="preserve">• productos de molienda y pelados, </w:t>
      </w:r>
    </w:p>
    <w:p w14:paraId="31C005BD" w14:textId="3394A96C" w:rsidR="006B7BFE" w:rsidRDefault="006B7BFE" w:rsidP="00557D18">
      <w:pPr>
        <w:pStyle w:val="Text"/>
        <w:spacing w:before="0" w:after="0"/>
        <w:jc w:val="left"/>
        <w:rPr>
          <w:color w:val="000000"/>
        </w:rPr>
      </w:pPr>
      <w:r>
        <w:rPr>
          <w:color w:val="000000"/>
        </w:rPr>
        <w:t xml:space="preserve">• platos preparados. </w:t>
      </w:r>
    </w:p>
    <w:p w14:paraId="69346562" w14:textId="77777777" w:rsidR="00D43FA1" w:rsidRPr="00D43FA1" w:rsidRDefault="00D43FA1" w:rsidP="00557D18">
      <w:pPr>
        <w:pStyle w:val="Text"/>
        <w:spacing w:before="0" w:after="0"/>
        <w:jc w:val="left"/>
        <w:rPr>
          <w:color w:val="000000"/>
        </w:rPr>
      </w:pPr>
    </w:p>
    <w:p w14:paraId="22853B05" w14:textId="02272ACD" w:rsidR="006B7BFE" w:rsidRPr="00D43FA1" w:rsidRDefault="006B7BFE" w:rsidP="009140F6">
      <w:pPr>
        <w:pStyle w:val="Text"/>
        <w:spacing w:before="0" w:after="0"/>
        <w:rPr>
          <w:color w:val="000000"/>
        </w:rPr>
      </w:pPr>
      <w:r>
        <w:rPr>
          <w:color w:val="000000"/>
        </w:rPr>
        <w:t xml:space="preserve">El volumen de ventas total de las 415 empresas afectadas asciende a unos 26 000 millones EUR. </w:t>
      </w:r>
    </w:p>
    <w:p w14:paraId="6EE2F31E" w14:textId="2FFA7DC6" w:rsidR="006B7BFE" w:rsidRDefault="006B7BFE" w:rsidP="00557D18">
      <w:pPr>
        <w:pStyle w:val="Text"/>
        <w:spacing w:before="0" w:after="0"/>
        <w:rPr>
          <w:color w:val="000000"/>
        </w:rPr>
      </w:pPr>
      <w:r>
        <w:rPr>
          <w:color w:val="000000"/>
        </w:rPr>
        <w:t xml:space="preserve">Sobre la base del volumen de ventas total, se estima cuántos productos (= productos alimenticios + correspondiente material u objeto destinado al contacto con alimentos) producen estas empresas para el mercado alemán: un volumen de ventas total de 26 000 millones EUR y un volumen de ventas de 2,5 millones EUR por producto dan como resultado </w:t>
      </w:r>
      <w:r>
        <w:rPr>
          <w:b/>
          <w:color w:val="000000"/>
        </w:rPr>
        <w:t>alrededor de 10 000 productos</w:t>
      </w:r>
      <w:r>
        <w:rPr>
          <w:color w:val="000000"/>
        </w:rPr>
        <w:t xml:space="preserve">. En realidad, solo tiene que cambiarse una parte de los embalajes de productos, ya que todas las empresas no se ven afectadas por igual: si bien algunas empresas tienen que modificar toda su gama de productos, en el caso de otras solo se ven afectados unos pocos productos. No obstante, debe verificarse para todos los productos si el embalaje existente previene suficientemente la migración de MOAH a los productos alimenticios. Los alimentos envasados exclusivamente en una película también se someten a control, puesto que estos productos la mayoría de las veces se envasan y se entregan en cajas de cartón hechas de papel usado reciclado.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color w:val="000000"/>
        </w:rPr>
        <w:t xml:space="preserve">Costes de material </w:t>
      </w:r>
    </w:p>
    <w:p w14:paraId="20856574" w14:textId="77777777" w:rsidR="00D43FA1" w:rsidRPr="00D43FA1" w:rsidRDefault="00D43FA1" w:rsidP="0070360F">
      <w:pPr>
        <w:keepNext/>
        <w:keepLines/>
        <w:spacing w:before="0" w:after="0"/>
      </w:pPr>
    </w:p>
    <w:p w14:paraId="3F2BE815" w14:textId="0DDDAA09" w:rsidR="006B7BFE" w:rsidRPr="00D43FA1" w:rsidRDefault="006B7BFE" w:rsidP="009140F6">
      <w:pPr>
        <w:pStyle w:val="Text"/>
        <w:spacing w:before="0" w:after="0"/>
        <w:rPr>
          <w:color w:val="000000"/>
        </w:rPr>
      </w:pPr>
      <w:r>
        <w:rPr>
          <w:color w:val="000000"/>
        </w:rPr>
        <w:t>Los costes de material se componen de los costes de análisis para el ensayo inicial de los productos alimenticios y los correspondientes materiales y objetos destinados al contacto con alimentos (generalmente, embalajes), así como el desarrollo y uso de nuevos embalajes. Los costes surgen de la adjudicación de los ensayos a laboratorios externos. Son pocas las empresas que realizan los análisis por completo de manera independiente. Se preguntó por los costes totales de todos los productos afectados de una empresa, y estos costes totales se asignaron al número de productos de la empresa que entran en el ámbito de aplicación del Decreto.</w:t>
      </w:r>
    </w:p>
    <w:p w14:paraId="12734BF7" w14:textId="0BD0DC03" w:rsidR="006B7BFE" w:rsidRPr="00D43FA1" w:rsidRDefault="006B7BFE" w:rsidP="009140F6">
      <w:pPr>
        <w:pStyle w:val="Text"/>
        <w:spacing w:before="0" w:after="0"/>
        <w:rPr>
          <w:color w:val="000000"/>
        </w:rPr>
      </w:pPr>
      <w:r>
        <w:rPr>
          <w:color w:val="000000"/>
        </w:rPr>
        <w:t xml:space="preserve">Sobre la base de las entrevistas, fue posible determinar que el ensayo de los productos alimenticios y los correspondientes materiales y objetos destinados al contacto con alimentos costará alrededor de </w:t>
      </w:r>
      <w:r>
        <w:rPr>
          <w:b/>
          <w:color w:val="000000"/>
        </w:rPr>
        <w:t>290 EUR por producto</w:t>
      </w:r>
      <w:r>
        <w:rPr>
          <w:color w:val="000000"/>
        </w:rPr>
        <w:t>. Los costes se generan para los 10 000 productos.</w:t>
      </w:r>
    </w:p>
    <w:p w14:paraId="6C361081" w14:textId="6695102A" w:rsidR="006B7BFE" w:rsidRPr="00D43FA1" w:rsidRDefault="006B7BFE" w:rsidP="009140F6">
      <w:pPr>
        <w:pStyle w:val="Text"/>
        <w:spacing w:before="0" w:after="0"/>
        <w:rPr>
          <w:color w:val="000000"/>
        </w:rPr>
      </w:pPr>
      <w:r>
        <w:rPr>
          <w:color w:val="000000"/>
        </w:rPr>
        <w:t xml:space="preserve">Se supone que el embalaje debe cambiarse para el 50 % de los productos examinados, es decir, para 5 000 productos. Esto supondría un promedio de </w:t>
      </w:r>
      <w:r>
        <w:rPr>
          <w:b/>
          <w:color w:val="000000"/>
        </w:rPr>
        <w:t>550 EUR en costes de material por producto</w:t>
      </w:r>
      <w:r>
        <w:rPr>
          <w:color w:val="000000"/>
        </w:rPr>
        <w:t>.</w:t>
      </w:r>
    </w:p>
    <w:p w14:paraId="71241388" w14:textId="7F9A1A7C" w:rsidR="00C23235" w:rsidRPr="00D43FA1" w:rsidRDefault="006B7BFE" w:rsidP="0070360F">
      <w:pPr>
        <w:pStyle w:val="Text"/>
        <w:keepNext/>
        <w:keepLines/>
        <w:spacing w:before="0" w:after="0"/>
        <w:rPr>
          <w:color w:val="000000"/>
        </w:rPr>
      </w:pPr>
      <w:r>
        <w:rPr>
          <w:color w:val="000000"/>
        </w:rPr>
        <w:t>Por lo tanto, los costes de material únicos resultan del siguiente cálculo:</w:t>
      </w:r>
    </w:p>
    <w:p w14:paraId="0AE849C1" w14:textId="0BE5CE3F" w:rsidR="006B7BFE" w:rsidRDefault="006B7BFE" w:rsidP="009140F6">
      <w:pPr>
        <w:pStyle w:val="Text"/>
        <w:spacing w:before="0" w:after="0"/>
        <w:rPr>
          <w:color w:val="000000"/>
        </w:rPr>
      </w:pPr>
      <w:r>
        <w:rPr>
          <w:color w:val="000000"/>
        </w:rPr>
        <w:t xml:space="preserve">290 EUR de costes de ensayo x 10 000 productos que se someterán a ensayo + 550 EUR de costes de material x 5 000 embalajes que se modificarán = 5 650 000 EUR.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color w:val="000000"/>
        </w:rPr>
        <w:t xml:space="preserve">Costes de personal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D43FA1" w:rsidRDefault="006B7BFE" w:rsidP="009140F6">
      <w:pPr>
        <w:pStyle w:val="Text"/>
        <w:spacing w:before="0" w:after="0"/>
      </w:pPr>
      <w:r>
        <w:t>Los costes de personal consisten en el tiempo necesario para examinar los productos alimenticios y los correspondientes materiales y objetos destinados al contacto con alimentos (generalmente, embalajes), así como para la modificación de los embalajes (preparación y seguimiento de los ensayos de laboratorio; los análisis en sí se realizan principalmente de forma externa). Se preguntó por los costes totales de todos los productos afectados de una empresa, y estos costes totales se asignaron al número de productos de la empresa que entran en el ámbito de aplicación del Decreto.</w:t>
      </w:r>
    </w:p>
    <w:p w14:paraId="325CED0A" w14:textId="3DBDD0D3" w:rsidR="006B7BFE" w:rsidRPr="00D43FA1" w:rsidRDefault="006B7BFE" w:rsidP="009140F6">
      <w:pPr>
        <w:pStyle w:val="Text"/>
        <w:spacing w:before="0" w:after="0"/>
      </w:pPr>
      <w:r>
        <w:t xml:space="preserve">Sobre la base de las entrevistas, fue posible determinar que para el ensayo de los productos alimenticios y los correspondientes materiales y objetos destinados al contacto con alimentos se requerirá un tiempo de aproximadamente </w:t>
      </w:r>
      <w:r>
        <w:rPr>
          <w:b/>
        </w:rPr>
        <w:t>tres horas por producto</w:t>
      </w:r>
      <w:r>
        <w:t>. Además del análisis para la detección de MOAH, este tiempo incluye los trabajos preparatorios, como el muestreo. El salario se fija en 60,50 EUR/hora</w:t>
      </w:r>
      <w:r>
        <w:rPr>
          <w:rStyle w:val="FootnoteReference"/>
        </w:rPr>
        <w:footnoteReference w:customMarkFollows="1" w:id="4"/>
        <w:t>3</w:t>
      </w:r>
      <w:r>
        <w:t>.</w:t>
      </w:r>
      <w:r>
        <w:rPr>
          <w:vertAlign w:val="superscript"/>
        </w:rPr>
        <w:t xml:space="preserve"> </w:t>
      </w:r>
      <w:r>
        <w:t>Estos costes se generan para los 10 000 productos.</w:t>
      </w:r>
    </w:p>
    <w:p w14:paraId="31FE69DB" w14:textId="360102A6" w:rsidR="006B7BFE" w:rsidRPr="00D43FA1" w:rsidRDefault="002201EF" w:rsidP="009140F6">
      <w:pPr>
        <w:pStyle w:val="Text"/>
        <w:spacing w:before="0" w:after="0"/>
      </w:pPr>
      <w:r>
        <w:lastRenderedPageBreak/>
        <w:t xml:space="preserve">El tiempo necesario para modificar el embalaje de un producto es de alrededor de </w:t>
      </w:r>
      <w:r>
        <w:rPr>
          <w:b/>
        </w:rPr>
        <w:t>seis horas de trabajo por producto</w:t>
      </w:r>
      <w:r>
        <w:t>. El salario se fija en 60,50 EUR/hora</w:t>
      </w:r>
      <w:r>
        <w:rPr>
          <w:vertAlign w:val="superscript"/>
        </w:rPr>
        <w:t>3</w:t>
      </w:r>
      <w:r>
        <w:t>. Suponiendo que debe modificarse alrededor del 50 % de los productos, se generan costes laborales para 5 000 productos.</w:t>
      </w:r>
    </w:p>
    <w:p w14:paraId="082FCC81" w14:textId="77777777" w:rsidR="002201EF" w:rsidRPr="0086292F" w:rsidRDefault="006B7BFE" w:rsidP="009140F6">
      <w:pPr>
        <w:pStyle w:val="Text"/>
        <w:spacing w:before="0" w:after="0"/>
      </w:pPr>
      <w:r>
        <w:t xml:space="preserve">Por lo tanto, los costes de personal únicos resultan del siguiente cálculo: </w:t>
      </w:r>
    </w:p>
    <w:p w14:paraId="0A22DD87" w14:textId="5FCF7C89" w:rsidR="00D43FA1" w:rsidRDefault="006B7BFE" w:rsidP="009140F6">
      <w:pPr>
        <w:pStyle w:val="Text"/>
        <w:spacing w:before="0" w:after="0"/>
      </w:pPr>
      <w:r>
        <w:t>3 horas de tiempo de ensayo x 60,50 EUR de salario x 10 000 productos que se someterán a ensayo + 6 horas de costes de adaptación x 60,50 EUR de salario x 5 000 productos que se modificarán = 3 630 000 EUR.</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rPr>
        <w:t xml:space="preserve">Tabla 2: Resumen de los costes de adaptación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276"/>
        <w:gridCol w:w="1276"/>
        <w:gridCol w:w="1276"/>
      </w:tblGrid>
      <w:tr w:rsidR="006B7BFE" w:rsidRPr="00C010B9" w14:paraId="3E0ACA00" w14:textId="77777777" w:rsidTr="0070360F">
        <w:tc>
          <w:tcPr>
            <w:tcW w:w="2802" w:type="dxa"/>
            <w:gridSpan w:val="2"/>
          </w:tcPr>
          <w:p w14:paraId="6539344C" w14:textId="6E1D7699" w:rsidR="006B7BFE" w:rsidRPr="00C010B9" w:rsidRDefault="006B7BFE" w:rsidP="0070360F">
            <w:pPr>
              <w:pStyle w:val="Default"/>
              <w:rPr>
                <w:rFonts w:ascii="Arial" w:hAnsi="Arial" w:cs="Arial"/>
                <w:b/>
                <w:spacing w:val="-4"/>
                <w:sz w:val="22"/>
                <w:szCs w:val="22"/>
              </w:rPr>
            </w:pPr>
            <w:r w:rsidRPr="00C010B9">
              <w:rPr>
                <w:rFonts w:ascii="Arial" w:hAnsi="Arial"/>
                <w:b/>
                <w:spacing w:val="-4"/>
                <w:sz w:val="22"/>
              </w:rPr>
              <w:t xml:space="preserve">Requisito/obligación de información </w:t>
            </w:r>
          </w:p>
        </w:tc>
        <w:tc>
          <w:tcPr>
            <w:tcW w:w="1134" w:type="dxa"/>
          </w:tcPr>
          <w:p w14:paraId="49FCAF62" w14:textId="1CAA5599" w:rsidR="006B7BFE" w:rsidRPr="00C010B9" w:rsidRDefault="006B7BFE" w:rsidP="0070360F">
            <w:pPr>
              <w:pStyle w:val="Default"/>
              <w:rPr>
                <w:rFonts w:ascii="Arial" w:hAnsi="Arial" w:cs="Arial"/>
                <w:b/>
                <w:spacing w:val="-4"/>
                <w:sz w:val="22"/>
                <w:szCs w:val="22"/>
              </w:rPr>
            </w:pPr>
            <w:r w:rsidRPr="00C010B9">
              <w:rPr>
                <w:rFonts w:ascii="Arial" w:hAnsi="Arial"/>
                <w:b/>
                <w:spacing w:val="-4"/>
                <w:sz w:val="22"/>
              </w:rPr>
              <w:t>Tiempo reque</w:t>
            </w:r>
            <w:r w:rsidR="00C010B9">
              <w:rPr>
                <w:rFonts w:ascii="Arial" w:hAnsi="Arial"/>
                <w:b/>
                <w:spacing w:val="-4"/>
                <w:sz w:val="22"/>
              </w:rPr>
              <w:t>-</w:t>
            </w:r>
            <w:proofErr w:type="spellStart"/>
            <w:r w:rsidRPr="00C010B9">
              <w:rPr>
                <w:rFonts w:ascii="Arial" w:hAnsi="Arial"/>
                <w:b/>
                <w:spacing w:val="-4"/>
                <w:sz w:val="22"/>
              </w:rPr>
              <w:t>rido</w:t>
            </w:r>
            <w:proofErr w:type="spellEnd"/>
            <w:r w:rsidRPr="00C010B9">
              <w:rPr>
                <w:rFonts w:ascii="Arial" w:hAnsi="Arial"/>
                <w:b/>
                <w:spacing w:val="-4"/>
                <w:sz w:val="22"/>
              </w:rPr>
              <w:t xml:space="preserve"> una vez (en horas) </w:t>
            </w:r>
          </w:p>
        </w:tc>
        <w:tc>
          <w:tcPr>
            <w:tcW w:w="1275" w:type="dxa"/>
          </w:tcPr>
          <w:p w14:paraId="3FB6B09A" w14:textId="6C98ECC7" w:rsidR="006B7BFE" w:rsidRPr="00C010B9" w:rsidRDefault="006B7BFE" w:rsidP="0070360F">
            <w:pPr>
              <w:pStyle w:val="Default"/>
              <w:rPr>
                <w:rFonts w:ascii="Arial" w:hAnsi="Arial" w:cs="Arial"/>
                <w:b/>
                <w:spacing w:val="-4"/>
                <w:sz w:val="22"/>
                <w:szCs w:val="22"/>
              </w:rPr>
            </w:pPr>
            <w:r w:rsidRPr="00C010B9">
              <w:rPr>
                <w:rFonts w:ascii="Arial" w:hAnsi="Arial"/>
                <w:b/>
                <w:spacing w:val="-4"/>
                <w:sz w:val="22"/>
              </w:rPr>
              <w:t xml:space="preserve">Tasa salarial (en EUR/hora) </w:t>
            </w:r>
          </w:p>
        </w:tc>
        <w:tc>
          <w:tcPr>
            <w:tcW w:w="1276" w:type="dxa"/>
          </w:tcPr>
          <w:p w14:paraId="0F54C0E3" w14:textId="1127C6E8" w:rsidR="006B7BFE" w:rsidRPr="00C010B9" w:rsidRDefault="006B7BFE" w:rsidP="0070360F">
            <w:pPr>
              <w:pStyle w:val="Default"/>
              <w:rPr>
                <w:rFonts w:ascii="Arial" w:hAnsi="Arial" w:cs="Arial"/>
                <w:b/>
                <w:spacing w:val="-4"/>
                <w:sz w:val="22"/>
                <w:szCs w:val="22"/>
              </w:rPr>
            </w:pPr>
            <w:r w:rsidRPr="00C010B9">
              <w:rPr>
                <w:rFonts w:ascii="Arial" w:hAnsi="Arial"/>
                <w:b/>
                <w:spacing w:val="-4"/>
                <w:sz w:val="22"/>
              </w:rPr>
              <w:t xml:space="preserve">Costes de personal únicos (en EUR) </w:t>
            </w:r>
          </w:p>
        </w:tc>
        <w:tc>
          <w:tcPr>
            <w:tcW w:w="1276" w:type="dxa"/>
          </w:tcPr>
          <w:p w14:paraId="2AD81DFC" w14:textId="1826E1E2" w:rsidR="006B7BFE" w:rsidRPr="00C010B9" w:rsidRDefault="006B7BFE" w:rsidP="0070360F">
            <w:pPr>
              <w:pStyle w:val="Default"/>
              <w:rPr>
                <w:rFonts w:ascii="Arial" w:hAnsi="Arial" w:cs="Arial"/>
                <w:b/>
                <w:spacing w:val="-4"/>
                <w:sz w:val="22"/>
                <w:szCs w:val="22"/>
              </w:rPr>
            </w:pPr>
            <w:r w:rsidRPr="00C010B9">
              <w:rPr>
                <w:rFonts w:ascii="Arial" w:hAnsi="Arial"/>
                <w:b/>
                <w:spacing w:val="-4"/>
                <w:sz w:val="22"/>
              </w:rPr>
              <w:t xml:space="preserve">Costes de material únicos (en EUR) </w:t>
            </w:r>
          </w:p>
        </w:tc>
        <w:tc>
          <w:tcPr>
            <w:tcW w:w="1276" w:type="dxa"/>
          </w:tcPr>
          <w:p w14:paraId="50C55997" w14:textId="21A8BD8C" w:rsidR="006B7BFE" w:rsidRPr="00C010B9" w:rsidRDefault="006B7BFE" w:rsidP="0070360F">
            <w:pPr>
              <w:pStyle w:val="Default"/>
              <w:rPr>
                <w:rFonts w:ascii="Arial" w:hAnsi="Arial" w:cs="Arial"/>
                <w:b/>
                <w:spacing w:val="-4"/>
                <w:sz w:val="22"/>
                <w:szCs w:val="22"/>
              </w:rPr>
            </w:pPr>
            <w:r w:rsidRPr="00C010B9">
              <w:rPr>
                <w:rFonts w:ascii="Arial" w:hAnsi="Arial"/>
                <w:b/>
                <w:spacing w:val="-4"/>
                <w:sz w:val="22"/>
              </w:rPr>
              <w:t xml:space="preserve">Costes de </w:t>
            </w:r>
            <w:proofErr w:type="spellStart"/>
            <w:r w:rsidRPr="00C010B9">
              <w:rPr>
                <w:rFonts w:ascii="Arial" w:hAnsi="Arial"/>
                <w:b/>
                <w:spacing w:val="-4"/>
                <w:sz w:val="22"/>
              </w:rPr>
              <w:t>cumpli</w:t>
            </w:r>
            <w:proofErr w:type="spellEnd"/>
            <w:r w:rsidR="00C010B9">
              <w:rPr>
                <w:rFonts w:ascii="Arial" w:hAnsi="Arial"/>
                <w:b/>
                <w:spacing w:val="-4"/>
                <w:sz w:val="22"/>
              </w:rPr>
              <w:t>-</w:t>
            </w:r>
            <w:r w:rsidRPr="00C010B9">
              <w:rPr>
                <w:rFonts w:ascii="Arial" w:hAnsi="Arial"/>
                <w:b/>
                <w:spacing w:val="-4"/>
                <w:sz w:val="22"/>
              </w:rPr>
              <w:t xml:space="preserve">miento únicos (en EUR) </w:t>
            </w:r>
          </w:p>
        </w:tc>
      </w:tr>
      <w:tr w:rsidR="006B7BFE" w:rsidRPr="00C010B9" w14:paraId="19635ABD" w14:textId="77777777" w:rsidTr="0070360F">
        <w:tc>
          <w:tcPr>
            <w:tcW w:w="1366" w:type="dxa"/>
          </w:tcPr>
          <w:p w14:paraId="3EF43B2A" w14:textId="77777777" w:rsidR="006B7BFE" w:rsidRPr="00C010B9" w:rsidRDefault="006B7BFE" w:rsidP="006B7BFE">
            <w:pPr>
              <w:pStyle w:val="Default"/>
              <w:rPr>
                <w:rFonts w:ascii="Arial" w:hAnsi="Arial" w:cs="Arial"/>
                <w:spacing w:val="-4"/>
                <w:sz w:val="22"/>
                <w:szCs w:val="22"/>
              </w:rPr>
            </w:pPr>
            <w:r w:rsidRPr="00C010B9">
              <w:rPr>
                <w:rFonts w:ascii="Arial" w:hAnsi="Arial"/>
                <w:spacing w:val="-4"/>
                <w:sz w:val="22"/>
              </w:rPr>
              <w:t xml:space="preserve">Barrera funcional </w:t>
            </w:r>
          </w:p>
        </w:tc>
        <w:tc>
          <w:tcPr>
            <w:tcW w:w="1436" w:type="dxa"/>
          </w:tcPr>
          <w:p w14:paraId="3A8E99F1" w14:textId="77777777" w:rsidR="006B7BFE" w:rsidRPr="00C010B9" w:rsidRDefault="006B7BFE" w:rsidP="000F1682">
            <w:pPr>
              <w:pStyle w:val="Default"/>
              <w:rPr>
                <w:rFonts w:ascii="Arial" w:hAnsi="Arial" w:cs="Arial"/>
                <w:spacing w:val="-4"/>
                <w:sz w:val="22"/>
                <w:szCs w:val="22"/>
              </w:rPr>
            </w:pPr>
            <w:r w:rsidRPr="00C010B9">
              <w:rPr>
                <w:rFonts w:ascii="Arial" w:hAnsi="Arial"/>
                <w:spacing w:val="-4"/>
                <w:sz w:val="22"/>
              </w:rPr>
              <w:t xml:space="preserve">Artículo 6 </w:t>
            </w:r>
            <w:r w:rsidRPr="00C010B9">
              <w:rPr>
                <w:rFonts w:ascii="Arial" w:hAnsi="Arial"/>
                <w:i/>
                <w:iCs/>
                <w:spacing w:val="-4"/>
                <w:sz w:val="22"/>
              </w:rPr>
              <w:t>bis</w:t>
            </w:r>
            <w:r w:rsidRPr="00C010B9">
              <w:rPr>
                <w:rFonts w:ascii="Arial" w:hAnsi="Arial"/>
                <w:spacing w:val="-4"/>
                <w:sz w:val="22"/>
              </w:rPr>
              <w:t xml:space="preserve">, apartados 1 y 4 </w:t>
            </w:r>
          </w:p>
        </w:tc>
        <w:tc>
          <w:tcPr>
            <w:tcW w:w="1134" w:type="dxa"/>
          </w:tcPr>
          <w:p w14:paraId="0BB48AAC" w14:textId="77777777" w:rsidR="006B7BFE" w:rsidRPr="00C010B9" w:rsidRDefault="006B7BFE" w:rsidP="002F4768">
            <w:pPr>
              <w:pStyle w:val="Default"/>
              <w:rPr>
                <w:rFonts w:ascii="Arial" w:hAnsi="Arial" w:cs="Arial"/>
                <w:spacing w:val="-4"/>
                <w:sz w:val="22"/>
                <w:szCs w:val="22"/>
              </w:rPr>
            </w:pPr>
            <w:r w:rsidRPr="00C010B9">
              <w:rPr>
                <w:rFonts w:ascii="Arial" w:hAnsi="Arial"/>
                <w:spacing w:val="-4"/>
                <w:sz w:val="22"/>
              </w:rPr>
              <w:t xml:space="preserve">60 000 </w:t>
            </w:r>
          </w:p>
        </w:tc>
        <w:tc>
          <w:tcPr>
            <w:tcW w:w="1275" w:type="dxa"/>
          </w:tcPr>
          <w:p w14:paraId="28388CFA" w14:textId="77777777" w:rsidR="006B7BFE" w:rsidRPr="00C010B9" w:rsidRDefault="00A4031B" w:rsidP="006B7BFE">
            <w:pPr>
              <w:pStyle w:val="Default"/>
              <w:rPr>
                <w:rFonts w:ascii="Arial" w:hAnsi="Arial" w:cs="Arial"/>
                <w:spacing w:val="-4"/>
                <w:sz w:val="22"/>
                <w:szCs w:val="22"/>
              </w:rPr>
            </w:pPr>
            <w:r w:rsidRPr="00C010B9">
              <w:rPr>
                <w:rFonts w:ascii="Arial" w:hAnsi="Arial"/>
                <w:spacing w:val="-4"/>
                <w:sz w:val="22"/>
              </w:rPr>
              <w:t>60,50</w:t>
            </w:r>
          </w:p>
        </w:tc>
        <w:tc>
          <w:tcPr>
            <w:tcW w:w="1276" w:type="dxa"/>
          </w:tcPr>
          <w:p w14:paraId="1C8517E8" w14:textId="77777777" w:rsidR="006B7BFE" w:rsidRPr="00C010B9" w:rsidRDefault="00A4031B" w:rsidP="002F4768">
            <w:pPr>
              <w:pStyle w:val="Default"/>
              <w:rPr>
                <w:rFonts w:ascii="Arial" w:hAnsi="Arial" w:cs="Arial"/>
                <w:spacing w:val="-4"/>
                <w:sz w:val="22"/>
                <w:szCs w:val="22"/>
              </w:rPr>
            </w:pPr>
            <w:r w:rsidRPr="00C010B9">
              <w:rPr>
                <w:rFonts w:ascii="Arial" w:hAnsi="Arial"/>
                <w:spacing w:val="-4"/>
                <w:sz w:val="22"/>
              </w:rPr>
              <w:t xml:space="preserve">3 630 000 </w:t>
            </w:r>
          </w:p>
        </w:tc>
        <w:tc>
          <w:tcPr>
            <w:tcW w:w="1276" w:type="dxa"/>
          </w:tcPr>
          <w:p w14:paraId="38F2E4E4" w14:textId="77777777" w:rsidR="006B7BFE" w:rsidRPr="00C010B9" w:rsidRDefault="006B7BFE" w:rsidP="002F4768">
            <w:pPr>
              <w:pStyle w:val="Default"/>
              <w:rPr>
                <w:rFonts w:ascii="Arial" w:hAnsi="Arial" w:cs="Arial"/>
                <w:spacing w:val="-4"/>
                <w:sz w:val="22"/>
                <w:szCs w:val="22"/>
              </w:rPr>
            </w:pPr>
            <w:r w:rsidRPr="00C010B9">
              <w:rPr>
                <w:rFonts w:ascii="Arial" w:hAnsi="Arial"/>
                <w:spacing w:val="-4"/>
                <w:sz w:val="22"/>
              </w:rPr>
              <w:t xml:space="preserve">5 650 000 </w:t>
            </w:r>
          </w:p>
        </w:tc>
        <w:tc>
          <w:tcPr>
            <w:tcW w:w="1276" w:type="dxa"/>
            <w:shd w:val="clear" w:color="auto" w:fill="BFBFBF" w:themeFill="background1" w:themeFillShade="BF"/>
          </w:tcPr>
          <w:p w14:paraId="5943CEDA" w14:textId="77777777" w:rsidR="006B7BFE" w:rsidRPr="00C010B9" w:rsidRDefault="002F4768" w:rsidP="002F4768">
            <w:pPr>
              <w:pStyle w:val="Default"/>
              <w:rPr>
                <w:rFonts w:ascii="Arial" w:hAnsi="Arial" w:cs="Arial"/>
                <w:spacing w:val="-4"/>
                <w:sz w:val="22"/>
                <w:szCs w:val="22"/>
              </w:rPr>
            </w:pPr>
            <w:r w:rsidRPr="00C010B9">
              <w:rPr>
                <w:rFonts w:ascii="Arial" w:hAnsi="Arial"/>
                <w:b/>
                <w:spacing w:val="-4"/>
                <w:sz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Costes de cumplimiento anuales </w:t>
      </w:r>
    </w:p>
    <w:p w14:paraId="5CB6CCB6" w14:textId="521BA6B6" w:rsidR="006B7BFE" w:rsidRPr="00D43FA1" w:rsidRDefault="006B7BFE" w:rsidP="0086292F">
      <w:pPr>
        <w:pStyle w:val="Text"/>
        <w:keepNext/>
        <w:keepLines/>
        <w:spacing w:before="0" w:after="0"/>
        <w:jc w:val="left"/>
      </w:pPr>
    </w:p>
    <w:p w14:paraId="318EDF1F" w14:textId="77777777" w:rsidR="00D43FA1" w:rsidRDefault="006B7BFE" w:rsidP="0086292F">
      <w:pPr>
        <w:pStyle w:val="Text"/>
        <w:keepNext/>
        <w:keepLines/>
        <w:spacing w:before="0" w:after="0"/>
        <w:rPr>
          <w:i/>
          <w:iCs/>
        </w:rPr>
      </w:pPr>
      <w:r>
        <w:rPr>
          <w:i/>
        </w:rPr>
        <w:t xml:space="preserve">Los costes de cumplimiento anuales incluyen los costes de personal y de material para la inspección periódica, así como los costes adicionales derivados de la solución de embalaje conforme a la reglamentación según el artículo 6 </w:t>
      </w:r>
      <w:r>
        <w:t>bis</w:t>
      </w:r>
      <w:r>
        <w:rPr>
          <w:i/>
        </w:rPr>
        <w:t xml:space="preserve">. Los ensayos periódicos de productos alimenticios y de embalaje abarcan el muestreo, el análisis y la evaluación. </w:t>
      </w:r>
    </w:p>
    <w:p w14:paraId="61757831" w14:textId="2AB309E2" w:rsidR="006B7BFE" w:rsidRPr="00D43FA1" w:rsidRDefault="006B7BFE" w:rsidP="0086292F">
      <w:pPr>
        <w:pStyle w:val="Text"/>
        <w:keepNext/>
        <w:keepLines/>
        <w:spacing w:before="0" w:after="0"/>
        <w:rPr>
          <w:i/>
          <w:iCs/>
        </w:rPr>
      </w:pPr>
    </w:p>
    <w:p w14:paraId="3A014E51" w14:textId="43820923" w:rsidR="006B7BFE" w:rsidRPr="00C010B9" w:rsidRDefault="006B7BFE" w:rsidP="00557D18">
      <w:pPr>
        <w:pStyle w:val="Text"/>
        <w:numPr>
          <w:ilvl w:val="0"/>
          <w:numId w:val="5"/>
        </w:numPr>
        <w:spacing w:before="0" w:after="0"/>
        <w:rPr>
          <w:color w:val="000000"/>
          <w:spacing w:val="-4"/>
        </w:rPr>
      </w:pPr>
      <w:r w:rsidRPr="00C010B9">
        <w:rPr>
          <w:i/>
          <w:spacing w:val="-4"/>
        </w:rPr>
        <w:t>Número de casos</w:t>
      </w:r>
      <w:r w:rsidRPr="00C010B9">
        <w:rPr>
          <w:spacing w:val="-4"/>
        </w:rPr>
        <w:t xml:space="preserve"> </w:t>
      </w:r>
      <w:r w:rsidRPr="00C010B9">
        <w:rPr>
          <w:color w:val="000000"/>
          <w:spacing w:val="-4"/>
        </w:rPr>
        <w:t xml:space="preserve">(= productos afectados: productos alimenticios + materiales y objetos destinados a entrar en contacto con alimentos que entran en contacto con estos) </w:t>
      </w:r>
    </w:p>
    <w:p w14:paraId="6EA56C3D" w14:textId="77777777" w:rsidR="00D43FA1" w:rsidRPr="00D43FA1" w:rsidRDefault="00D43FA1" w:rsidP="00D43FA1">
      <w:pPr>
        <w:pStyle w:val="Text"/>
        <w:spacing w:before="0" w:after="0"/>
        <w:ind w:left="360"/>
        <w:rPr>
          <w:u w:val="single"/>
        </w:rPr>
      </w:pPr>
    </w:p>
    <w:p w14:paraId="5F264B2C" w14:textId="77777777" w:rsidR="006B7BFE" w:rsidRPr="00D43FA1" w:rsidRDefault="006B7BFE" w:rsidP="009140F6">
      <w:pPr>
        <w:pStyle w:val="Text"/>
        <w:spacing w:before="0" w:after="0"/>
      </w:pPr>
      <w:r>
        <w:t xml:space="preserve">El número total de productos sujetos al Decreto se deriva de acuerdo con el número de casos de productos para los costes de adaptación únicos: se ven afectados fundamentalmente 10 000 productos, hay que modificar el embalaje para 5 000 productos. La conformidad del nuevo embalaje de estos 5 000 productos se comprueba anualmente. Según las empresas encuestadas, este esfuerzo también se realiza para los productos que no se van a modificar. Se supone que el ensayo corresponde a alrededor de un tercio del esfuerzo de los productos modificados.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rPr>
        <w:t>Costes de personal</w:t>
      </w:r>
    </w:p>
    <w:p w14:paraId="0FD42608" w14:textId="77777777" w:rsidR="006B7BFE" w:rsidRPr="00D43FA1" w:rsidRDefault="006B7BFE" w:rsidP="0070360F">
      <w:pPr>
        <w:pStyle w:val="Text"/>
        <w:keepNext/>
        <w:keepLines/>
        <w:spacing w:before="0" w:after="0"/>
        <w:rPr>
          <w:i/>
          <w:iCs/>
          <w:u w:val="single"/>
        </w:rPr>
      </w:pPr>
    </w:p>
    <w:p w14:paraId="58C3C95C" w14:textId="77777777" w:rsidR="006B7BFE" w:rsidRPr="00D43FA1" w:rsidRDefault="00E71594" w:rsidP="009140F6">
      <w:pPr>
        <w:pStyle w:val="Text"/>
        <w:spacing w:before="0" w:after="0"/>
      </w:pPr>
      <w:r>
        <w:t xml:space="preserve">Los costes de cumplimiento anuales resultan de los costes de personal para las tareas en el ámbito del ensayo periódico de los productos alimenticios y los correspondientes materiales y objetos destinados al contacto con alimentos (generalmente, embalajes) (preparación y seguimiento de los ensayos de laboratorio; los análisis en sí se realizan principalmente de forma externa). Se preguntó por los costes totales de todos los productos afectados de una empresa, y estos costes totales se asignaron al número de productos de la empresa que entran en el ámbito de aplicación del Decreto. </w:t>
      </w:r>
    </w:p>
    <w:p w14:paraId="6A10C10F" w14:textId="77777777" w:rsidR="006B7BFE" w:rsidRPr="00D43FA1" w:rsidRDefault="006B7BFE" w:rsidP="009140F6">
      <w:pPr>
        <w:pStyle w:val="Text"/>
        <w:spacing w:before="0" w:after="0"/>
        <w:rPr>
          <w:vertAlign w:val="superscript"/>
        </w:rPr>
      </w:pPr>
      <w:r>
        <w:t xml:space="preserve">Sobre la base de las entrevistas, fue posible determinar que para el ensayo de los productos alimenticios y los correspondientes materiales y objetos destinados al contacto con alimentos se requerirá un tiempo anual de aproximadamente </w:t>
      </w:r>
      <w:r>
        <w:rPr>
          <w:b/>
        </w:rPr>
        <w:t>tres horas por producto</w:t>
      </w:r>
      <w:r>
        <w:t>. Además del análisis para la detección de MOAH, este tiempo incluye los trabajos preparatorios, como el muestreo. El salario se fija en 60,50 EUR/hora</w:t>
      </w:r>
      <w:r>
        <w:rPr>
          <w:vertAlign w:val="superscript"/>
        </w:rPr>
        <w:t>3</w:t>
      </w:r>
      <w:r>
        <w:t>.</w:t>
      </w:r>
    </w:p>
    <w:p w14:paraId="1FCB5935" w14:textId="77777777" w:rsidR="006B7BFE" w:rsidRPr="00C010B9" w:rsidRDefault="006B7BFE" w:rsidP="009140F6">
      <w:pPr>
        <w:pStyle w:val="Text"/>
        <w:spacing w:before="0" w:after="0"/>
        <w:rPr>
          <w:spacing w:val="-4"/>
          <w:vertAlign w:val="superscript"/>
        </w:rPr>
      </w:pPr>
      <w:r w:rsidRPr="00C010B9">
        <w:rPr>
          <w:spacing w:val="-4"/>
        </w:rPr>
        <w:t xml:space="preserve">Según las entrevistas, los productos no modificados (el 50 % del número total, es decir, 5 000 productos) se someten a ensayos menos intensivos. El tiempo requerido anualmente corresponde en consecuencia a </w:t>
      </w:r>
      <w:r w:rsidRPr="00C010B9">
        <w:rPr>
          <w:b/>
          <w:spacing w:val="-4"/>
        </w:rPr>
        <w:t>una hora por producto</w:t>
      </w:r>
      <w:r w:rsidRPr="00C010B9">
        <w:rPr>
          <w:spacing w:val="-4"/>
        </w:rPr>
        <w:t>. El salario se fija en 60,50 EUR/hora</w:t>
      </w:r>
      <w:r w:rsidRPr="00C010B9">
        <w:rPr>
          <w:spacing w:val="-4"/>
          <w:vertAlign w:val="superscript"/>
        </w:rPr>
        <w:t>3</w:t>
      </w:r>
      <w:r w:rsidRPr="00C010B9">
        <w:rPr>
          <w:spacing w:val="-4"/>
        </w:rPr>
        <w:t>.</w:t>
      </w:r>
      <w:r w:rsidRPr="00C010B9">
        <w:rPr>
          <w:spacing w:val="-4"/>
          <w:vertAlign w:val="superscript"/>
        </w:rPr>
        <w:t xml:space="preserve"> </w:t>
      </w:r>
    </w:p>
    <w:p w14:paraId="572A0A4A" w14:textId="671EEE96" w:rsidR="006B7BFE" w:rsidRPr="00D43FA1" w:rsidRDefault="006B7BFE" w:rsidP="009140F6">
      <w:pPr>
        <w:pStyle w:val="Text"/>
        <w:spacing w:before="0" w:after="0"/>
      </w:pPr>
      <w:r>
        <w:lastRenderedPageBreak/>
        <w:t xml:space="preserve">Por consiguiente, los costes de personal anuales son los siguientes: 3 horas de tiempo de ensayo x 60,50 EUR de salario x 5 000 productos + 1 hora de tiempo de ensayo x 60,50 EUR de salario x 5 000 productos = 1 210 000 EUR.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rPr>
        <w:t xml:space="preserve">Costes de material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D43FA1" w:rsidRDefault="006B7BFE" w:rsidP="009140F6">
      <w:pPr>
        <w:pStyle w:val="Text"/>
        <w:spacing w:before="0" w:after="0"/>
      </w:pPr>
      <w:r>
        <w:t xml:space="preserve">Los costes de material se componen de los costes para el ensayo periódico de los productos alimenticios y los correspondientes materiales y objetos destinados al contacto con alimentos (generalmente, embalajes), así como de los costes adicionales para los embalajes que se modificarán. Los costes surgen de la adjudicación de los ensayos a laboratorios externos. Son pocas las empresas que realizan los análisis por completo de manera independiente. Se preguntó por los costes de todos los productos afectados de una empresa, y estos costes totales se asignaron al número de productos de la empresa que entran en el ámbito de aplicación del Decreto. </w:t>
      </w:r>
    </w:p>
    <w:p w14:paraId="05FEEC02" w14:textId="77777777" w:rsidR="006B7BFE" w:rsidRPr="00D43FA1" w:rsidRDefault="006B7BFE" w:rsidP="009140F6">
      <w:pPr>
        <w:pStyle w:val="Text"/>
        <w:spacing w:before="0" w:after="0"/>
      </w:pPr>
      <w:r>
        <w:t xml:space="preserve">Sobre la base de las entrevistas, fue posible determinar que para el ensayo de los productos alimenticios y los correspondientes materiales y objetos destinados al contacto con alimentos se generan costes anuales de alrededor de </w:t>
      </w:r>
      <w:r>
        <w:rPr>
          <w:b/>
        </w:rPr>
        <w:t>290 EUR por producto</w:t>
      </w:r>
      <w:r>
        <w:t xml:space="preserve">. Estos costes de material surgen para 5 000 productos. Para los ensayos menos intensivos de los productos alimenticios que no se modificarán se determinaron alrededor de </w:t>
      </w:r>
      <w:r>
        <w:rPr>
          <w:b/>
        </w:rPr>
        <w:t>100 EUR por producto</w:t>
      </w:r>
      <w:r>
        <w:t xml:space="preserve">, que se generan para 5 000 productos. </w:t>
      </w:r>
    </w:p>
    <w:p w14:paraId="1FB0BAEE" w14:textId="77777777" w:rsidR="006B7BFE" w:rsidRPr="00D43FA1" w:rsidRDefault="006B7BFE" w:rsidP="009140F6">
      <w:pPr>
        <w:pStyle w:val="Text"/>
        <w:spacing w:before="0" w:after="0"/>
      </w:pPr>
      <w:r>
        <w:t xml:space="preserve">Los costes adicionales del material de embalaje para los 5 000 productos que se modificarán ascienden a alrededor de </w:t>
      </w:r>
      <w:r>
        <w:rPr>
          <w:b/>
        </w:rPr>
        <w:t>1 000 EUR por producto</w:t>
      </w:r>
      <w:r>
        <w:t xml:space="preserve">. </w:t>
      </w:r>
    </w:p>
    <w:p w14:paraId="5A000AC2" w14:textId="77777777" w:rsidR="006B7BFE" w:rsidRPr="00D43FA1" w:rsidRDefault="006B7BFE" w:rsidP="009140F6">
      <w:pPr>
        <w:pStyle w:val="Text"/>
        <w:spacing w:before="0" w:after="0"/>
      </w:pPr>
      <w:r>
        <w:t xml:space="preserve">Por consiguiente, los costes de material anuales son los siguientes: 290 EUR de costes de ensayo x 5 000 productos + 100 EUR de costes de ensayo x 5 000 productos + 1 000 EUR de costes de material x 5 000 productos = 6 950 000 EUR.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rPr>
        <w:t xml:space="preserve">Tabla 3: Resumen de los costes de cumplimiento corrientes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276"/>
      </w:tblGrid>
      <w:tr w:rsidR="006B7BFE" w:rsidRPr="00C010B9" w14:paraId="1A7C22AA" w14:textId="77777777" w:rsidTr="0070360F">
        <w:tc>
          <w:tcPr>
            <w:tcW w:w="2660" w:type="dxa"/>
            <w:gridSpan w:val="2"/>
          </w:tcPr>
          <w:p w14:paraId="4EBDEFBC" w14:textId="603EE879" w:rsidR="006B7BFE" w:rsidRPr="00C010B9" w:rsidRDefault="006B7BFE" w:rsidP="0070360F">
            <w:pPr>
              <w:pStyle w:val="Default"/>
              <w:keepNext/>
              <w:keepLines/>
              <w:rPr>
                <w:rFonts w:ascii="Arial" w:hAnsi="Arial" w:cs="Arial"/>
                <w:b/>
                <w:spacing w:val="-4"/>
                <w:sz w:val="22"/>
                <w:szCs w:val="22"/>
              </w:rPr>
            </w:pPr>
            <w:r w:rsidRPr="00C010B9">
              <w:rPr>
                <w:rFonts w:ascii="Arial" w:hAnsi="Arial"/>
                <w:b/>
                <w:spacing w:val="-4"/>
                <w:sz w:val="22"/>
              </w:rPr>
              <w:t xml:space="preserve">Requisito/obligación de información </w:t>
            </w:r>
          </w:p>
          <w:p w14:paraId="67A2E6B2" w14:textId="77777777" w:rsidR="006B7BFE" w:rsidRPr="00C010B9" w:rsidRDefault="006B7BFE" w:rsidP="0070360F">
            <w:pPr>
              <w:pStyle w:val="Default"/>
              <w:keepNext/>
              <w:keepLines/>
              <w:rPr>
                <w:rFonts w:ascii="Arial" w:hAnsi="Arial" w:cs="Arial"/>
                <w:b/>
                <w:spacing w:val="-4"/>
                <w:sz w:val="22"/>
                <w:szCs w:val="22"/>
              </w:rPr>
            </w:pPr>
          </w:p>
        </w:tc>
        <w:tc>
          <w:tcPr>
            <w:tcW w:w="1276" w:type="dxa"/>
          </w:tcPr>
          <w:p w14:paraId="06CC8623" w14:textId="567C670A" w:rsidR="006B7BFE" w:rsidRPr="00C010B9" w:rsidRDefault="006B7BFE" w:rsidP="0070360F">
            <w:pPr>
              <w:pStyle w:val="Default"/>
              <w:keepNext/>
              <w:keepLines/>
              <w:rPr>
                <w:rFonts w:ascii="Arial" w:hAnsi="Arial" w:cs="Arial"/>
                <w:b/>
                <w:spacing w:val="-4"/>
                <w:sz w:val="22"/>
                <w:szCs w:val="22"/>
              </w:rPr>
            </w:pPr>
            <w:r w:rsidRPr="00C010B9">
              <w:rPr>
                <w:rFonts w:ascii="Arial" w:hAnsi="Arial"/>
                <w:b/>
                <w:spacing w:val="-4"/>
                <w:sz w:val="22"/>
              </w:rPr>
              <w:t xml:space="preserve">Tiempo requerido </w:t>
            </w:r>
            <w:proofErr w:type="gramStart"/>
            <w:r w:rsidRPr="00C010B9">
              <w:rPr>
                <w:rFonts w:ascii="Arial" w:hAnsi="Arial"/>
                <w:b/>
                <w:spacing w:val="-4"/>
                <w:sz w:val="22"/>
              </w:rPr>
              <w:t>anual</w:t>
            </w:r>
            <w:r w:rsidR="00C010B9">
              <w:rPr>
                <w:rFonts w:ascii="Arial" w:hAnsi="Arial"/>
                <w:b/>
                <w:spacing w:val="-4"/>
                <w:sz w:val="22"/>
              </w:rPr>
              <w:t>-</w:t>
            </w:r>
            <w:r w:rsidRPr="00C010B9">
              <w:rPr>
                <w:rFonts w:ascii="Arial" w:hAnsi="Arial"/>
                <w:b/>
                <w:spacing w:val="-4"/>
                <w:sz w:val="22"/>
              </w:rPr>
              <w:t>mente</w:t>
            </w:r>
            <w:proofErr w:type="gramEnd"/>
            <w:r w:rsidRPr="00C010B9">
              <w:rPr>
                <w:rFonts w:ascii="Arial" w:hAnsi="Arial"/>
                <w:b/>
                <w:spacing w:val="-4"/>
                <w:sz w:val="22"/>
              </w:rPr>
              <w:t xml:space="preserve"> (en horas) </w:t>
            </w:r>
          </w:p>
        </w:tc>
        <w:tc>
          <w:tcPr>
            <w:tcW w:w="1275" w:type="dxa"/>
          </w:tcPr>
          <w:p w14:paraId="6C38D040" w14:textId="63516781" w:rsidR="006B7BFE" w:rsidRPr="00C010B9" w:rsidRDefault="006B7BFE" w:rsidP="0070360F">
            <w:pPr>
              <w:pStyle w:val="Default"/>
              <w:keepNext/>
              <w:keepLines/>
              <w:rPr>
                <w:rFonts w:ascii="Arial" w:hAnsi="Arial" w:cs="Arial"/>
                <w:b/>
                <w:spacing w:val="-4"/>
                <w:sz w:val="22"/>
                <w:szCs w:val="22"/>
              </w:rPr>
            </w:pPr>
            <w:r w:rsidRPr="00C010B9">
              <w:rPr>
                <w:rFonts w:ascii="Arial" w:hAnsi="Arial"/>
                <w:b/>
                <w:spacing w:val="-4"/>
                <w:sz w:val="22"/>
              </w:rPr>
              <w:t xml:space="preserve">Tasa salarial (en EUR/hora) </w:t>
            </w:r>
          </w:p>
        </w:tc>
        <w:tc>
          <w:tcPr>
            <w:tcW w:w="1276" w:type="dxa"/>
          </w:tcPr>
          <w:p w14:paraId="759A246A" w14:textId="299BA053" w:rsidR="006B7BFE" w:rsidRPr="00C010B9" w:rsidRDefault="006B7BFE" w:rsidP="0070360F">
            <w:pPr>
              <w:pStyle w:val="Default"/>
              <w:keepNext/>
              <w:keepLines/>
              <w:rPr>
                <w:rFonts w:ascii="Arial" w:hAnsi="Arial" w:cs="Arial"/>
                <w:b/>
                <w:spacing w:val="-4"/>
                <w:sz w:val="22"/>
                <w:szCs w:val="22"/>
              </w:rPr>
            </w:pPr>
            <w:r w:rsidRPr="00C010B9">
              <w:rPr>
                <w:rFonts w:ascii="Arial" w:hAnsi="Arial"/>
                <w:b/>
                <w:spacing w:val="-4"/>
                <w:sz w:val="22"/>
              </w:rPr>
              <w:t xml:space="preserve">Costes de personal anuales (en EUR) </w:t>
            </w:r>
          </w:p>
        </w:tc>
        <w:tc>
          <w:tcPr>
            <w:tcW w:w="1276" w:type="dxa"/>
          </w:tcPr>
          <w:p w14:paraId="3BAD02CC" w14:textId="52624B6B" w:rsidR="006B7BFE" w:rsidRPr="00C010B9" w:rsidRDefault="006B7BFE" w:rsidP="0070360F">
            <w:pPr>
              <w:pStyle w:val="Default"/>
              <w:keepNext/>
              <w:keepLines/>
              <w:rPr>
                <w:rFonts w:ascii="Arial" w:hAnsi="Arial" w:cs="Arial"/>
                <w:b/>
                <w:spacing w:val="-4"/>
                <w:sz w:val="22"/>
                <w:szCs w:val="22"/>
              </w:rPr>
            </w:pPr>
            <w:r w:rsidRPr="00C010B9">
              <w:rPr>
                <w:rFonts w:ascii="Arial" w:hAnsi="Arial"/>
                <w:b/>
                <w:spacing w:val="-4"/>
                <w:sz w:val="22"/>
              </w:rPr>
              <w:t xml:space="preserve">Costes de material anuales (en EUR) </w:t>
            </w:r>
          </w:p>
        </w:tc>
        <w:tc>
          <w:tcPr>
            <w:tcW w:w="1276" w:type="dxa"/>
          </w:tcPr>
          <w:p w14:paraId="7EA852C4" w14:textId="19985EFC" w:rsidR="006B7BFE" w:rsidRPr="00C010B9" w:rsidRDefault="006B7BFE" w:rsidP="0070360F">
            <w:pPr>
              <w:pStyle w:val="Default"/>
              <w:keepNext/>
              <w:keepLines/>
              <w:rPr>
                <w:rFonts w:ascii="Arial" w:hAnsi="Arial" w:cs="Arial"/>
                <w:b/>
                <w:spacing w:val="-4"/>
                <w:sz w:val="22"/>
                <w:szCs w:val="22"/>
              </w:rPr>
            </w:pPr>
            <w:r w:rsidRPr="00C010B9">
              <w:rPr>
                <w:rFonts w:ascii="Arial" w:hAnsi="Arial"/>
                <w:b/>
                <w:spacing w:val="-4"/>
                <w:sz w:val="22"/>
              </w:rPr>
              <w:t xml:space="preserve">Costes de </w:t>
            </w:r>
            <w:proofErr w:type="spellStart"/>
            <w:r w:rsidRPr="00C010B9">
              <w:rPr>
                <w:rFonts w:ascii="Arial" w:hAnsi="Arial"/>
                <w:b/>
                <w:spacing w:val="-4"/>
                <w:sz w:val="22"/>
              </w:rPr>
              <w:t>cumpli</w:t>
            </w:r>
            <w:proofErr w:type="spellEnd"/>
            <w:r w:rsidR="00C010B9">
              <w:rPr>
                <w:rFonts w:ascii="Arial" w:hAnsi="Arial"/>
                <w:b/>
                <w:spacing w:val="-4"/>
                <w:sz w:val="22"/>
              </w:rPr>
              <w:t>-</w:t>
            </w:r>
            <w:r w:rsidRPr="00C010B9">
              <w:rPr>
                <w:rFonts w:ascii="Arial" w:hAnsi="Arial"/>
                <w:b/>
                <w:spacing w:val="-4"/>
                <w:sz w:val="22"/>
              </w:rPr>
              <w:t xml:space="preserve">miento anuales (en EUR) </w:t>
            </w:r>
          </w:p>
        </w:tc>
      </w:tr>
      <w:tr w:rsidR="006B7BFE" w:rsidRPr="00C010B9" w14:paraId="17404952" w14:textId="77777777" w:rsidTr="0070360F">
        <w:tc>
          <w:tcPr>
            <w:tcW w:w="1366" w:type="dxa"/>
          </w:tcPr>
          <w:p w14:paraId="274A982B" w14:textId="77777777" w:rsidR="006B7BFE" w:rsidRPr="00C010B9" w:rsidRDefault="006B7BFE" w:rsidP="006B7BFE">
            <w:pPr>
              <w:pStyle w:val="Default"/>
              <w:rPr>
                <w:rFonts w:ascii="Arial" w:hAnsi="Arial" w:cs="Arial"/>
                <w:spacing w:val="-4"/>
                <w:sz w:val="22"/>
                <w:szCs w:val="22"/>
              </w:rPr>
            </w:pPr>
            <w:r w:rsidRPr="00C010B9">
              <w:rPr>
                <w:rFonts w:ascii="Arial" w:hAnsi="Arial"/>
                <w:spacing w:val="-4"/>
                <w:sz w:val="22"/>
              </w:rPr>
              <w:t xml:space="preserve">Barrera funcional </w:t>
            </w:r>
          </w:p>
        </w:tc>
        <w:tc>
          <w:tcPr>
            <w:tcW w:w="1294" w:type="dxa"/>
          </w:tcPr>
          <w:p w14:paraId="73BC7D3D" w14:textId="77777777" w:rsidR="006B7BFE" w:rsidRPr="00C010B9" w:rsidRDefault="006B7BFE" w:rsidP="000F1682">
            <w:pPr>
              <w:pStyle w:val="Default"/>
              <w:rPr>
                <w:rFonts w:ascii="Arial" w:hAnsi="Arial" w:cs="Arial"/>
                <w:spacing w:val="-4"/>
                <w:sz w:val="22"/>
                <w:szCs w:val="22"/>
              </w:rPr>
            </w:pPr>
            <w:r w:rsidRPr="00C010B9">
              <w:rPr>
                <w:rFonts w:ascii="Arial" w:hAnsi="Arial"/>
                <w:spacing w:val="-4"/>
                <w:sz w:val="22"/>
              </w:rPr>
              <w:t xml:space="preserve">Artículo 6 </w:t>
            </w:r>
            <w:r w:rsidRPr="00C010B9">
              <w:rPr>
                <w:rFonts w:ascii="Arial" w:hAnsi="Arial"/>
                <w:i/>
                <w:iCs/>
                <w:spacing w:val="-4"/>
                <w:sz w:val="22"/>
              </w:rPr>
              <w:t>bis</w:t>
            </w:r>
            <w:r w:rsidRPr="00C010B9">
              <w:rPr>
                <w:rFonts w:ascii="Arial" w:hAnsi="Arial"/>
                <w:spacing w:val="-4"/>
                <w:sz w:val="22"/>
              </w:rPr>
              <w:t xml:space="preserve">, apartados 1 y 4 </w:t>
            </w:r>
          </w:p>
        </w:tc>
        <w:tc>
          <w:tcPr>
            <w:tcW w:w="1276" w:type="dxa"/>
          </w:tcPr>
          <w:p w14:paraId="211D8246" w14:textId="77777777" w:rsidR="006B7BFE" w:rsidRPr="00C010B9" w:rsidRDefault="006B7BFE" w:rsidP="002F4768">
            <w:pPr>
              <w:pStyle w:val="Default"/>
              <w:rPr>
                <w:rFonts w:ascii="Arial" w:hAnsi="Arial" w:cs="Arial"/>
                <w:spacing w:val="-4"/>
                <w:sz w:val="22"/>
                <w:szCs w:val="22"/>
              </w:rPr>
            </w:pPr>
            <w:r w:rsidRPr="00C010B9">
              <w:rPr>
                <w:rFonts w:ascii="Arial" w:hAnsi="Arial"/>
                <w:spacing w:val="-4"/>
                <w:sz w:val="22"/>
              </w:rPr>
              <w:t xml:space="preserve">20 000 </w:t>
            </w:r>
          </w:p>
        </w:tc>
        <w:tc>
          <w:tcPr>
            <w:tcW w:w="1275" w:type="dxa"/>
          </w:tcPr>
          <w:p w14:paraId="041B8DAD" w14:textId="77777777" w:rsidR="006B7BFE" w:rsidRPr="00C010B9" w:rsidRDefault="00A4031B" w:rsidP="006B7BFE">
            <w:pPr>
              <w:pStyle w:val="Default"/>
              <w:rPr>
                <w:rFonts w:ascii="Arial" w:hAnsi="Arial" w:cs="Arial"/>
                <w:spacing w:val="-4"/>
                <w:sz w:val="22"/>
                <w:szCs w:val="22"/>
              </w:rPr>
            </w:pPr>
            <w:r w:rsidRPr="00C010B9">
              <w:rPr>
                <w:rFonts w:ascii="Arial" w:hAnsi="Arial"/>
                <w:spacing w:val="-4"/>
                <w:sz w:val="22"/>
              </w:rPr>
              <w:t>60,50</w:t>
            </w:r>
          </w:p>
        </w:tc>
        <w:tc>
          <w:tcPr>
            <w:tcW w:w="1276" w:type="dxa"/>
          </w:tcPr>
          <w:p w14:paraId="3016DBF2" w14:textId="77777777" w:rsidR="006B7BFE" w:rsidRPr="00C010B9" w:rsidRDefault="00A4031B" w:rsidP="002F4768">
            <w:pPr>
              <w:pStyle w:val="Default"/>
              <w:rPr>
                <w:rFonts w:ascii="Arial" w:hAnsi="Arial" w:cs="Arial"/>
                <w:spacing w:val="-4"/>
                <w:sz w:val="22"/>
                <w:szCs w:val="22"/>
              </w:rPr>
            </w:pPr>
            <w:r w:rsidRPr="00C010B9">
              <w:rPr>
                <w:rFonts w:ascii="Arial" w:hAnsi="Arial"/>
                <w:spacing w:val="-4"/>
                <w:sz w:val="22"/>
              </w:rPr>
              <w:t xml:space="preserve">1 210 000 </w:t>
            </w:r>
          </w:p>
        </w:tc>
        <w:tc>
          <w:tcPr>
            <w:tcW w:w="1276" w:type="dxa"/>
          </w:tcPr>
          <w:p w14:paraId="7800B24B" w14:textId="77777777" w:rsidR="006B7BFE" w:rsidRPr="00C010B9" w:rsidRDefault="006B7BFE" w:rsidP="002F4768">
            <w:pPr>
              <w:pStyle w:val="Default"/>
              <w:rPr>
                <w:rFonts w:ascii="Arial" w:hAnsi="Arial" w:cs="Arial"/>
                <w:spacing w:val="-4"/>
                <w:sz w:val="22"/>
                <w:szCs w:val="22"/>
              </w:rPr>
            </w:pPr>
            <w:r w:rsidRPr="00C010B9">
              <w:rPr>
                <w:rFonts w:ascii="Arial" w:hAnsi="Arial"/>
                <w:spacing w:val="-4"/>
                <w:sz w:val="22"/>
              </w:rPr>
              <w:t xml:space="preserve">6 950 000 </w:t>
            </w:r>
          </w:p>
        </w:tc>
        <w:tc>
          <w:tcPr>
            <w:tcW w:w="1276" w:type="dxa"/>
            <w:shd w:val="clear" w:color="auto" w:fill="BFBFBF" w:themeFill="background1" w:themeFillShade="BF"/>
          </w:tcPr>
          <w:p w14:paraId="4DC4F037" w14:textId="77777777" w:rsidR="006B7BFE" w:rsidRPr="00C010B9" w:rsidRDefault="002F4768" w:rsidP="002F4768">
            <w:pPr>
              <w:pStyle w:val="Default"/>
              <w:rPr>
                <w:rFonts w:ascii="Arial" w:hAnsi="Arial" w:cs="Arial"/>
                <w:spacing w:val="-4"/>
                <w:sz w:val="22"/>
                <w:szCs w:val="22"/>
              </w:rPr>
            </w:pPr>
            <w:r w:rsidRPr="00C010B9">
              <w:rPr>
                <w:rFonts w:ascii="Arial" w:hAnsi="Arial"/>
                <w:b/>
                <w:spacing w:val="-4"/>
                <w:sz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u w:val="single"/>
        </w:rPr>
        <w:t xml:space="preserve">Declaración escrita o electrónica de la renuncia a barreras funcionales según el artículo 6 </w:t>
      </w:r>
      <w:r>
        <w:rPr>
          <w:b/>
          <w:i/>
          <w:iCs/>
          <w:u w:val="single"/>
        </w:rPr>
        <w:t>bis</w:t>
      </w:r>
      <w:r>
        <w:rPr>
          <w:b/>
          <w:u w:val="single"/>
        </w:rPr>
        <w:t xml:space="preserve">, apartado 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Costes de adaptación únicos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No se generan costes de adaptación únicos.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b) Costes de cumplimiento anuales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La información adicional requerida, es decir, el contenido de una declaración de renuncia, ya es objeto de debate entre los fabricantes de envases y alimentos como parte de los acuerdos sobre el material de envasado. Los costes de cumplimiento adicionales que surgen son reducidos.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u w:val="single"/>
        </w:rPr>
        <w:t xml:space="preserve">Obligación de demostrar la exclusión de la migración de MOAH según el artículo 6 </w:t>
      </w:r>
      <w:r>
        <w:rPr>
          <w:b/>
          <w:i/>
          <w:iCs/>
          <w:u w:val="single"/>
        </w:rPr>
        <w:t>bis</w:t>
      </w:r>
      <w:r>
        <w:rPr>
          <w:b/>
          <w:u w:val="single"/>
        </w:rPr>
        <w:t>, apartados 1, 2 y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Costes de adaptación únicos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No se generan costes de adaptación únicos.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t xml:space="preserve">b) Costes de cumplimiento anuales </w:t>
      </w:r>
    </w:p>
    <w:p w14:paraId="3DD42870" w14:textId="77777777" w:rsidR="006B7BFE" w:rsidRPr="00D43FA1" w:rsidRDefault="006B7BFE" w:rsidP="0070360F">
      <w:pPr>
        <w:pStyle w:val="Text"/>
        <w:keepNext/>
        <w:keepLines/>
        <w:spacing w:before="0" w:after="0"/>
      </w:pPr>
    </w:p>
    <w:p w14:paraId="0F203911" w14:textId="77777777" w:rsidR="00013F7F" w:rsidRPr="00C010B9" w:rsidRDefault="006B7BFE" w:rsidP="00557D18">
      <w:pPr>
        <w:pStyle w:val="Text"/>
        <w:spacing w:before="0" w:after="0"/>
        <w:rPr>
          <w:spacing w:val="-4"/>
        </w:rPr>
      </w:pPr>
      <w:r w:rsidRPr="00C010B9">
        <w:rPr>
          <w:spacing w:val="-4"/>
        </w:rPr>
        <w:t>En el Reglamento (CE) n.º 2023/2006 de la Comisión, de 22 de diciembre de 2006, sobre buenas prácticas de fabricación de materiales y objetos destinados a entrar en contacto con alimentos (DO L 384 de 29.12.2006, p. 75) (el denominado «Reglamento GMP»), ya se estableció un requisito de documentación general para los materiales y objetos destinados al contacto con alimentos. Además, mediante el ensayo inicial y los ensayos periódicos de los productos alimenticios y los envases de alimentos ya se elaboran documentos que pueden servir de prueba. Los costes de cumplimiento adicionales que surgen son reducidos.</w:t>
      </w:r>
    </w:p>
    <w:p w14:paraId="6239F5A0" w14:textId="77777777" w:rsidR="00013F7F" w:rsidRPr="00D43FA1" w:rsidRDefault="00013F7F" w:rsidP="00013F7F">
      <w:pPr>
        <w:pStyle w:val="Text"/>
        <w:spacing w:before="0" w:after="0"/>
        <w:jc w:val="left"/>
      </w:pPr>
    </w:p>
    <w:p w14:paraId="24214F93" w14:textId="3181681B" w:rsidR="00425BF3" w:rsidRPr="00D43FA1" w:rsidRDefault="00425BF3" w:rsidP="00557D18">
      <w:pPr>
        <w:pStyle w:val="Text"/>
        <w:spacing w:before="0" w:after="0"/>
      </w:pPr>
      <w:r>
        <w:t>Las disposiciones del Decreto se aplicarán a las pequeñas y medianas empresas (pymes) en la misma medida. No es posible establecer exenciones especiales para las pymes por motivos de protección de la salud de los consumidores. No obstante, el Decreto prevé exenciones generales para el uso de una barrera funcional, siempre que se cumplan las condiciones necesarias para ello.</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Los costes de cumplimiento adicionales corrientes para las empresas derivados de este proyecto están sujetos al principio de «uno por otro». No puede efectuarse una compensación en el marco del presente Decreto. Por consiguiente, los costes de cumplimiento se ven compensados por otro proyecto de reglamentación.</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Costes de cumplimiento para la ciudadanía</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El Decreto no generará costes de cumplimiento para la ciudadanía.</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Otros costes</w:t>
      </w:r>
    </w:p>
    <w:p w14:paraId="4A6DA429" w14:textId="77777777" w:rsidR="000F4A0B" w:rsidRPr="00D43FA1" w:rsidRDefault="00CB5E99">
      <w:pPr>
        <w:pStyle w:val="Text"/>
      </w:pPr>
      <w:r>
        <w:t>No es posible descartar por completo las repercusiones sobre los precios unitarios, pero no se esperan repercusiones sobre el nivel de precios general, ni en particular sobre el nivel de precios del consumidor.</w:t>
      </w:r>
    </w:p>
    <w:p w14:paraId="6B3FA7B6" w14:textId="77777777" w:rsidR="000F4A0B" w:rsidRPr="00D43FA1" w:rsidRDefault="000F4A0B" w:rsidP="000F4A0B">
      <w:pPr>
        <w:pStyle w:val="berschriftarabischBegrndung"/>
      </w:pPr>
      <w:r>
        <w:t>Otras repercusiones de la legislación</w:t>
      </w:r>
    </w:p>
    <w:p w14:paraId="0411E3C3" w14:textId="77777777" w:rsidR="000F4A0B" w:rsidRPr="00D43FA1" w:rsidRDefault="000F4A0B" w:rsidP="000F4A0B">
      <w:pPr>
        <w:pStyle w:val="Text"/>
      </w:pPr>
      <w:r>
        <w:t xml:space="preserve">El Decreto no contiene reglamentaciones que tengan efectos específicos sobre las condiciones de vida de las mujeres o los hombres. Se tendrá en consideración la protección de la salud de las mujeres y los hombres en la misma medida. Por esta razón, no se prevé ninguna repercusión sobre la igualdad de género. </w:t>
      </w:r>
    </w:p>
    <w:p w14:paraId="3D5B6005" w14:textId="77777777" w:rsidR="000F4A0B" w:rsidRPr="00D43FA1" w:rsidRDefault="000F4A0B" w:rsidP="000F4A0B">
      <w:pPr>
        <w:pStyle w:val="berschriftrmischBegrndung"/>
      </w:pPr>
      <w:r>
        <w:t>Limitación del plazo; evaluación</w:t>
      </w:r>
    </w:p>
    <w:p w14:paraId="713DB2AE" w14:textId="14616EF4" w:rsidR="00BE6637" w:rsidRPr="00D43FA1" w:rsidRDefault="006504FE" w:rsidP="000F4A0B">
      <w:pPr>
        <w:pStyle w:val="Text"/>
      </w:pPr>
      <w:r>
        <w:t xml:space="preserve">El Decreto no está limitado en el tiempo, ya que la protección de los consumidores debe garantizarse de forma permanente. </w:t>
      </w:r>
    </w:p>
    <w:p w14:paraId="757F71C9" w14:textId="58E77352" w:rsidR="000F4A0B" w:rsidRPr="00C010B9" w:rsidRDefault="00BE6637" w:rsidP="00C010B9">
      <w:pPr>
        <w:pStyle w:val="Text"/>
        <w:keepLines/>
        <w:rPr>
          <w:spacing w:val="-4"/>
          <w:highlight w:val="yellow"/>
        </w:rPr>
      </w:pPr>
      <w:r w:rsidRPr="00C010B9">
        <w:rPr>
          <w:spacing w:val="-4"/>
        </w:rPr>
        <w:lastRenderedPageBreak/>
        <w:t xml:space="preserve">Sin embargo, los efectos de este Decreto se evaluarán cinco años después de la entrada en vigor de las disposiciones. En este contexto, deberá comprobarse si se ha logrado el objetivo del Decreto, es decir la minimización de la exposición de los consumidores a los MOAH de los materiales y objetos destinados al contacto con alimentos regulados en el Decreto, mediante el uso de barreras funcionales u otras medidas adecuadas para evitar la migración de MOAH (límite de detección de 0,5 miligramos de MOAH por kilogramo de producto alimenticio o 0,15 miligramos de MOAH por kilogramo de simulante alimentario). Los datos necesarios deberán estar disponibles sobre la base de los resultados de los controles de las autoridades de control de alimentos y del trabajo de conformidad de las empresas interesadas. Asimismo, deberán incluirse las repercusiones financieras reales, por ejemplo, los costes relativos al desarrollo, la adaptación y las comprobaciones analíticas de los materiales y objetos destinados al contacto con alimentos y de los productos alimenticios en cuestión, en relación con el objetivo reglamentario y, si corresponde, los posibles efectos secundarios. También se deben considerar los avances relacionados con el análisis, en particular los límites de detección alcanzables para los MOAH. </w:t>
      </w:r>
    </w:p>
    <w:p w14:paraId="353D2149" w14:textId="77777777" w:rsidR="006444D5" w:rsidRPr="00D43FA1" w:rsidRDefault="006444D5" w:rsidP="0070360F">
      <w:pPr>
        <w:pStyle w:val="BegrndungBesondererTeil"/>
        <w:keepLines/>
      </w:pPr>
      <w:r>
        <w:t>B. Parte específica</w:t>
      </w:r>
    </w:p>
    <w:p w14:paraId="0532AB57" w14:textId="77777777" w:rsidR="00CB5E99" w:rsidRPr="00D43FA1" w:rsidRDefault="00CB5E99" w:rsidP="0070360F">
      <w:pPr>
        <w:pStyle w:val="Text"/>
        <w:keepNext/>
        <w:keepLines/>
        <w:rPr>
          <w:b/>
        </w:rPr>
      </w:pPr>
      <w:r>
        <w:rPr>
          <w:b/>
        </w:rPr>
        <w:t>En relación con el artículo 1</w:t>
      </w:r>
    </w:p>
    <w:p w14:paraId="03E3D677" w14:textId="77777777" w:rsidR="00CB5E99" w:rsidRPr="00D43FA1" w:rsidRDefault="00CB5E99" w:rsidP="0070360F">
      <w:pPr>
        <w:pStyle w:val="Text"/>
        <w:keepNext/>
        <w:keepLines/>
        <w:rPr>
          <w:u w:val="single"/>
        </w:rPr>
      </w:pPr>
      <w:r>
        <w:rPr>
          <w:u w:val="single"/>
        </w:rPr>
        <w:t>En relación con el punto 1</w:t>
      </w:r>
    </w:p>
    <w:p w14:paraId="56A74D00" w14:textId="77777777" w:rsidR="00CB5E99" w:rsidRPr="00D43FA1" w:rsidRDefault="00CB5E99" w:rsidP="00CB5E99">
      <w:pPr>
        <w:pStyle w:val="Text"/>
      </w:pPr>
      <w:r>
        <w:t xml:space="preserve">A través del punto 1 se añaden las definiciones de «material de papel usado», «hidrocarburos aromáticos de aceites minerales (MOAH)», «barrera funcional» y «simulante alimentario», necesarias en relación con el contenido del presente Decreto. </w:t>
      </w:r>
    </w:p>
    <w:p w14:paraId="6B41D48F" w14:textId="77777777" w:rsidR="002535AD" w:rsidRPr="00C010B9" w:rsidRDefault="00031FDC" w:rsidP="00CB5E99">
      <w:pPr>
        <w:pStyle w:val="Text"/>
        <w:rPr>
          <w:spacing w:val="-4"/>
        </w:rPr>
      </w:pPr>
      <w:r w:rsidRPr="00C010B9">
        <w:rPr>
          <w:spacing w:val="-4"/>
        </w:rPr>
        <w:t xml:space="preserve">En el marco de la definición de «barrera funcional», se hace una distinción con respecto a las diversas formas. Una barrera funcional puede estar firmemente adherida al material u objeto destinado al contacto con alimentos, por ejemplo en forma de revestimiento [artículo 2, punto 9, letra a)], o puede estar separada, por ejemplo en forma de bolsa intermedia [artículo 2, punto 9, letra b)]. En función del tipo de material u objeto destinado al contacto con alimentos, el producto alimenticio, las condiciones de uso y el período de uso del material u objeto destinado al contacto con alimentos, por ejemplo, resultan adecuados el aluminio o diversos plásticos (por ejemplo, PET, poliacrilatos, poliacetatos, poliamidas) como material para el revestimiento del papel o cartón, o como material para una bolsa interior adicional. </w:t>
      </w:r>
    </w:p>
    <w:p w14:paraId="578470CD" w14:textId="77777777" w:rsidR="00CB5E99" w:rsidRPr="00D43FA1" w:rsidRDefault="00CB5E99" w:rsidP="0070360F">
      <w:pPr>
        <w:pStyle w:val="Text"/>
        <w:keepNext/>
        <w:keepLines/>
        <w:rPr>
          <w:u w:val="single"/>
        </w:rPr>
      </w:pPr>
      <w:r>
        <w:rPr>
          <w:u w:val="single"/>
        </w:rPr>
        <w:t>En relación con el punto 2</w:t>
      </w:r>
    </w:p>
    <w:p w14:paraId="0EE8563F" w14:textId="77777777" w:rsidR="00492084" w:rsidRPr="00D43FA1" w:rsidRDefault="00CB5E99" w:rsidP="00CB5E99">
      <w:pPr>
        <w:pStyle w:val="Text"/>
      </w:pPr>
      <w:r>
        <w:t xml:space="preserve">En el punto 2 se establecen las reglamentaciones específicas para los materiales y objetos destinados al contacto con alimentos hechos de papel o cartón, que se fabrican con material de papel usado. </w:t>
      </w:r>
    </w:p>
    <w:p w14:paraId="02416656" w14:textId="77777777" w:rsidR="00492084" w:rsidRPr="00C010B9" w:rsidRDefault="00492084" w:rsidP="00123317">
      <w:pPr>
        <w:pStyle w:val="Text"/>
        <w:rPr>
          <w:spacing w:val="-4"/>
        </w:rPr>
      </w:pPr>
      <w:r w:rsidRPr="00C010B9">
        <w:rPr>
          <w:spacing w:val="-4"/>
        </w:rPr>
        <w:t xml:space="preserve">El artículo 6 </w:t>
      </w:r>
      <w:r w:rsidRPr="00C010B9">
        <w:rPr>
          <w:i/>
          <w:iCs/>
          <w:spacing w:val="-4"/>
        </w:rPr>
        <w:t>bis</w:t>
      </w:r>
      <w:r w:rsidRPr="00C010B9">
        <w:rPr>
          <w:spacing w:val="-4"/>
        </w:rPr>
        <w:t xml:space="preserve"> contiene, en los apartados 1 y 2, requisitos específicos dirigidos al operador de empresas de materiales y objetos destinados al contacto con alimentos (fabricante, responsable de la comercialización). Si el operador de empresas alimentarias desea adoptar sus propias precauciones que se desvíen de esto, se aplicarán los requisitos de los apartados 3 y 4 dirigidos a este y al operador de empresas de materiales y objetos destinados al contacto con alimentos. El apartado 5 está dirigido tanto al operador de empresas de materiales y objetos destinados al contacto con alimentos como al operador de empresas alimentarias.</w:t>
      </w:r>
    </w:p>
    <w:p w14:paraId="21FFB49B" w14:textId="77777777" w:rsidR="00123317" w:rsidRPr="00D43FA1" w:rsidRDefault="00CB5E99" w:rsidP="00C010B9">
      <w:pPr>
        <w:pStyle w:val="Text"/>
        <w:keepLines/>
      </w:pPr>
      <w:r>
        <w:lastRenderedPageBreak/>
        <w:t xml:space="preserve">De acuerdo con el artículo 6 </w:t>
      </w:r>
      <w:r>
        <w:rPr>
          <w:i/>
          <w:iCs/>
        </w:rPr>
        <w:t>bis</w:t>
      </w:r>
      <w:r>
        <w:t>, apartado 1, los materiales y objetos destinados al contacto con alimentos antes mencionados deberán estar provistos de una barrera funcional para garantizar que no se produzca una migración de MOAH a los productos alimenticios. En este contexto, los fabricantes y los responsables de la comercialización de materiales y objetos destinados al contacto con alimentos generalmente utilizarán una barrera funcional según lo dispuesto en el artículo 2, punto 9, letra a), es decir, una capa o un revestimiento que esté firmemente adherido al material u objeto destinado al contacto con alimentos. Al medir la migración al producto alimenticio, se finge legalmente que no se produce ninguna migración hasta un límite de detección de 0,5 miligramos de MOAH por kilogramo de alimento. Si la funcionalidad de la barrera se determina a través de simulantes alimentarios adecuados, se aplicará en consecuencia un límite de detección de 0,15 miligramos de MOAH por kilogramo de simulante alimentario.</w:t>
      </w:r>
    </w:p>
    <w:p w14:paraId="69C05D19" w14:textId="28529D16" w:rsidR="006F0E66" w:rsidRPr="00C010B9" w:rsidRDefault="00123317" w:rsidP="00C010B9">
      <w:pPr>
        <w:pStyle w:val="Text"/>
        <w:keepNext/>
        <w:keepLines/>
        <w:spacing w:before="80" w:after="80"/>
        <w:rPr>
          <w:spacing w:val="-4"/>
        </w:rPr>
      </w:pPr>
      <w:r w:rsidRPr="00C010B9">
        <w:rPr>
          <w:spacing w:val="-4"/>
        </w:rPr>
        <w:t xml:space="preserve">El análisis del aceite mineral en el producto alimenticio y el análisis en relación con la proporción del material u objeto destinado al contacto con alimentos son exigentes, pero se han logrado grandes avances en los últimos años. El objetivo a largo plazo de un límite de detección de 0,15 miligramos por kilogramo de producto alimenticio para la migración de MOAH de los materiales y objetos destinados al contacto con alimentos todavía no puede lograrse en el caso de todos los productos alimenticios en este momento. Dicho límite está muy influenciado por la respectiva matriz de los alimentos. Actualmente, en la práctica, el límite de detección previsto de 0,5 miligramos de MOAH por kilogramo de producto alimenticio para la migración de los materiales y objetos destinados al contacto con alimentos puede determinarse de forma analítica en los productos alimenticios. Si, en cambio, se utilizan simulantes alimentarios [generalmente, poli(óxido de 2,6-difenil-p-fenileno)] para comprobar si la barrera es funcional de tal forma que no se produzca la migración de MOAH, se requiere un límite de detección de 0,15 miligramos de MOAH por kilogramo de simulante alimentario. Esto también se debe, en particular, al hecho de que los efectos de la matriz de los alimentos que se producen con los MOAH no se aplican y, por lo tanto, la detección de los MOAH puede realizarse de forma mucho más sensible en la práctica. Con respecto a los métodos convencionales y los métodos de análisis que se utilizan principalmente en la actualidad, se hace referencia a las siguientes publicaciones del Instituto Federal de Evaluación del Riesgo: </w:t>
      </w:r>
    </w:p>
    <w:p w14:paraId="13C0812B" w14:textId="77777777" w:rsidR="006F0E66" w:rsidRPr="00D43FA1" w:rsidRDefault="00123317" w:rsidP="00C010B9">
      <w:pPr>
        <w:pStyle w:val="Text"/>
        <w:numPr>
          <w:ilvl w:val="0"/>
          <w:numId w:val="7"/>
        </w:numPr>
        <w:spacing w:before="80" w:after="80"/>
      </w:pPr>
      <w:r>
        <w:t xml:space="preserve">«Determinación de hidrocarburos a partir de aceite mineral (MOSH y MOAH) o plásticos (POSH, PAO) en materiales de embalaje y productos alimenticios secos mediante extracción en fase sólida y GC-FID» (disponible en: </w:t>
      </w:r>
      <w:hyperlink r:id="rId8" w:history="1">
        <w:r>
          <w:t>http://</w:t>
        </w:r>
      </w:hyperlink>
      <w:hyperlink r:id="rId9" w:history="1">
        <w:r>
          <w:t>www.bfr.bund.de/cm/343/bestimmung-von-kohlenwasserstoffen-aus-mineraloel-oder-kunststoffen.pdf</w:t>
        </w:r>
      </w:hyperlink>
      <w:r>
        <w:t xml:space="preserve">; versión: </w:t>
      </w:r>
      <w:r>
        <w:rPr>
          <w:b/>
          <w:i/>
          <w:u w:val="single"/>
        </w:rPr>
        <w:t>insertar XX.YY.2020</w:t>
      </w:r>
      <w:r>
        <w:t>),</w:t>
      </w:r>
    </w:p>
    <w:p w14:paraId="5B28167A" w14:textId="77777777" w:rsidR="00123317" w:rsidRPr="00D43FA1" w:rsidRDefault="00123317" w:rsidP="00C010B9">
      <w:pPr>
        <w:pStyle w:val="Text"/>
        <w:numPr>
          <w:ilvl w:val="0"/>
          <w:numId w:val="7"/>
        </w:numPr>
        <w:spacing w:before="80" w:after="80"/>
      </w:pPr>
      <w:r>
        <w:t xml:space="preserve">«Medición de aceite mineral: hidrocarburos en productos alimenticios y materiales de embalaje», compendio del BfR y el Laboratorio Cantonal de Zúrich (disponible en: </w:t>
      </w:r>
      <w:hyperlink r:id="rId10" w:history="1">
        <w:r>
          <w:t>http://www.bfr.bund.de/cm/343/messung-von-mineraloel-kohlenwasserstoffen-in-lebensmitteln-und-verpackungsmaterialien.pdf</w:t>
        </w:r>
      </w:hyperlink>
      <w:r>
        <w:t xml:space="preserve">; versión: </w:t>
      </w:r>
      <w:r>
        <w:rPr>
          <w:b/>
          <w:i/>
          <w:u w:val="single"/>
        </w:rPr>
        <w:t>insertar XX.YY.2020</w:t>
      </w:r>
      <w:r>
        <w:t>).</w:t>
      </w:r>
      <w:r>
        <w:rPr>
          <w:u w:val="single"/>
        </w:rPr>
        <w:t xml:space="preserve"> </w:t>
      </w:r>
    </w:p>
    <w:p w14:paraId="2BF32794" w14:textId="77777777" w:rsidR="00123317" w:rsidRPr="00C010B9" w:rsidRDefault="00123317" w:rsidP="00C010B9">
      <w:pPr>
        <w:pStyle w:val="Text"/>
        <w:spacing w:before="80" w:after="80"/>
        <w:rPr>
          <w:spacing w:val="-4"/>
        </w:rPr>
      </w:pPr>
      <w:r w:rsidRPr="00C010B9">
        <w:rPr>
          <w:spacing w:val="-4"/>
        </w:rPr>
        <w:t xml:space="preserve">Por lo demás, los requisitos para el uso de una barrera funcional solo se aplicarán a los materiales y objetos hechos de papel o cartón que se hayan fabricado con material de papel usado y que entren en el ámbito de aplicación del artículo 1, apartado 2, del Reglamento (CE) n.º 1935/2004 sobre los materiales y objetos destinados a entrar en contacto con alimentos y por el que se derogan las Directivas 80/590/CEE y 89/109/CEE. La aplicabilidad, por ejemplo, para las cajas de transporte y de embalaje solo se dará si, en un caso concreto, se trata de materiales y objetos destinados al contacto con alimentos. Por lo general, no será necesaria la aplicación superpuesta y múltiple de una barrera funcional a lo largo de la cadena de suministro. De este modo, por ejemplo, en el caso de las cajas de transporte y de embalaje (siempre que sean materiales y objetos destinados al contacto con alimentos en un caso específico), no será necesaria una barrera funcional si el diseño del embalaje real o el sistema de embalaje del producto alimenticio en sí (por ejemplo, embalaje primario o secundario) garantiza que no se produzca la migración de MOAH a los alimentos. En consecuencia, como suele ocurrir con los materiales y objetos destinados al contacto con alimentos, la comunicación adecuada dentro de la cadena de suministro es esencial. </w:t>
      </w:r>
    </w:p>
    <w:p w14:paraId="2A4229C4" w14:textId="77777777" w:rsidR="00123317" w:rsidRPr="00D43FA1" w:rsidRDefault="00123317" w:rsidP="00CB5E99">
      <w:pPr>
        <w:pStyle w:val="Text"/>
      </w:pPr>
      <w:r>
        <w:lastRenderedPageBreak/>
        <w:t xml:space="preserve">El límite de detección de 0,5 miligramos de MOAH por kilogramo de producto alimenticio estipulado en el presente en relación con la barrera funcional únicamente se refiere a la migración de MOAH de los materiales y objetos destinados al contacto con alimentos cubiertos por el ámbito de aplicación de este Decreto a los productos alimenticios y no representa una cantidad máxima general de MOAH en los alimentos. </w:t>
      </w:r>
    </w:p>
    <w:p w14:paraId="4749053E" w14:textId="1BDBFAC2" w:rsidR="00C42AD4" w:rsidRPr="00C010B9" w:rsidRDefault="00000EDE" w:rsidP="00CB5E99">
      <w:pPr>
        <w:pStyle w:val="Text"/>
        <w:rPr>
          <w:spacing w:val="-4"/>
        </w:rPr>
      </w:pPr>
      <w:r w:rsidRPr="00C010B9">
        <w:rPr>
          <w:spacing w:val="-4"/>
        </w:rPr>
        <w:t xml:space="preserve">El apartado 2 prevé exenciones al equipamiento obligatorio de los materiales y objetos destinados al contacto con alimentos en cuestión con una barrera funcional por parte del operador de empresas de materiales y objetos destinados al contacto con alimentos: si existen requisitos especiales que impiden la migración de MOAH a los productos alimenticios, o si otras medidas garantizan que no sea detectable la migración de MOAH del material u objeto destinado al contacto con alimentos con un límite de detección de 0,5 miligramos de MOAH por kilogramo de producto alimenticio (o de 0,15 miligramos de MOAH por kilogramo de simulante alimentario), no será obligatorio utilizar una barrera funcional. Lo primero podría ser el caso, por ejemplo, si el contenido de MOAH en el papel o el cartón en sí es tan bajo que no puede producirse una migración a los productos alimenticios por encima del límite de detección. Lo último, es decir, otras medidas adecuadas en el sentido del punto 2 pueden ser, por ejemplo, medidas relativas al material u objeto destinado al contacto con alimentos, como la incorporación de adsorbentes (carbón activo o similares) en el papel o cartón, que eviten que se produzca la migración de MOAH al producto alimenticio. </w:t>
      </w:r>
    </w:p>
    <w:p w14:paraId="575AE879" w14:textId="7AEA464F" w:rsidR="00873463" w:rsidRPr="00C010B9" w:rsidRDefault="00B849CA" w:rsidP="00CB5E99">
      <w:pPr>
        <w:pStyle w:val="Text"/>
        <w:rPr>
          <w:spacing w:val="-4"/>
        </w:rPr>
      </w:pPr>
      <w:r w:rsidRPr="00C010B9">
        <w:rPr>
          <w:spacing w:val="-4"/>
        </w:rPr>
        <w:t xml:space="preserve">De conformidad con el artículo 6 </w:t>
      </w:r>
      <w:r w:rsidRPr="00C010B9">
        <w:rPr>
          <w:i/>
          <w:iCs/>
          <w:spacing w:val="-4"/>
        </w:rPr>
        <w:t>bis</w:t>
      </w:r>
      <w:r w:rsidRPr="00C010B9">
        <w:rPr>
          <w:spacing w:val="-4"/>
        </w:rPr>
        <w:t xml:space="preserve">, apartado 3, en contra de lo dispuesto en el artículo 6 </w:t>
      </w:r>
      <w:r w:rsidRPr="00C010B9">
        <w:rPr>
          <w:i/>
          <w:iCs/>
          <w:spacing w:val="-4"/>
        </w:rPr>
        <w:t>bis</w:t>
      </w:r>
      <w:r w:rsidRPr="00C010B9">
        <w:rPr>
          <w:spacing w:val="-4"/>
        </w:rPr>
        <w:t xml:space="preserve">, apartado 1, teniendo en cuenta el apartado 4, los materiales y objetos relevantes destinados al contacto con alimentos podrán fabricarse y comercializarse sin una barrera funcional que esté firmemente adherida al material u objeto destinado al contacto con alimentos. No obstante, esto solo estará permitido si, antes del suministro de un material u objeto destinado al contacto con alimentos, el operador de empresas alimentarias declara, por escrito o de manera electrónica, ante el fabricante o el responsable de la comercialización del material u objeto destinado al contacto con alimentos, que prescindirá de una barrera funcional. Esta declaración deberá ser conservada por el fabricante o el responsable de la comercialización del material u objeto destinado al contacto con alimentos para poder demostrar a la autoridad competente que el operador de empresas alimentarias podía desviarse de la disposición del artículo 6 </w:t>
      </w:r>
      <w:r w:rsidRPr="00C010B9">
        <w:rPr>
          <w:i/>
          <w:iCs/>
          <w:spacing w:val="-4"/>
        </w:rPr>
        <w:t>bis</w:t>
      </w:r>
      <w:r w:rsidRPr="00C010B9">
        <w:rPr>
          <w:spacing w:val="-4"/>
        </w:rPr>
        <w:t xml:space="preserve">, apartado 1, frase primera, debido a la renuncia. </w:t>
      </w:r>
    </w:p>
    <w:p w14:paraId="559558B3" w14:textId="77777777" w:rsidR="00595A3F" w:rsidRPr="00D43FA1" w:rsidRDefault="00595A3F" w:rsidP="00CB5E99">
      <w:pPr>
        <w:pStyle w:val="Text"/>
      </w:pPr>
      <w:r>
        <w:t xml:space="preserve">La disposición del artículo 6 </w:t>
      </w:r>
      <w:r>
        <w:rPr>
          <w:i/>
          <w:iCs/>
        </w:rPr>
        <w:t>bis</w:t>
      </w:r>
      <w:r>
        <w:t xml:space="preserve">, apartado 3, cubre a los operadores de empresas alimentarias que, en su ámbito de responsabilidades, ponen en contacto directo o indirecto con los productos alimenticios materiales y objetos destinados al contacto con alimentos que se han fabricado con material de papel usado, es decir, que envuelven o envasan alimentos, o que de otro modo ponen en contacto por primera vez el material u objeto en cuestión con un producto alimenticio. Sin embargo, la obligación del artículo 6 </w:t>
      </w:r>
      <w:r>
        <w:rPr>
          <w:i/>
          <w:iCs/>
        </w:rPr>
        <w:t>bis</w:t>
      </w:r>
      <w:r>
        <w:t>, apartado 3, no se aplicará, por ejemplo, a los operadores de empresas alimentarias que solo compran productos alimenticios ya envasados (incluso de otro Estado miembro de la UE o de un tercer país) y en cuyo caso el proceso de envasado está fuera de su control. No obstante, en este caso, el operador de empresas alimentarias deberá asegurarse, como parte de su deber de diligencia general, de que los productos en cuestión cumplan los requisitos relacionados con la migración no permitida de MOAH.</w:t>
      </w:r>
    </w:p>
    <w:p w14:paraId="5D78B6B3" w14:textId="77777777" w:rsidR="00882CE4" w:rsidRPr="00D43FA1" w:rsidRDefault="00031FDC" w:rsidP="00CB5E99">
      <w:pPr>
        <w:pStyle w:val="Text"/>
      </w:pPr>
      <w:r>
        <w:t xml:space="preserve">En los casos del artículo 6 </w:t>
      </w:r>
      <w:r>
        <w:rPr>
          <w:i/>
          <w:iCs/>
        </w:rPr>
        <w:t>bis</w:t>
      </w:r>
      <w:r>
        <w:t xml:space="preserve">, apartado 3, el propio operador de empresas alimentarias deberá tomar las medidas adecuadas de conformidad con el artículo 6 </w:t>
      </w:r>
      <w:r>
        <w:rPr>
          <w:i/>
          <w:iCs/>
        </w:rPr>
        <w:t>bis</w:t>
      </w:r>
      <w:r>
        <w:t xml:space="preserve">, apartado 4, para excluir la migración de MOAH del material u objeto destinado al contacto con alimentos a los productos alimenticios. Por lo tanto, en el contexto del envasado del producto alimenticio, el operador de empresas alimentarias podrá utilizar, entre otros, bolsas intermedias o similares como barrera funcional [véase el artículo 2, punto 9, letra b)]. Los requisitos para el límite de detección se aplicarán en consecuencia. </w:t>
      </w:r>
    </w:p>
    <w:p w14:paraId="7B05CB8A" w14:textId="77777777" w:rsidR="00CB5E99" w:rsidRPr="00D43FA1" w:rsidRDefault="00CB5E99" w:rsidP="00C010B9">
      <w:pPr>
        <w:pStyle w:val="Text"/>
        <w:keepLines/>
      </w:pPr>
      <w:r>
        <w:lastRenderedPageBreak/>
        <w:t xml:space="preserve">Sin embargo, el uso de una barrera funcional no es la única forma de garantizar que no se produzca la migración de MOAH del material u objeto destinado al contacto con alimentos a los productos alimenticios o que tal migración no sea detectable. En particular, no hay obligación de adoptar las medidas adecuadas si, debido a la naturaleza del producto alimenticio (por ejemplo, la sal de mesa) o las condiciones de uso (por ejemplo, en el caso de alimentos congelados o el contacto a corto plazo con alimentos secos), no se produce una migración de MOAH a los productos alimenticios o esta no supera el límite de detección y, por lo tanto, se considera indetectable. </w:t>
      </w:r>
    </w:p>
    <w:p w14:paraId="285E5728" w14:textId="77777777" w:rsidR="00CB5E99" w:rsidRPr="0086292F" w:rsidRDefault="00CB5E99" w:rsidP="009C1BE7">
      <w:pPr>
        <w:pStyle w:val="Text"/>
      </w:pPr>
      <w:r>
        <w:t>En el marco de las disposiciones generales sobre materiales y objetos destinados al contacto con alimentos, el respectivo empresario responsable (por ejemplo, el fabricante, el responsable de la comercialización o el envasador de alimentos), en cumplimiento de su deber de diligencia, deberá garantizar que los materiales y objetos destinados al contacto con alimentos en su ámbito de responsabilidades o utilizados en dicho ámbito cumplan los requisitos pertinentes. Se hace referencia, por ejemplo, al artículo 30, punto 3, del Código sobre alimentos, materiales y objetos destinados al contacto con alimentos, y piensos (LFGB) y al Reglamento (CE) n.º 2023/2006. De conformidad con el Reglamento (CE) n.º 2023/2006, deben cumplirse, entre otros aspectos, determinadas obligaciones de documentación. Con respecto al presente Decreto, esto es relevante para la cuestión de la barrera que deberá utilizarse o para la aplicación de la exención, porque los documentos que se elaboran como parte de estas obligaciones también pueden servir como prueba de que la barrera presenta la funcionalidad requerida para el propósito previsto en relación con los MOAH o de que tampoco podrá detectarse una migración de MOAH del material u objeto destinado al contacto con alimentos a los productos alimenticios, es decir, que no se supera el límite de detección, si no se usa una barrera funcional.</w:t>
      </w:r>
    </w:p>
    <w:p w14:paraId="46427445" w14:textId="77777777" w:rsidR="00C66E2D" w:rsidRPr="0086292F" w:rsidRDefault="00D701EB" w:rsidP="00CB5E99">
      <w:pPr>
        <w:pStyle w:val="Text"/>
        <w:rPr>
          <w:szCs w:val="24"/>
        </w:rPr>
      </w:pPr>
      <w:r>
        <w:t xml:space="preserve">El fabricante o el responsable de la comercialización del material u objeto destinado al contacto con alimentos y el operador de empresas alimentarias estarán obligados a explicar a la autoridad competente en qué condiciones o circunstancias se basan en una exención. El artículo 6 </w:t>
      </w:r>
      <w:r>
        <w:rPr>
          <w:i/>
          <w:iCs/>
        </w:rPr>
        <w:t>bis</w:t>
      </w:r>
      <w:r>
        <w:t xml:space="preserve">, apartado 5, también contiene, a modo de especificación de las disposiciones mencionadas, una obligación de los fabricantes o los responsables de la comercialización de materiales y objetos destinados al contacto con alimentos, así como de los operadores de empresas alimentarias responsables, de proporcionar documentos que demuestren cómo la respectiva persona responsable asegura que no se produzca la migración de MOAH a los productos alimenticios. </w:t>
      </w:r>
    </w:p>
    <w:p w14:paraId="7E7353A1" w14:textId="77777777" w:rsidR="00E36DB1" w:rsidRPr="00D43FA1" w:rsidRDefault="005211EE" w:rsidP="00CB5E99">
      <w:pPr>
        <w:pStyle w:val="Text"/>
        <w:rPr>
          <w:color w:val="231F20"/>
          <w:szCs w:val="24"/>
        </w:rPr>
      </w:pPr>
      <w:r>
        <w:rPr>
          <w:color w:val="231F20"/>
        </w:rPr>
        <w:t xml:space="preserve">El artículo 6 </w:t>
      </w:r>
      <w:r>
        <w:rPr>
          <w:i/>
          <w:iCs/>
          <w:color w:val="231F20"/>
        </w:rPr>
        <w:t>bis</w:t>
      </w:r>
      <w:r>
        <w:rPr>
          <w:color w:val="231F20"/>
        </w:rPr>
        <w:t xml:space="preserve">, apartado 6, incluye prohibiciones de comercialización de productos alimenticios para proteger a los consumidores de posibles peligros para la salud causados por la migración de MOAH de los materiales y objetos destinados al contacto con alimentos. Las prohibiciones de comercialización se aplicarán a los productos alimenticios que se hayan manipulado con materiales y objetos destinados al contacto con alimentos que no cumplen lo dispuesto en el artículo 6 </w:t>
      </w:r>
      <w:r>
        <w:rPr>
          <w:i/>
          <w:iCs/>
          <w:color w:val="231F20"/>
        </w:rPr>
        <w:t>bis</w:t>
      </w:r>
      <w:r>
        <w:rPr>
          <w:color w:val="231F20"/>
        </w:rPr>
        <w:t xml:space="preserve">, apartado 1, frase primera, o el artículo 6 </w:t>
      </w:r>
      <w:r>
        <w:rPr>
          <w:i/>
          <w:iCs/>
          <w:color w:val="231F20"/>
        </w:rPr>
        <w:t>bis</w:t>
      </w:r>
      <w:r>
        <w:rPr>
          <w:color w:val="231F20"/>
        </w:rPr>
        <w:t xml:space="preserve">, apartado 4, frase primera, en cuyo caso no se aplique alguna de las exenciones relevantes de acuerdo con el artículo 6 </w:t>
      </w:r>
      <w:r>
        <w:rPr>
          <w:i/>
          <w:iCs/>
          <w:color w:val="231F20"/>
        </w:rPr>
        <w:t>bis</w:t>
      </w:r>
      <w:r>
        <w:rPr>
          <w:color w:val="231F20"/>
        </w:rPr>
        <w:t xml:space="preserve">, apartado 2, o el artículo 6 </w:t>
      </w:r>
      <w:r>
        <w:rPr>
          <w:i/>
          <w:iCs/>
          <w:color w:val="231F20"/>
        </w:rPr>
        <w:t>bis</w:t>
      </w:r>
      <w:r>
        <w:rPr>
          <w:color w:val="231F20"/>
        </w:rPr>
        <w:t>, apartado 4, frase tercera.</w:t>
      </w:r>
    </w:p>
    <w:p w14:paraId="295C3C27" w14:textId="77777777" w:rsidR="00893613" w:rsidRPr="00D43FA1" w:rsidRDefault="00893613" w:rsidP="0070360F">
      <w:pPr>
        <w:pStyle w:val="Text"/>
        <w:keepNext/>
        <w:keepLines/>
        <w:rPr>
          <w:szCs w:val="24"/>
          <w:u w:val="single"/>
        </w:rPr>
      </w:pPr>
      <w:r>
        <w:rPr>
          <w:u w:val="single"/>
        </w:rPr>
        <w:t>En relación con el punto 3</w:t>
      </w:r>
    </w:p>
    <w:p w14:paraId="527C76F7" w14:textId="77777777" w:rsidR="00893613" w:rsidRPr="00D43FA1" w:rsidRDefault="00893613" w:rsidP="00893613">
      <w:pPr>
        <w:pStyle w:val="Text"/>
        <w:rPr>
          <w:szCs w:val="24"/>
        </w:rPr>
      </w:pPr>
      <w:r>
        <w:t xml:space="preserve">En el punto 3 se regula la prohibición del uso de materiales y objetos destinados al contacto con alimentos que no cumplan los requisitos del artículo 6 </w:t>
      </w:r>
      <w:r>
        <w:rPr>
          <w:i/>
          <w:iCs/>
        </w:rPr>
        <w:t>bis</w:t>
      </w:r>
      <w:r>
        <w:t>.</w:t>
      </w:r>
    </w:p>
    <w:p w14:paraId="0BECB08F" w14:textId="77777777" w:rsidR="00893613" w:rsidRPr="00D43FA1" w:rsidRDefault="00893613" w:rsidP="0070360F">
      <w:pPr>
        <w:pStyle w:val="Text"/>
        <w:keepNext/>
        <w:keepLines/>
        <w:rPr>
          <w:szCs w:val="24"/>
          <w:u w:val="single"/>
        </w:rPr>
      </w:pPr>
      <w:r>
        <w:rPr>
          <w:u w:val="single"/>
        </w:rPr>
        <w:t>En relación con el punto 4</w:t>
      </w:r>
    </w:p>
    <w:p w14:paraId="123E14BA" w14:textId="77777777" w:rsidR="00D77D9F" w:rsidRPr="00C010B9" w:rsidRDefault="00D77D9F" w:rsidP="00893613">
      <w:pPr>
        <w:pStyle w:val="Text"/>
        <w:rPr>
          <w:spacing w:val="-4"/>
          <w:szCs w:val="24"/>
          <w:u w:val="single"/>
        </w:rPr>
      </w:pPr>
      <w:r w:rsidRPr="00C010B9">
        <w:rPr>
          <w:spacing w:val="-4"/>
        </w:rPr>
        <w:t xml:space="preserve">En el punto 4 se establecen sanciones por las infracciones de las disposiciones del artículo 6 </w:t>
      </w:r>
      <w:r w:rsidRPr="00C010B9">
        <w:rPr>
          <w:i/>
          <w:iCs/>
          <w:spacing w:val="-4"/>
        </w:rPr>
        <w:t>bis</w:t>
      </w:r>
      <w:r w:rsidRPr="00C010B9">
        <w:rPr>
          <w:spacing w:val="-4"/>
        </w:rPr>
        <w:t xml:space="preserve"> del Decreto sobre los materiales y objetos destinados al contacto con alimentos.</w:t>
      </w:r>
    </w:p>
    <w:p w14:paraId="72ADCE94" w14:textId="77777777" w:rsidR="00CB5E99" w:rsidRPr="00D43FA1" w:rsidRDefault="00D77D9F" w:rsidP="0070360F">
      <w:pPr>
        <w:pStyle w:val="Text"/>
        <w:keepNext/>
        <w:keepLines/>
        <w:rPr>
          <w:u w:val="single"/>
        </w:rPr>
      </w:pPr>
      <w:r>
        <w:rPr>
          <w:u w:val="single"/>
        </w:rPr>
        <w:lastRenderedPageBreak/>
        <w:t>En relación con el punto 5</w:t>
      </w:r>
    </w:p>
    <w:p w14:paraId="10DAE7A6" w14:textId="77777777" w:rsidR="00BC7160" w:rsidRPr="00D43FA1" w:rsidRDefault="00CB5E99" w:rsidP="00CB5E99">
      <w:pPr>
        <w:pStyle w:val="Text"/>
      </w:pPr>
      <w:r>
        <w:t xml:space="preserve">En el punto 5 se dispone que las disposiciones solo se aplicarán tras un período transitorio de tres años. </w:t>
      </w:r>
    </w:p>
    <w:p w14:paraId="38F583BA" w14:textId="77777777" w:rsidR="00CB5E99" w:rsidRPr="00D43FA1" w:rsidRDefault="00CB5E99" w:rsidP="00CB5E99">
      <w:pPr>
        <w:pStyle w:val="Text"/>
      </w:pPr>
      <w:r>
        <w:t>Además, en el punto 5 se estipula que los materiales y objetos destinados al contacto con alimentos que se hayan fabricado de acuerdo con las disposiciones vigentes antes de la fecha de aplicación del Decreto podrán seguir comercializándose y utilizándose durante dos años a partir de esta fecha.</w:t>
      </w:r>
    </w:p>
    <w:p w14:paraId="3DCB47CB" w14:textId="77777777" w:rsidR="00CB5E99" w:rsidRPr="00D43FA1" w:rsidRDefault="00CB5E99" w:rsidP="0070360F">
      <w:pPr>
        <w:pStyle w:val="Text"/>
        <w:keepNext/>
        <w:keepLines/>
        <w:rPr>
          <w:b/>
        </w:rPr>
      </w:pPr>
      <w:r>
        <w:rPr>
          <w:b/>
        </w:rPr>
        <w:t>En relación con el artículo 2</w:t>
      </w:r>
    </w:p>
    <w:p w14:paraId="3A8E0CB1" w14:textId="77777777" w:rsidR="00CB5E99" w:rsidRPr="00D43FA1" w:rsidRDefault="00CB5E99" w:rsidP="00CB5E99">
      <w:pPr>
        <w:pStyle w:val="Text"/>
      </w:pPr>
      <w:r>
        <w:t>El artículo 2 contiene el permiso de publicación del Decreto sobre los materiales y objetos destinados al contacto con alimentos.</w:t>
      </w:r>
    </w:p>
    <w:p w14:paraId="7689A2E3" w14:textId="77777777" w:rsidR="00CB5E99" w:rsidRPr="00D43FA1" w:rsidRDefault="00CB5E99" w:rsidP="0070360F">
      <w:pPr>
        <w:pStyle w:val="Text"/>
        <w:keepNext/>
        <w:keepLines/>
        <w:rPr>
          <w:b/>
        </w:rPr>
      </w:pPr>
      <w:r>
        <w:rPr>
          <w:b/>
        </w:rPr>
        <w:t>En relación con el artículo 3</w:t>
      </w:r>
    </w:p>
    <w:p w14:paraId="193ACE56" w14:textId="77777777" w:rsidR="00CB5E99" w:rsidRPr="0070360F" w:rsidRDefault="00CB5E99">
      <w:pPr>
        <w:pStyle w:val="Text"/>
      </w:pPr>
      <w:r>
        <w:t>El artículo 3 regula la entrada en vigor del Decreto.</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5F97C" w14:textId="77777777" w:rsidR="0011026E" w:rsidRDefault="0011026E">
      <w:pPr>
        <w:spacing w:before="0" w:after="0"/>
      </w:pPr>
      <w:r>
        <w:separator/>
      </w:r>
    </w:p>
  </w:endnote>
  <w:endnote w:type="continuationSeparator" w:id="0">
    <w:p w14:paraId="73A70F22" w14:textId="77777777" w:rsidR="0011026E" w:rsidRDefault="001102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B29D6" w14:textId="77777777" w:rsidR="0011026E" w:rsidRDefault="0011026E">
      <w:pPr>
        <w:spacing w:before="0" w:after="0"/>
      </w:pPr>
      <w:r>
        <w:separator/>
      </w:r>
    </w:p>
  </w:footnote>
  <w:footnote w:type="continuationSeparator" w:id="0">
    <w:p w14:paraId="0D140A05" w14:textId="77777777" w:rsidR="0011026E" w:rsidRDefault="0011026E">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 w:id="2">
    <w:p w14:paraId="7D837383" w14:textId="77777777" w:rsidR="00E24BD3" w:rsidRDefault="00E24BD3" w:rsidP="006B7BFE">
      <w:pPr>
        <w:pStyle w:val="FootnoteText"/>
        <w:jc w:val="left"/>
      </w:pPr>
      <w:r>
        <w:rPr>
          <w:rStyle w:val="FootnoteReference"/>
        </w:rPr>
        <w:footnoteRef/>
      </w:r>
      <w:r>
        <w:t xml:space="preserve"> </w:t>
      </w:r>
      <w:r>
        <w:tab/>
        <w:t xml:space="preserve">Oficina Federal de Estadística (2012): Directrices para el cálculo y la representación de los costes de cumplimiento en el proyecto de reglamentación del Gobierno federal. </w:t>
      </w:r>
    </w:p>
  </w:footnote>
  <w:footnote w:id="3">
    <w:p w14:paraId="36F3698B" w14:textId="60DC7FEB" w:rsidR="00E24BD3" w:rsidRPr="0086292F" w:rsidRDefault="00E24BD3" w:rsidP="002F54A3">
      <w:pPr>
        <w:pStyle w:val="FootnoteText"/>
      </w:pPr>
      <w:r>
        <w:rPr>
          <w:rStyle w:val="FootnoteReference"/>
        </w:rPr>
        <w:footnoteRef/>
      </w:r>
      <w:r>
        <w:t xml:space="preserve"> </w:t>
      </w:r>
      <w:r>
        <w:tab/>
        <w:t xml:space="preserve">Encuesta de estructura de costes en el ámbito de la fabricación, la minería y la extracción de piedras y tierra (n.º EVAS 42251): Empleados, volumen de ventas, valor de producción y valor añadido de empresas del sector de la fabricación, Alemania 2015, sectores económicos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rPr>
        <w:t>3</w:t>
      </w:r>
      <w:r>
        <w:t xml:space="preserve"> </w:t>
      </w:r>
      <w:r>
        <w:tab/>
      </w:r>
      <w:r>
        <w:rPr>
          <w:rFonts w:ascii="Arial" w:hAnsi="Arial"/>
          <w:sz w:val="18"/>
        </w:rPr>
        <w:t xml:space="preserve">Tablas de costes laborales de 2017 para determinar los costes burocráticos y de cumplimiento de la Oficina Federal de Estadística, sector económico C10, empresas con al menos 250 empleados, nivel medio de cualificación.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E24BD3" w:rsidRPr="00073F52" w:rsidRDefault="00D43FA1" w:rsidP="00073F52">
    <w:pPr>
      <w:pStyle w:val="Header"/>
    </w:pPr>
    <w:r>
      <w:tab/>
      <w:t xml:space="preserve">- </w:t>
    </w:r>
    <w:r w:rsidR="00073F52">
      <w:fldChar w:fldCharType="begin"/>
    </w:r>
    <w:r w:rsidR="00073F52">
      <w:instrText xml:space="preserve"> PAGE  \* MERGEFORMAT </w:instrText>
    </w:r>
    <w:r w:rsidR="00073F52">
      <w:fldChar w:fldCharType="separate"/>
    </w:r>
    <w:r w:rsidR="004711FD">
      <w:rPr>
        <w:noProof/>
      </w:rPr>
      <w:t>20</w:t>
    </w:r>
    <w:r w:rsidR="00073F52">
      <w:fldChar w:fldCharType="end"/>
    </w:r>
    <w:r>
      <w:t xml:space="preserve"> -</w:t>
    </w:r>
    <w:r>
      <w:tab/>
    </w:r>
    <w:r>
      <w:rPr>
        <w:sz w:val="18"/>
      </w:rPr>
      <w:t>Versión: 14.8.2020 15.07 horas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4BFE2BC3" w:rsidR="00E24BD3" w:rsidRPr="00073F52" w:rsidRDefault="00D43FA1" w:rsidP="00073F52">
    <w:pPr>
      <w:pStyle w:val="Header"/>
    </w:pPr>
    <w:r>
      <w:tab/>
    </w:r>
    <w:r w:rsidR="004711FD" w:rsidRPr="004711FD">
      <w:rPr>
        <w:sz w:val="18"/>
      </w:rPr>
      <w:t>Versión: 14.8.2020  15.07 horas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131A3366"/>
    <w:name w:val="Artikel"/>
    <w:lvl w:ilvl="0">
      <w:start w:val="1"/>
      <w:numFmt w:val="decimal"/>
      <w:lvlRestart w:val="0"/>
      <w:pStyle w:val="ArtikelBezeichner"/>
      <w:suff w:val="nothing"/>
      <w:lvlText w:val="Artikel %1"/>
      <w:lvlJc w:val="left"/>
      <w:pPr>
        <w:ind w:left="720"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850"/>
        </w:tabs>
        <w:ind w:left="0"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26E"/>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11FD"/>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06507"/>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0B9"/>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000A-A333-48DB-A0B7-F2EE5BA3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41</TotalTime>
  <Pages>20</Pages>
  <Words>8494</Words>
  <Characters>48422</Characters>
  <Application>Microsoft Office Word</Application>
  <DocSecurity>0</DocSecurity>
  <Lines>403</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6</cp:revision>
  <cp:lastPrinted>2020-07-29T12:01:00Z</cp:lastPrinted>
  <dcterms:created xsi:type="dcterms:W3CDTF">2020-08-17T12:48:00Z</dcterms:created>
  <dcterms:modified xsi:type="dcterms:W3CDTF">2020-08-31T11:50:00Z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