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szCs w:val="20"/>
        </w:rPr>
        <w:t>1. ------IND- 2020 0510 D-- FR- ------ 20200830 --- --- PROJET</w:t>
      </w:r>
    </w:p>
    <w:p w14:paraId="78D3E792" w14:textId="77777777" w:rsidR="00D43FA1" w:rsidRPr="00D43FA1" w:rsidRDefault="00D43FA1" w:rsidP="00612652">
      <w:pPr>
        <w:pStyle w:val="Dokumentstatus"/>
      </w:pPr>
    </w:p>
    <w:p w14:paraId="2ADEED2D" w14:textId="4866C1CD" w:rsidR="006444D5" w:rsidRPr="00D43FA1" w:rsidRDefault="00A5434C" w:rsidP="00D43FA1">
      <w:pPr>
        <w:pStyle w:val="Dokumentstatus"/>
        <w:keepNext/>
        <w:keepLines/>
      </w:pPr>
      <w:r>
        <w:t>Projet de loi du ministère fédéral de l</w:t>
      </w:r>
      <w:r w:rsidR="00012CFE">
        <w:t>’</w:t>
      </w:r>
      <w:r>
        <w:t>alimentation et de l</w:t>
      </w:r>
      <w:r w:rsidR="00012CFE">
        <w:t>’</w:t>
      </w:r>
      <w:r>
        <w:t>agriculture</w:t>
      </w:r>
    </w:p>
    <w:p w14:paraId="453D9A69" w14:textId="77777777" w:rsidR="006444D5" w:rsidRPr="00D43FA1" w:rsidRDefault="006444D5" w:rsidP="00D43FA1">
      <w:pPr>
        <w:pStyle w:val="Bezeichnungnderungsdokument"/>
        <w:keepNext/>
        <w:keepLines/>
      </w:pPr>
      <w:r>
        <w:t>Vingt-deuxième décret portant modification du décret relatif aux biens de consommation</w:t>
      </w:r>
      <w:r>
        <w:rPr>
          <w:rStyle w:val="FootnoteReference"/>
        </w:rPr>
        <w:footnoteReference w:customMarkFollows="1" w:id="1"/>
        <w:t>*</w:t>
      </w:r>
      <w:r>
        <w:t xml:space="preserve"> </w:t>
      </w:r>
    </w:p>
    <w:p w14:paraId="6759776C" w14:textId="77777777" w:rsidR="006444D5" w:rsidRPr="00D43FA1" w:rsidRDefault="006444D5" w:rsidP="00D43FA1">
      <w:pPr>
        <w:pStyle w:val="Ausfertigungsdatumnderungsdokument"/>
        <w:keepNext/>
        <w:keepLines/>
      </w:pPr>
      <w:proofErr w:type="gramStart"/>
      <w:r>
        <w:t>du</w:t>
      </w:r>
      <w:proofErr w:type="gramEnd"/>
      <w:r>
        <w:t xml:space="preserve"> ...2020</w:t>
      </w:r>
    </w:p>
    <w:p w14:paraId="6E475CCC" w14:textId="0AA10BCC" w:rsidR="006444D5" w:rsidRPr="00D43FA1" w:rsidRDefault="006444D5" w:rsidP="000511BF">
      <w:pPr>
        <w:pStyle w:val="EingangsformelStandardnderungsdokument"/>
      </w:pPr>
      <w:r>
        <w:t>Le ministère fédéral de l</w:t>
      </w:r>
      <w:r w:rsidR="00012CFE">
        <w:t>’</w:t>
      </w:r>
      <w:r>
        <w:t>alimentation et de l</w:t>
      </w:r>
      <w:r w:rsidR="00012CFE">
        <w:t>’</w:t>
      </w:r>
      <w:r>
        <w:t xml:space="preserve">agriculture décrète au vu de </w:t>
      </w:r>
    </w:p>
    <w:p w14:paraId="42BFF3E6" w14:textId="1608CE4C" w:rsidR="000511BF" w:rsidRPr="00D43FA1" w:rsidRDefault="006444D5" w:rsidP="00C74C74">
      <w:pPr>
        <w:pStyle w:val="EingangsformelStandardnderungsdokument"/>
        <w:numPr>
          <w:ilvl w:val="0"/>
          <w:numId w:val="1"/>
        </w:numPr>
        <w:ind w:left="0" w:firstLine="425"/>
      </w:pPr>
      <w:proofErr w:type="gramStart"/>
      <w:r>
        <w:t>l</w:t>
      </w:r>
      <w:r w:rsidR="00012CFE">
        <w:t>’</w:t>
      </w:r>
      <w:r>
        <w:t>article</w:t>
      </w:r>
      <w:proofErr w:type="gramEnd"/>
      <w:r>
        <w:t> 31, paragraphe 2, phrase</w:t>
      </w:r>
      <w:r w:rsidR="00012CFE">
        <w:t> </w:t>
      </w:r>
      <w:r>
        <w:t>1, point 2 aussi en lien avec l’article</w:t>
      </w:r>
      <w:r w:rsidR="00012CFE">
        <w:t> </w:t>
      </w:r>
      <w:r>
        <w:t>4, paragraphe 2, point</w:t>
      </w:r>
      <w:r w:rsidR="00012CFE">
        <w:t> </w:t>
      </w:r>
      <w:r>
        <w:t>2 et de l’article</w:t>
      </w:r>
      <w:r w:rsidR="00012CFE">
        <w:t> </w:t>
      </w:r>
      <w:r>
        <w:t>46, paragraphe 2, phrase</w:t>
      </w:r>
      <w:r w:rsidR="00012CFE">
        <w:t> </w:t>
      </w:r>
      <w:r>
        <w:t xml:space="preserve">1, point 1, </w:t>
      </w:r>
      <w:r w:rsidR="00192C26">
        <w:t>a)</w:t>
      </w:r>
      <w:r>
        <w:t>, du code des denrées alimentaires et des aliments pour animaux dans la version publiée le 3</w:t>
      </w:r>
      <w:r w:rsidR="00012CFE">
        <w:t> </w:t>
      </w:r>
      <w:r>
        <w:t>juin</w:t>
      </w:r>
      <w:r w:rsidR="00012CFE">
        <w:t> </w:t>
      </w:r>
      <w:r>
        <w:t>2013 (Journal officiel de la République fédérale d</w:t>
      </w:r>
      <w:r w:rsidR="00012CFE">
        <w:t>’</w:t>
      </w:r>
      <w:r>
        <w:t>Allemagne I p.</w:t>
      </w:r>
      <w:r w:rsidR="00012CFE">
        <w:t> </w:t>
      </w:r>
      <w:r>
        <w:t>1426) et</w:t>
      </w:r>
    </w:p>
    <w:p w14:paraId="58FC86B6" w14:textId="0A0C86E6" w:rsidR="006444D5" w:rsidRPr="00D43FA1" w:rsidRDefault="000511BF" w:rsidP="00C74C74">
      <w:pPr>
        <w:pStyle w:val="EingangsformelStandardnderungsdokument"/>
        <w:numPr>
          <w:ilvl w:val="0"/>
          <w:numId w:val="1"/>
        </w:numPr>
        <w:ind w:left="0" w:firstLine="425"/>
      </w:pPr>
      <w:proofErr w:type="gramStart"/>
      <w:r>
        <w:t>de</w:t>
      </w:r>
      <w:proofErr w:type="gramEnd"/>
      <w:r>
        <w:t xml:space="preserve"> l</w:t>
      </w:r>
      <w:r w:rsidR="00012CFE">
        <w:t>’</w:t>
      </w:r>
      <w:r>
        <w:t>article</w:t>
      </w:r>
      <w:r w:rsidR="00012CFE">
        <w:t> </w:t>
      </w:r>
      <w:r>
        <w:t>34, phrase 1, point</w:t>
      </w:r>
      <w:r w:rsidR="00012CFE">
        <w:t> </w:t>
      </w:r>
      <w:r>
        <w:t>2, modifié en dernier lieu par l</w:t>
      </w:r>
      <w:r w:rsidR="00012CFE">
        <w:t>’</w:t>
      </w:r>
      <w:r>
        <w:t>article 67, point 6 du décret du 31</w:t>
      </w:r>
      <w:r w:rsidR="00012CFE">
        <w:t> </w:t>
      </w:r>
      <w:r>
        <w:t>août</w:t>
      </w:r>
      <w:r w:rsidR="00012CFE">
        <w:t> </w:t>
      </w:r>
      <w:r>
        <w:t>2015 (Journal officiel de la République fédérale d</w:t>
      </w:r>
      <w:r w:rsidR="00012CFE">
        <w:t>’</w:t>
      </w:r>
      <w:r>
        <w:t>Allemagne I, p. 1474), aussi en lien avec l</w:t>
      </w:r>
      <w:r w:rsidR="00012CFE">
        <w:t>’</w:t>
      </w:r>
      <w:r>
        <w:t>article 4, paragraphe 2, point 2, du code sur les denrées alimentaires et les aliments pour animaux, dans sa version publiée en date du 3 juin 2013 (Journal officiel de la République fédérale d</w:t>
      </w:r>
      <w:r w:rsidR="00012CFE">
        <w:t>’</w:t>
      </w:r>
      <w:r>
        <w:t>Allemagne I p. 1426) en accord avec le ministère fédéral de l</w:t>
      </w:r>
      <w:r w:rsidR="00012CFE">
        <w:t>’</w:t>
      </w:r>
      <w:r>
        <w:t>économie et de l’énergie:</w:t>
      </w:r>
    </w:p>
    <w:p w14:paraId="6AC8CAE2" w14:textId="5D88239E" w:rsidR="006444D5" w:rsidRPr="00D43FA1" w:rsidRDefault="00D43FA1" w:rsidP="00D43FA1">
      <w:pPr>
        <w:pStyle w:val="ArtikelBezeichner"/>
        <w:keepLines/>
        <w:numPr>
          <w:ilvl w:val="0"/>
          <w:numId w:val="0"/>
        </w:numPr>
      </w:pPr>
      <w:r>
        <w:t xml:space="preserve">Article </w:t>
      </w:r>
      <w:r w:rsidR="00012CFE">
        <w:t>premier</w:t>
      </w:r>
    </w:p>
    <w:p w14:paraId="37102DCC" w14:textId="1749B86C" w:rsidR="006444D5" w:rsidRPr="007E01A6" w:rsidRDefault="006444D5" w:rsidP="00D43FA1">
      <w:pPr>
        <w:pStyle w:val="Artikelberschrift"/>
        <w:keepLines/>
      </w:pPr>
      <w:r>
        <w:t>Modification du décret relatif aux biens de consommation</w:t>
      </w:r>
    </w:p>
    <w:p w14:paraId="504DEE92" w14:textId="1644F160" w:rsidR="00E24BD3" w:rsidRPr="007E01A6" w:rsidRDefault="00E24BD3" w:rsidP="00D43FA1">
      <w:pPr>
        <w:pStyle w:val="JuristischerAbsatznichtnummeriert"/>
        <w:keepNext/>
        <w:keepLines/>
        <w:rPr>
          <w:rStyle w:val="Marker"/>
          <w:color w:val="auto"/>
        </w:rPr>
      </w:pPr>
      <w:r>
        <w:rPr>
          <w:rStyle w:val="Marker"/>
          <w:color w:val="auto"/>
        </w:rPr>
        <w:t>Le décret relatif aux biens de consommation, dans sa version publiée le 23</w:t>
      </w:r>
      <w:r w:rsidR="00012CFE">
        <w:rPr>
          <w:rStyle w:val="Marker"/>
          <w:color w:val="auto"/>
        </w:rPr>
        <w:t> </w:t>
      </w:r>
      <w:r>
        <w:rPr>
          <w:rStyle w:val="Marker"/>
          <w:color w:val="auto"/>
        </w:rPr>
        <w:t>décembre</w:t>
      </w:r>
      <w:r w:rsidR="00012CFE">
        <w:rPr>
          <w:rStyle w:val="Marker"/>
          <w:color w:val="auto"/>
        </w:rPr>
        <w:t> </w:t>
      </w:r>
      <w:r>
        <w:rPr>
          <w:rStyle w:val="Marker"/>
          <w:color w:val="auto"/>
        </w:rPr>
        <w:t>1997 (Journal officiel de la République fédérale d</w:t>
      </w:r>
      <w:r w:rsidR="00012CFE">
        <w:rPr>
          <w:rStyle w:val="Marker"/>
          <w:color w:val="auto"/>
        </w:rPr>
        <w:t>’</w:t>
      </w:r>
      <w:r>
        <w:rPr>
          <w:rStyle w:val="Marker"/>
          <w:color w:val="auto"/>
        </w:rPr>
        <w:t>Allemagne 1998</w:t>
      </w:r>
      <w:r w:rsidR="00012CFE">
        <w:rPr>
          <w:rStyle w:val="Marker"/>
          <w:color w:val="auto"/>
        </w:rPr>
        <w:t> </w:t>
      </w:r>
      <w:r>
        <w:rPr>
          <w:rStyle w:val="Marker"/>
          <w:color w:val="auto"/>
        </w:rPr>
        <w:t>I, p.</w:t>
      </w:r>
      <w:r w:rsidR="00012CFE">
        <w:rPr>
          <w:rStyle w:val="Marker"/>
          <w:color w:val="auto"/>
        </w:rPr>
        <w:t> </w:t>
      </w:r>
      <w:r>
        <w:rPr>
          <w:rStyle w:val="Marker"/>
          <w:color w:val="auto"/>
        </w:rPr>
        <w:t>5), modifié en dernier lieu par l</w:t>
      </w:r>
      <w:r w:rsidR="00012CFE">
        <w:rPr>
          <w:rStyle w:val="Marker"/>
          <w:color w:val="auto"/>
        </w:rPr>
        <w:t>’</w:t>
      </w:r>
      <w:r>
        <w:rPr>
          <w:rStyle w:val="Marker"/>
          <w:color w:val="auto"/>
        </w:rPr>
        <w:t>article 2, paragraphe 1, de la loi du 15</w:t>
      </w:r>
      <w:r w:rsidR="00012CFE">
        <w:rPr>
          <w:rStyle w:val="Marker"/>
          <w:color w:val="auto"/>
        </w:rPr>
        <w:t> </w:t>
      </w:r>
      <w:r>
        <w:rPr>
          <w:rStyle w:val="Marker"/>
          <w:color w:val="auto"/>
        </w:rPr>
        <w:t>février</w:t>
      </w:r>
      <w:r w:rsidR="00012CFE">
        <w:rPr>
          <w:rStyle w:val="Marker"/>
          <w:color w:val="auto"/>
        </w:rPr>
        <w:t> </w:t>
      </w:r>
      <w:r>
        <w:rPr>
          <w:rStyle w:val="Marker"/>
          <w:color w:val="auto"/>
        </w:rPr>
        <w:t>2016 (Journal officiel de la République fédérale d</w:t>
      </w:r>
      <w:r w:rsidR="00012CFE">
        <w:rPr>
          <w:rStyle w:val="Marker"/>
          <w:color w:val="auto"/>
        </w:rPr>
        <w:t>’</w:t>
      </w:r>
      <w:r>
        <w:rPr>
          <w:rStyle w:val="Marker"/>
          <w:color w:val="auto"/>
        </w:rPr>
        <w:t xml:space="preserve">Allemagne I, p. 198), est modifié comme </w:t>
      </w:r>
      <w:proofErr w:type="gramStart"/>
      <w:r>
        <w:rPr>
          <w:rStyle w:val="Marker"/>
          <w:color w:val="auto"/>
        </w:rPr>
        <w:t>suit:</w:t>
      </w:r>
      <w:proofErr w:type="gramEnd"/>
    </w:p>
    <w:p w14:paraId="02B9B0F2" w14:textId="7CA490A4" w:rsidR="00846C2F" w:rsidRPr="00D43FA1" w:rsidRDefault="00846C2F" w:rsidP="00846C2F">
      <w:pPr>
        <w:pStyle w:val="NummerierungStufe1"/>
      </w:pPr>
      <w:r>
        <w:t xml:space="preserve">L’article 2 est modifié comme </w:t>
      </w:r>
      <w:proofErr w:type="gramStart"/>
      <w:r>
        <w:t>suit:</w:t>
      </w:r>
      <w:proofErr w:type="gramEnd"/>
    </w:p>
    <w:p w14:paraId="28C5F27B" w14:textId="77777777" w:rsidR="00846C2F" w:rsidRPr="00D43FA1" w:rsidRDefault="00846C2F" w:rsidP="00846C2F">
      <w:pPr>
        <w:pStyle w:val="NummerierungStufe2"/>
        <w:rPr>
          <w:rStyle w:val="Marker"/>
          <w:color w:val="auto"/>
        </w:rPr>
      </w:pPr>
      <w:r>
        <w:rPr>
          <w:rStyle w:val="Marker"/>
          <w:color w:val="auto"/>
        </w:rPr>
        <w:t>Au point 6, le point final est remplacé par un point-virgule.</w:t>
      </w:r>
    </w:p>
    <w:p w14:paraId="4CF425DD" w14:textId="26F4A3C3" w:rsidR="00846C2F" w:rsidRPr="00D43FA1" w:rsidRDefault="003B2E93" w:rsidP="00846C2F">
      <w:pPr>
        <w:pStyle w:val="NummerierungStufe2"/>
        <w:rPr>
          <w:rStyle w:val="Marker"/>
          <w:color w:val="auto"/>
        </w:rPr>
      </w:pPr>
      <w:r>
        <w:rPr>
          <w:rStyle w:val="Marker"/>
          <w:color w:val="auto"/>
        </w:rPr>
        <w:t xml:space="preserve">Les points 7 à 10 suivants sont </w:t>
      </w:r>
      <w:proofErr w:type="gramStart"/>
      <w:r>
        <w:rPr>
          <w:rStyle w:val="Marker"/>
          <w:color w:val="auto"/>
        </w:rPr>
        <w:t>ajoutés:</w:t>
      </w:r>
      <w:proofErr w:type="gramEnd"/>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 xml:space="preserve">«7. Vieux </w:t>
      </w:r>
      <w:proofErr w:type="gramStart"/>
      <w:r>
        <w:rPr>
          <w:rStyle w:val="Marker"/>
          <w:color w:val="auto"/>
        </w:rPr>
        <w:t>papiers:</w:t>
      </w:r>
      <w:proofErr w:type="gramEnd"/>
      <w:r>
        <w:rPr>
          <w:rStyle w:val="Marker"/>
          <w:color w:val="auto"/>
        </w:rPr>
        <w:t xml:space="preserve"> matière fibreuse obtenue à partir de papiers usagés par des méthodes de traitement pour la fabrication de papier, carton-pâte ou carton;</w:t>
      </w:r>
    </w:p>
    <w:p w14:paraId="0106737F" w14:textId="23765191" w:rsidR="00E24BD3" w:rsidRPr="00D43FA1" w:rsidRDefault="00E24BD3" w:rsidP="00A62004">
      <w:pPr>
        <w:pStyle w:val="JuristischerAbsatznichtnummeriert"/>
        <w:keepLines/>
        <w:ind w:left="851" w:firstLine="295"/>
      </w:pPr>
      <w:r>
        <w:rPr>
          <w:rStyle w:val="Marker"/>
          <w:color w:val="auto"/>
        </w:rPr>
        <w:lastRenderedPageBreak/>
        <w:t xml:space="preserve">8. </w:t>
      </w:r>
      <w:r>
        <w:t>Hydrocarbures d</w:t>
      </w:r>
      <w:r w:rsidR="00012CFE">
        <w:t>’</w:t>
      </w:r>
      <w:r>
        <w:t xml:space="preserve">huile minérale </w:t>
      </w:r>
      <w:proofErr w:type="gramStart"/>
      <w:r>
        <w:t>aromatique:</w:t>
      </w:r>
      <w:proofErr w:type="gramEnd"/>
      <w:r>
        <w:t xml:space="preserve"> hydrocarbures aromatiques alkylés des nombres de carbone</w:t>
      </w:r>
      <w:r w:rsidR="00012CFE">
        <w:t> </w:t>
      </w:r>
      <w:r>
        <w:t>C16 à C35 qui contiennent un ou plusieurs noyaux, à l</w:t>
      </w:r>
      <w:r w:rsidR="00012CFE">
        <w:t>’</w:t>
      </w:r>
      <w:r>
        <w:t xml:space="preserve">exception des </w:t>
      </w:r>
      <w:proofErr w:type="spellStart"/>
      <w:r>
        <w:t>diisopropylnaphtalènes</w:t>
      </w:r>
      <w:proofErr w:type="spellEnd"/>
      <w:r>
        <w:t>; les nombres de carbone sont liés aux plages d</w:t>
      </w:r>
      <w:r w:rsidR="00012CFE">
        <w:t>’</w:t>
      </w:r>
      <w:r>
        <w:t>élution ou aux temps de rétention des n-alcanes correspondants dans l</w:t>
      </w:r>
      <w:r w:rsidR="00012CFE">
        <w:t>’</w:t>
      </w:r>
      <w:r>
        <w:t xml:space="preserve">analyse chromatographique en phase gazeuse sur une colonne de séparation revêtue de </w:t>
      </w:r>
      <w:proofErr w:type="spellStart"/>
      <w:r>
        <w:t>diméthylpolysiloxane</w:t>
      </w:r>
      <w:proofErr w:type="spellEnd"/>
      <w:r>
        <w:t>;</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 xml:space="preserve">Barrière </w:t>
      </w:r>
      <w:proofErr w:type="gramStart"/>
      <w:r>
        <w:t>fonctionnelle:</w:t>
      </w:r>
      <w:proofErr w:type="gramEnd"/>
    </w:p>
    <w:p w14:paraId="74FD3E26" w14:textId="3FEED186" w:rsidR="00B643B8" w:rsidRPr="00D43FA1" w:rsidRDefault="002F7BDF" w:rsidP="00067EA9">
      <w:pPr>
        <w:pStyle w:val="JuristischerAbsatznichtnummeriert"/>
        <w:ind w:left="851" w:firstLine="589"/>
      </w:pPr>
      <w:r>
        <w:rPr>
          <w:rStyle w:val="Marker"/>
          <w:color w:val="auto"/>
        </w:rPr>
        <w:t xml:space="preserve">a) </w:t>
      </w:r>
      <w:r>
        <w:t>une ou plusieurs couches ou revêtements d</w:t>
      </w:r>
      <w:r w:rsidR="00012CFE">
        <w:t>’</w:t>
      </w:r>
      <w:r>
        <w:t xml:space="preserve">un bien destiné à entrer en contact avec des denrées alimentaires </w:t>
      </w:r>
      <w:proofErr w:type="gramStart"/>
      <w:r>
        <w:t>ou</w:t>
      </w:r>
      <w:proofErr w:type="gramEnd"/>
    </w:p>
    <w:p w14:paraId="6C74E0DD" w14:textId="394AB2EA" w:rsidR="002F7BDF" w:rsidRPr="00D43FA1" w:rsidRDefault="002F7BDF" w:rsidP="00067EA9">
      <w:pPr>
        <w:pStyle w:val="JuristischerAbsatznichtnummeriert"/>
        <w:ind w:left="720" w:firstLine="720"/>
      </w:pPr>
      <w:r>
        <w:rPr>
          <w:rStyle w:val="Marker"/>
          <w:color w:val="auto"/>
        </w:rPr>
        <w:t>b) l</w:t>
      </w:r>
      <w:r w:rsidR="00012CFE">
        <w:rPr>
          <w:rStyle w:val="Marker"/>
          <w:color w:val="auto"/>
        </w:rPr>
        <w:t>’</w:t>
      </w:r>
      <w:r>
        <w:rPr>
          <w:rStyle w:val="Marker"/>
          <w:color w:val="auto"/>
        </w:rPr>
        <w:t>emballage d</w:t>
      </w:r>
      <w:r w:rsidR="00012CFE">
        <w:rPr>
          <w:rStyle w:val="Marker"/>
          <w:color w:val="auto"/>
        </w:rPr>
        <w:t>’</w:t>
      </w:r>
      <w:r>
        <w:rPr>
          <w:rStyle w:val="Marker"/>
          <w:color w:val="auto"/>
        </w:rPr>
        <w:t>une denrée alimentaire,</w:t>
      </w:r>
    </w:p>
    <w:p w14:paraId="326B7F41" w14:textId="0B4EE35B" w:rsidR="00E24BD3" w:rsidRPr="00D43FA1" w:rsidRDefault="00E24BD3" w:rsidP="00067EA9">
      <w:pPr>
        <w:pStyle w:val="JuristischerAbsatznichtnummeriert"/>
        <w:ind w:left="851" w:firstLine="0"/>
      </w:pPr>
      <w:proofErr w:type="gramStart"/>
      <w:r>
        <w:t>qui</w:t>
      </w:r>
      <w:proofErr w:type="gramEnd"/>
      <w:r>
        <w:t xml:space="preserve"> garantit que certaines substances des biens destinés à entrer en contact avec des denrées alimentaires ne soient transférées aux aliments;</w:t>
      </w:r>
    </w:p>
    <w:p w14:paraId="4B18F3E3" w14:textId="2FA9AAA1" w:rsidR="00846C2F" w:rsidRPr="00D43FA1" w:rsidRDefault="00E24BD3" w:rsidP="00067EA9">
      <w:pPr>
        <w:pStyle w:val="JuristischerAbsatznichtnummeriert"/>
        <w:ind w:left="851" w:firstLine="294"/>
      </w:pPr>
      <w:r>
        <w:rPr>
          <w:rStyle w:val="Marker"/>
          <w:color w:val="auto"/>
        </w:rPr>
        <w:t xml:space="preserve">10. </w:t>
      </w:r>
      <w:r>
        <w:t xml:space="preserve">Simulant </w:t>
      </w:r>
      <w:proofErr w:type="gramStart"/>
      <w:r>
        <w:t>alimentaire:</w:t>
      </w:r>
      <w:proofErr w:type="gramEnd"/>
      <w:r>
        <w:t xml:space="preserve"> simulant alimentaire au sens de l’article</w:t>
      </w:r>
      <w:r w:rsidR="00012CFE">
        <w:t> </w:t>
      </w:r>
      <w:r>
        <w:t>3, paragraphe</w:t>
      </w:r>
      <w:r w:rsidR="00012CFE">
        <w:t> </w:t>
      </w:r>
      <w:r>
        <w:t>12, du règlement (UE) n°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L’article 6a suivant est inséré après l’article </w:t>
      </w:r>
      <w:proofErr w:type="gramStart"/>
      <w:r>
        <w:rPr>
          <w:rStyle w:val="Marker"/>
          <w:color w:val="auto"/>
        </w:rPr>
        <w:t>6:</w:t>
      </w:r>
      <w:proofErr w:type="gramEnd"/>
    </w:p>
    <w:p w14:paraId="254DF9EA" w14:textId="445328DA" w:rsidR="00846C2F" w:rsidRPr="00D43FA1" w:rsidRDefault="00846C2F" w:rsidP="007E01A6">
      <w:pPr>
        <w:pStyle w:val="RevisionParagraphBezeichnermanuell"/>
        <w:keepLines/>
        <w:ind w:left="425" w:hanging="75"/>
        <w:rPr>
          <w:color w:val="auto"/>
        </w:rPr>
      </w:pPr>
      <w:proofErr w:type="gramStart"/>
      <w:r>
        <w:rPr>
          <w:color w:val="auto"/>
        </w:rPr>
        <w:t>«Article</w:t>
      </w:r>
      <w:proofErr w:type="gramEnd"/>
      <w:r w:rsidR="00012CFE">
        <w:rPr>
          <w:color w:val="auto"/>
        </w:rPr>
        <w:t> </w:t>
      </w:r>
      <w:r>
        <w:rPr>
          <w:rStyle w:val="Marker"/>
          <w:color w:val="auto"/>
        </w:rPr>
        <w:t>6a</w:t>
      </w:r>
      <w:r w:rsidR="00A62004">
        <w:rPr>
          <w:rStyle w:val="Marker"/>
          <w:color w:val="auto"/>
        </w:rPr>
        <w:br/>
      </w:r>
      <w:r>
        <w:rPr>
          <w:rStyle w:val="Marker"/>
          <w:color w:val="auto"/>
        </w:rPr>
        <w:t xml:space="preserve"> biens destinés à entrer en contact avec des denrées alimentaires en papier, carton-pâte ou carton avec une proportion de vieux papiers</w:t>
      </w:r>
    </w:p>
    <w:p w14:paraId="393F6670" w14:textId="2965162F" w:rsidR="00756335" w:rsidRPr="00A62004" w:rsidRDefault="00E24BD3" w:rsidP="00067EA9">
      <w:pPr>
        <w:pStyle w:val="JuristischerAbsatznichtnummeriert"/>
        <w:ind w:left="425" w:firstLine="295"/>
        <w:rPr>
          <w:rStyle w:val="Marker"/>
          <w:color w:val="auto"/>
          <w:spacing w:val="-4"/>
        </w:rPr>
      </w:pPr>
      <w:r w:rsidRPr="00A62004">
        <w:rPr>
          <w:rStyle w:val="Marker"/>
          <w:color w:val="auto"/>
          <w:spacing w:val="-4"/>
        </w:rPr>
        <w:t>(1) Les biens destinés à entrer en contact avec des denrées alimentaires en papier, carton-pâte ou carton ne peuvent être fabriqués et mis en circulation à partir de vieux papiers que si une barrière fonctionnelle conformément à l’article</w:t>
      </w:r>
      <w:r w:rsidR="00012CFE" w:rsidRPr="00A62004">
        <w:rPr>
          <w:rStyle w:val="Marker"/>
          <w:color w:val="auto"/>
          <w:spacing w:val="-4"/>
        </w:rPr>
        <w:t> </w:t>
      </w:r>
      <w:r w:rsidRPr="00A62004">
        <w:rPr>
          <w:rStyle w:val="Marker"/>
          <w:color w:val="auto"/>
          <w:spacing w:val="-4"/>
        </w:rPr>
        <w:t>2, point</w:t>
      </w:r>
      <w:r w:rsidR="00012CFE" w:rsidRPr="00A62004">
        <w:rPr>
          <w:rStyle w:val="Marker"/>
          <w:color w:val="auto"/>
          <w:spacing w:val="-4"/>
        </w:rPr>
        <w:t> </w:t>
      </w:r>
      <w:r w:rsidRPr="00A62004">
        <w:rPr>
          <w:rStyle w:val="Marker"/>
          <w:color w:val="auto"/>
          <w:spacing w:val="-4"/>
        </w:rPr>
        <w:t>9, garantit qu</w:t>
      </w:r>
      <w:r w:rsidR="00012CFE" w:rsidRPr="00A62004">
        <w:rPr>
          <w:rStyle w:val="Marker"/>
          <w:color w:val="auto"/>
          <w:spacing w:val="-4"/>
        </w:rPr>
        <w:t>’</w:t>
      </w:r>
      <w:r w:rsidRPr="00A62004">
        <w:rPr>
          <w:rStyle w:val="Marker"/>
          <w:color w:val="auto"/>
          <w:spacing w:val="-4"/>
        </w:rPr>
        <w:t>aucun hydrocarbure d</w:t>
      </w:r>
      <w:r w:rsidR="00012CFE" w:rsidRPr="00A62004">
        <w:rPr>
          <w:rStyle w:val="Marker"/>
          <w:color w:val="auto"/>
          <w:spacing w:val="-4"/>
        </w:rPr>
        <w:t>’</w:t>
      </w:r>
      <w:r w:rsidRPr="00A62004">
        <w:rPr>
          <w:rStyle w:val="Marker"/>
          <w:color w:val="auto"/>
          <w:spacing w:val="-4"/>
        </w:rPr>
        <w:t>huile minérale aromatique n</w:t>
      </w:r>
      <w:r w:rsidR="00012CFE" w:rsidRPr="00A62004">
        <w:rPr>
          <w:rStyle w:val="Marker"/>
          <w:color w:val="auto"/>
          <w:spacing w:val="-4"/>
        </w:rPr>
        <w:t>’</w:t>
      </w:r>
      <w:r w:rsidRPr="00A62004">
        <w:rPr>
          <w:rStyle w:val="Marker"/>
          <w:color w:val="auto"/>
          <w:spacing w:val="-4"/>
        </w:rPr>
        <w:t xml:space="preserve">est transféré du bien en contact avec des denrées alimentaires aux aliments. Un transfert est réputé ne pas avoir eu lieu si </w:t>
      </w:r>
    </w:p>
    <w:p w14:paraId="16C207F7" w14:textId="4658F467" w:rsidR="002F7BDF" w:rsidRPr="00D43FA1" w:rsidRDefault="002F7BDF" w:rsidP="00067EA9">
      <w:pPr>
        <w:pStyle w:val="JuristischerAbsatznichtnummeriert"/>
        <w:ind w:left="425" w:firstLine="0"/>
        <w:rPr>
          <w:szCs w:val="24"/>
        </w:rPr>
      </w:pPr>
      <w:r>
        <w:t>1. la limite de détection de 0,5</w:t>
      </w:r>
      <w:r w:rsidR="00012CFE">
        <w:t> </w:t>
      </w:r>
      <w:r>
        <w:t>milligramme de la somme des hydrocarbures d</w:t>
      </w:r>
      <w:r w:rsidR="00012CFE">
        <w:t>’</w:t>
      </w:r>
      <w:r>
        <w:t>huiles minérales aromatiques par kilogramme d</w:t>
      </w:r>
      <w:r w:rsidR="00012CFE">
        <w:t>’</w:t>
      </w:r>
      <w:r>
        <w:t>aliment n</w:t>
      </w:r>
      <w:r w:rsidR="00012CFE">
        <w:t>’</w:t>
      </w:r>
      <w:r>
        <w:t xml:space="preserve">est pas dépassée </w:t>
      </w:r>
      <w:proofErr w:type="gramStart"/>
      <w:r>
        <w:t>ou</w:t>
      </w:r>
      <w:proofErr w:type="gramEnd"/>
      <w:r>
        <w:t xml:space="preserve"> </w:t>
      </w:r>
    </w:p>
    <w:p w14:paraId="172F3F97" w14:textId="1A73F70F" w:rsidR="00C74C74" w:rsidRPr="007E01A6" w:rsidRDefault="002F7BDF" w:rsidP="00067EA9">
      <w:pPr>
        <w:pStyle w:val="JuristischerAbsatznichtnummeriert"/>
        <w:ind w:left="425" w:firstLine="0"/>
        <w:rPr>
          <w:szCs w:val="24"/>
        </w:rPr>
      </w:pPr>
      <w:r>
        <w:t>2. la limite de détection de 0,15</w:t>
      </w:r>
      <w:r w:rsidR="00012CFE">
        <w:t> </w:t>
      </w:r>
      <w:r>
        <w:t>milligramme de la somme des hydrocarbures d</w:t>
      </w:r>
      <w:r w:rsidR="00012CFE">
        <w:t>’</w:t>
      </w:r>
      <w:r>
        <w:t>huiles minérales aromatiques par kilogramme de simulant alimentaire n</w:t>
      </w:r>
      <w:r w:rsidR="00012CFE">
        <w:t>’</w:t>
      </w:r>
      <w:r>
        <w:t xml:space="preserve">est pas dépassée. </w:t>
      </w:r>
    </w:p>
    <w:p w14:paraId="4CAF2837" w14:textId="2E6E6EEE" w:rsidR="00C74C74" w:rsidRPr="00D43FA1" w:rsidRDefault="00E24BD3" w:rsidP="00067EA9">
      <w:pPr>
        <w:pStyle w:val="JuristischerAbsatznichtnummeriert"/>
        <w:ind w:left="425" w:firstLine="295"/>
      </w:pPr>
      <w:r>
        <w:rPr>
          <w:rStyle w:val="Marker"/>
          <w:color w:val="auto"/>
        </w:rPr>
        <w:t xml:space="preserve">(2) </w:t>
      </w:r>
      <w:r>
        <w:t>Le paragraphe</w:t>
      </w:r>
      <w:r w:rsidR="00012CFE">
        <w:t> </w:t>
      </w:r>
      <w:r>
        <w:t>1, phrase</w:t>
      </w:r>
      <w:r w:rsidR="00012CFE">
        <w:t> </w:t>
      </w:r>
      <w:r>
        <w:t>1, ne s</w:t>
      </w:r>
      <w:r w:rsidR="00012CFE">
        <w:t>’</w:t>
      </w:r>
      <w:r>
        <w:t>applique pas si un transfert d</w:t>
      </w:r>
      <w:r w:rsidR="00012CFE">
        <w:t>’</w:t>
      </w:r>
      <w:r>
        <w:t>hydrocarbures d</w:t>
      </w:r>
      <w:r w:rsidR="00012CFE">
        <w:t>’</w:t>
      </w:r>
      <w:r>
        <w:t>huiles minérales aromatiques du bien en contact avec des denrées alimentaires aux aliments au sens du paragraphe</w:t>
      </w:r>
      <w:r w:rsidR="00012CFE">
        <w:t> </w:t>
      </w:r>
      <w:r>
        <w:t>1, phrase 2 est exclu parce que</w:t>
      </w:r>
    </w:p>
    <w:p w14:paraId="6CBC600B" w14:textId="1D7DC074" w:rsidR="002F7BDF" w:rsidRPr="00D43FA1" w:rsidRDefault="002F7BDF" w:rsidP="00067EA9">
      <w:pPr>
        <w:pStyle w:val="JuristischerAbsatznichtnummeriert"/>
        <w:ind w:left="425" w:firstLine="0"/>
      </w:pPr>
      <w:r>
        <w:rPr>
          <w:rStyle w:val="Marker"/>
          <w:color w:val="auto"/>
        </w:rPr>
        <w:t>1. il existe des exigences particulières pour le bien en contact avec des denrées alimentaires, en particulier qu</w:t>
      </w:r>
      <w:r w:rsidR="00012CFE">
        <w:rPr>
          <w:rStyle w:val="Marker"/>
          <w:color w:val="auto"/>
        </w:rPr>
        <w:t>’</w:t>
      </w:r>
      <w:r>
        <w:rPr>
          <w:rStyle w:val="Marker"/>
          <w:color w:val="auto"/>
        </w:rPr>
        <w:t>il n</w:t>
      </w:r>
      <w:r w:rsidR="00012CFE">
        <w:rPr>
          <w:rStyle w:val="Marker"/>
          <w:color w:val="auto"/>
        </w:rPr>
        <w:t>’</w:t>
      </w:r>
      <w:r>
        <w:rPr>
          <w:rStyle w:val="Marker"/>
          <w:color w:val="auto"/>
        </w:rPr>
        <w:t>y ait qu</w:t>
      </w:r>
      <w:r w:rsidR="00012CFE">
        <w:rPr>
          <w:rStyle w:val="Marker"/>
          <w:color w:val="auto"/>
        </w:rPr>
        <w:t>’</w:t>
      </w:r>
      <w:r>
        <w:rPr>
          <w:rStyle w:val="Marker"/>
          <w:color w:val="auto"/>
        </w:rPr>
        <w:t>une faible teneur en hydrocarbures d</w:t>
      </w:r>
      <w:r w:rsidR="00012CFE">
        <w:rPr>
          <w:rStyle w:val="Marker"/>
          <w:color w:val="auto"/>
        </w:rPr>
        <w:t>’</w:t>
      </w:r>
      <w:r>
        <w:rPr>
          <w:rStyle w:val="Marker"/>
          <w:color w:val="auto"/>
        </w:rPr>
        <w:t xml:space="preserve">huile minérale aromatique dans le bien destiné à entrer en contact avec des denrées alimentaires, </w:t>
      </w:r>
      <w:proofErr w:type="gramStart"/>
      <w:r>
        <w:rPr>
          <w:rStyle w:val="Marker"/>
          <w:color w:val="auto"/>
        </w:rPr>
        <w:t>ou</w:t>
      </w:r>
      <w:proofErr w:type="gramEnd"/>
    </w:p>
    <w:p w14:paraId="05A8EA42" w14:textId="2BF67133" w:rsidR="00123700" w:rsidRPr="00D43FA1" w:rsidRDefault="002F7BDF" w:rsidP="00A62004">
      <w:pPr>
        <w:pStyle w:val="JuristischerAbsatznichtnummeriert"/>
        <w:keepNext/>
        <w:keepLines/>
        <w:ind w:left="425" w:firstLine="0"/>
      </w:pPr>
      <w:r>
        <w:rPr>
          <w:rStyle w:val="Marker"/>
          <w:color w:val="auto"/>
        </w:rPr>
        <w:lastRenderedPageBreak/>
        <w:t xml:space="preserve">2. </w:t>
      </w:r>
      <w:r>
        <w:t>le fabricant ou le distributeur du bien destiné à entrer en contact avec des denrées alimentaires a pris d</w:t>
      </w:r>
      <w:r w:rsidR="00012CFE">
        <w:t>’</w:t>
      </w:r>
      <w:r>
        <w:t>autres mesures appropriées pour empêcher un transfert.</w:t>
      </w:r>
    </w:p>
    <w:p w14:paraId="0AD974E6" w14:textId="3F01592F" w:rsidR="00735843" w:rsidRPr="00D43FA1" w:rsidRDefault="00E24BD3" w:rsidP="00A62004">
      <w:pPr>
        <w:pStyle w:val="JuristischerAbsatznichtnummeriert"/>
        <w:keepLines/>
        <w:ind w:left="425" w:firstLine="295"/>
      </w:pPr>
      <w:r>
        <w:rPr>
          <w:rStyle w:val="Marker"/>
          <w:color w:val="auto"/>
        </w:rPr>
        <w:t xml:space="preserve">(3) </w:t>
      </w:r>
      <w:r>
        <w:t>En dérogation au paragraphe</w:t>
      </w:r>
      <w:r w:rsidR="00012CFE">
        <w:t> </w:t>
      </w:r>
      <w:r>
        <w:t>1, phrase</w:t>
      </w:r>
      <w:r w:rsidR="00012CFE">
        <w:t> </w:t>
      </w:r>
      <w:r>
        <w:t>1, les biens destinés à entrer en contact avec des denrées alimentaires qui y sont décrits peuvent être fabriqués et mis sur le marché sans barrière fonctionnelle si l</w:t>
      </w:r>
      <w:r w:rsidR="00012CFE">
        <w:t>’</w:t>
      </w:r>
      <w:r>
        <w:t>exploitant du secteur alimentaire qui met en premier le bien destiné à entrer en contact avec des denrées alimentaires en contact avec un aliment par emballage ou de toute autre manière, par écrit avant la livraison du bien en contact avec des denrées alimentaires ou déclare électroniquement au fabricant ou à la personne procédant à la commercialisation du bien destiné à entrer en contact avec des denrées alimentaires qu</w:t>
      </w:r>
      <w:r w:rsidR="00012CFE">
        <w:t>’</w:t>
      </w:r>
      <w:r>
        <w:t>il renonce à la barrière fonctionnelle conformément à l’article</w:t>
      </w:r>
      <w:r w:rsidR="00012CFE">
        <w:t> </w:t>
      </w:r>
      <w:r>
        <w:t>2, point</w:t>
      </w:r>
      <w:r w:rsidR="00012CFE">
        <w:t> </w:t>
      </w:r>
      <w:r>
        <w:t xml:space="preserve">9. </w:t>
      </w:r>
    </w:p>
    <w:p w14:paraId="789B1568" w14:textId="7F732DEA" w:rsidR="00E24BD3" w:rsidRPr="00D43FA1" w:rsidRDefault="00E24BD3" w:rsidP="00067EA9">
      <w:pPr>
        <w:pStyle w:val="JuristischerAbsatznichtnummeriert"/>
        <w:ind w:left="425" w:firstLine="295"/>
      </w:pPr>
      <w:r>
        <w:rPr>
          <w:rStyle w:val="Marker"/>
          <w:color w:val="auto"/>
        </w:rPr>
        <w:t>(4)</w:t>
      </w:r>
      <w:r>
        <w:t xml:space="preserve"> Dans les cas du paragraphe</w:t>
      </w:r>
      <w:r w:rsidR="00012CFE">
        <w:t> </w:t>
      </w:r>
      <w:r>
        <w:t>3, l</w:t>
      </w:r>
      <w:r w:rsidR="00012CFE">
        <w:t>’</w:t>
      </w:r>
      <w:r>
        <w:t>exploitant du secteur alimentaire utilisant le bien en contact avec des denrées alimentaires doit veiller à ce qu</w:t>
      </w:r>
      <w:r w:rsidR="00012CFE">
        <w:t>’</w:t>
      </w:r>
      <w:r>
        <w:t>un transfert d</w:t>
      </w:r>
      <w:r w:rsidR="00012CFE">
        <w:t>’</w:t>
      </w:r>
      <w:r>
        <w:t>hydrocarbures d</w:t>
      </w:r>
      <w:r w:rsidR="00012CFE">
        <w:t>’</w:t>
      </w:r>
      <w:r>
        <w:t>huile minérale aromatique du bien en contact avec des denrées alimentaires aux aliments au sens du paragraphe</w:t>
      </w:r>
      <w:r w:rsidR="00012CFE">
        <w:t> </w:t>
      </w:r>
      <w:r>
        <w:t>1, phrase</w:t>
      </w:r>
      <w:r w:rsidR="00012CFE">
        <w:t> </w:t>
      </w:r>
      <w:r>
        <w:t xml:space="preserve">2, soit exclu. Pour cela, il doit utiliser une barrière fonctionnelle selon l’article 2, point 9, </w:t>
      </w:r>
      <w:r w:rsidR="00012CFE">
        <w:t>b),</w:t>
      </w:r>
      <w:r>
        <w:t xml:space="preserve"> ou prendre d</w:t>
      </w:r>
      <w:r w:rsidR="00012CFE">
        <w:t>’</w:t>
      </w:r>
      <w:r>
        <w:t>autres mesures appropriées. La phrase</w:t>
      </w:r>
      <w:r w:rsidR="00012CFE">
        <w:t> </w:t>
      </w:r>
      <w:r>
        <w:t>2 ne s</w:t>
      </w:r>
      <w:r w:rsidR="00012CFE">
        <w:t>’</w:t>
      </w:r>
      <w:r>
        <w:t>applique pas si, en particulier en raison de la nature de l</w:t>
      </w:r>
      <w:r w:rsidR="00012CFE">
        <w:t>’</w:t>
      </w:r>
      <w:r>
        <w:t>aliment qui entre en contact avec le bien en contact avec des denrées alimentaires, ou en raison des conditions d</w:t>
      </w:r>
      <w:r w:rsidR="00012CFE">
        <w:t>’</w:t>
      </w:r>
      <w:r>
        <w:t>utilisation prévues du bien en contact avec des denrées alimentaires, il existe des exigences spéciales qui excluent tout transfert des hydrocarbures d</w:t>
      </w:r>
      <w:r w:rsidR="00012CFE">
        <w:t>’</w:t>
      </w:r>
      <w:r>
        <w:t>huiles minérales aromatiques du bien en contact avec des denrées alimentaires à l</w:t>
      </w:r>
      <w:r w:rsidR="00012CFE">
        <w:t>’</w:t>
      </w:r>
      <w:r>
        <w:t>aliment au sens du paragraphe 1, phrase</w:t>
      </w:r>
      <w:r w:rsidR="00012CFE">
        <w:t> </w:t>
      </w:r>
      <w:r>
        <w:t>2.</w:t>
      </w:r>
    </w:p>
    <w:p w14:paraId="5366601D" w14:textId="72C54799" w:rsidR="00313AFD" w:rsidRPr="00A62004" w:rsidRDefault="00E24BD3" w:rsidP="00C62066">
      <w:pPr>
        <w:pStyle w:val="JuristischerAbsatznichtnummeriert"/>
        <w:ind w:firstLine="720"/>
        <w:rPr>
          <w:spacing w:val="-4"/>
        </w:rPr>
      </w:pPr>
      <w:r w:rsidRPr="00A62004">
        <w:rPr>
          <w:rStyle w:val="Marker"/>
          <w:color w:val="auto"/>
          <w:spacing w:val="-4"/>
        </w:rPr>
        <w:t xml:space="preserve">(5) </w:t>
      </w:r>
      <w:r w:rsidRPr="00A62004">
        <w:rPr>
          <w:spacing w:val="-4"/>
        </w:rPr>
        <w:t>À la demande de l</w:t>
      </w:r>
      <w:r w:rsidR="00012CFE" w:rsidRPr="00A62004">
        <w:rPr>
          <w:spacing w:val="-4"/>
        </w:rPr>
        <w:t>’</w:t>
      </w:r>
      <w:r w:rsidRPr="00A62004">
        <w:rPr>
          <w:spacing w:val="-4"/>
        </w:rPr>
        <w:t xml:space="preserve">autorité compétente, les éléments suivants doivent être </w:t>
      </w:r>
      <w:proofErr w:type="gramStart"/>
      <w:r w:rsidRPr="00A62004">
        <w:rPr>
          <w:spacing w:val="-4"/>
        </w:rPr>
        <w:t>présentés:</w:t>
      </w:r>
      <w:proofErr w:type="gramEnd"/>
    </w:p>
    <w:p w14:paraId="77519757" w14:textId="3A2104A2" w:rsidR="002F7BDF" w:rsidRPr="007E01A6" w:rsidRDefault="002F7BDF" w:rsidP="00C62066">
      <w:pPr>
        <w:pStyle w:val="JuristischerAbsatznichtnummeriert"/>
        <w:ind w:left="425" w:firstLine="0"/>
        <w:rPr>
          <w:rStyle w:val="Marker"/>
          <w:color w:val="auto"/>
        </w:rPr>
      </w:pPr>
      <w:r>
        <w:rPr>
          <w:rStyle w:val="Marker"/>
          <w:color w:val="auto"/>
        </w:rPr>
        <w:t>1. par le fabricant ou la personne procédant à la commercialisation du bien destiné à entrer en contact avec des denrées alimentaires, le respect des exigences des paragraphes</w:t>
      </w:r>
      <w:r w:rsidR="00012CFE">
        <w:rPr>
          <w:rStyle w:val="Marker"/>
          <w:color w:val="auto"/>
        </w:rPr>
        <w:t> </w:t>
      </w:r>
      <w:r>
        <w:rPr>
          <w:rStyle w:val="Marker"/>
          <w:color w:val="auto"/>
        </w:rPr>
        <w:t>2 et 3 et</w:t>
      </w:r>
    </w:p>
    <w:p w14:paraId="2F2FD13A" w14:textId="770B2116" w:rsidR="00313AFD" w:rsidRPr="007E01A6" w:rsidRDefault="002F7BDF" w:rsidP="00C62066">
      <w:pPr>
        <w:pStyle w:val="JuristischerAbsatznichtnummeriert"/>
        <w:ind w:left="425" w:firstLine="0"/>
        <w:rPr>
          <w:rStyle w:val="Marker"/>
          <w:color w:val="auto"/>
        </w:rPr>
      </w:pPr>
      <w:r>
        <w:rPr>
          <w:rStyle w:val="Marker"/>
          <w:color w:val="auto"/>
        </w:rPr>
        <w:t>2. par l</w:t>
      </w:r>
      <w:r w:rsidR="00012CFE">
        <w:rPr>
          <w:rStyle w:val="Marker"/>
          <w:color w:val="auto"/>
        </w:rPr>
        <w:t>’</w:t>
      </w:r>
      <w:r>
        <w:rPr>
          <w:rStyle w:val="Marker"/>
          <w:color w:val="auto"/>
        </w:rPr>
        <w:t>exploitant du secteur alimentaire, le respect des exigences du paragraphe</w:t>
      </w:r>
      <w:r w:rsidR="00012CFE">
        <w:rPr>
          <w:rStyle w:val="Marker"/>
          <w:color w:val="auto"/>
        </w:rPr>
        <w:t> </w:t>
      </w:r>
      <w:r>
        <w:rPr>
          <w:rStyle w:val="Marker"/>
          <w:color w:val="auto"/>
        </w:rPr>
        <w:t>4.</w:t>
      </w:r>
    </w:p>
    <w:p w14:paraId="587A74FC" w14:textId="326C7601" w:rsidR="004F1DB4" w:rsidRPr="00D43FA1" w:rsidRDefault="00E24BD3" w:rsidP="00C62066">
      <w:pPr>
        <w:pStyle w:val="JuristischerAbsatznichtnummeriert"/>
        <w:ind w:left="425" w:firstLine="0"/>
      </w:pPr>
      <w:r>
        <w:t>Les personnes obligées en vertu de la phrase</w:t>
      </w:r>
      <w:r w:rsidR="00012CFE">
        <w:t> </w:t>
      </w:r>
      <w:r>
        <w:t>1 doivent conserver des documents prouvant qu</w:t>
      </w:r>
      <w:r w:rsidR="00012CFE">
        <w:t>’</w:t>
      </w:r>
      <w:r>
        <w:t>un transfert d</w:t>
      </w:r>
      <w:r w:rsidR="00012CFE">
        <w:t>’</w:t>
      </w:r>
      <w:r>
        <w:t>hydrocarbures d</w:t>
      </w:r>
      <w:r w:rsidR="00012CFE">
        <w:t>’</w:t>
      </w:r>
      <w:r>
        <w:t xml:space="preserve">huiles minérales aromatiques du bien destiné à entrer en contact avec des denrées alimentaires aux aliments ou </w:t>
      </w:r>
      <w:proofErr w:type="spellStart"/>
      <w:r>
        <w:t>simulants</w:t>
      </w:r>
      <w:proofErr w:type="spellEnd"/>
      <w:r>
        <w:t xml:space="preserve"> alimentaires au sens du paragraphe</w:t>
      </w:r>
      <w:r w:rsidR="00012CFE">
        <w:t> </w:t>
      </w:r>
      <w:r>
        <w:t>1, phrase 2 est exclu.</w:t>
      </w:r>
    </w:p>
    <w:p w14:paraId="0AA413D8" w14:textId="12ADED1F" w:rsidR="007F06A5" w:rsidRPr="00D43FA1" w:rsidRDefault="00E24BD3" w:rsidP="00C62066">
      <w:pPr>
        <w:pStyle w:val="JuristischerAbsatznichtnummeriert"/>
        <w:ind w:left="425" w:firstLine="295"/>
      </w:pPr>
      <w:r>
        <w:rPr>
          <w:rStyle w:val="Marker"/>
          <w:color w:val="auto"/>
        </w:rPr>
        <w:t xml:space="preserve">(6) </w:t>
      </w:r>
      <w:r>
        <w:t>Il est interdit de commercialiser des denrées alimentaires qui ont été traitées en utilisant un bien destiné à entrer en contact avec des denrées alimentaires en tant que denrées alimentaires sans que les exigences du paragraphe</w:t>
      </w:r>
      <w:r w:rsidR="00012CFE">
        <w:t> </w:t>
      </w:r>
      <w:r>
        <w:t>1, phrase</w:t>
      </w:r>
      <w:r w:rsidR="00012CFE">
        <w:t> </w:t>
      </w:r>
      <w:r>
        <w:t>1 ou du paragraphe</w:t>
      </w:r>
      <w:r w:rsidR="00012CFE">
        <w:t> </w:t>
      </w:r>
      <w:r>
        <w:t>4, phrase 1 ne soient satisfaites</w:t>
      </w:r>
      <w:proofErr w:type="gramStart"/>
      <w:r>
        <w:t>.»</w:t>
      </w:r>
      <w:proofErr w:type="gramEnd"/>
    </w:p>
    <w:p w14:paraId="6FA09614" w14:textId="01A12A10" w:rsidR="00D10507" w:rsidRPr="00D43FA1" w:rsidRDefault="00D10507" w:rsidP="00D43FA1">
      <w:pPr>
        <w:pStyle w:val="NummerierungStufe1"/>
        <w:keepNext/>
        <w:keepLines/>
      </w:pPr>
      <w:r>
        <w:t>À l’article</w:t>
      </w:r>
      <w:r w:rsidR="00012CFE">
        <w:t> </w:t>
      </w:r>
      <w:r>
        <w:t>7, paragraphe 1, la mention</w:t>
      </w:r>
      <w:r w:rsidR="00012CFE">
        <w:t> </w:t>
      </w:r>
      <w:r>
        <w:t>«</w:t>
      </w:r>
      <w:proofErr w:type="gramStart"/>
      <w:r>
        <w:t>6»</w:t>
      </w:r>
      <w:proofErr w:type="gramEnd"/>
      <w:r>
        <w:t xml:space="preserve"> est remplacée par la mention «6a, paragraphe</w:t>
      </w:r>
      <w:r w:rsidR="00012CFE">
        <w:t> </w:t>
      </w:r>
      <w:r>
        <w:t>4».</w:t>
      </w:r>
    </w:p>
    <w:p w14:paraId="7EAA6364" w14:textId="77777777" w:rsidR="00D10507" w:rsidRPr="00D43FA1" w:rsidRDefault="00634FE4" w:rsidP="00D43FA1">
      <w:pPr>
        <w:pStyle w:val="NummerierungStufe1"/>
        <w:keepNext/>
        <w:keepLines/>
      </w:pPr>
      <w:r>
        <w:t xml:space="preserve">L’article 12 est modifié comme </w:t>
      </w:r>
      <w:proofErr w:type="gramStart"/>
      <w:r>
        <w:t>suit:</w:t>
      </w:r>
      <w:proofErr w:type="gramEnd"/>
      <w:r>
        <w:t xml:space="preserve"> </w:t>
      </w:r>
    </w:p>
    <w:p w14:paraId="69B3E358" w14:textId="77777777" w:rsidR="005068AC" w:rsidRPr="00D43FA1" w:rsidRDefault="005068AC" w:rsidP="00D43FA1">
      <w:pPr>
        <w:pStyle w:val="NummerierungStufe2"/>
        <w:keepNext/>
        <w:keepLines/>
        <w:rPr>
          <w:rStyle w:val="Marker"/>
          <w:color w:val="auto"/>
        </w:rPr>
      </w:pPr>
      <w:r>
        <w:rPr>
          <w:rStyle w:val="Marker"/>
          <w:color w:val="auto"/>
        </w:rPr>
        <w:t xml:space="preserve">Le paragraphe 2 est modifié comme </w:t>
      </w:r>
      <w:proofErr w:type="gramStart"/>
      <w:r>
        <w:rPr>
          <w:rStyle w:val="Marker"/>
          <w:color w:val="auto"/>
        </w:rPr>
        <w:t>suit:</w:t>
      </w:r>
      <w:proofErr w:type="gramEnd"/>
    </w:p>
    <w:p w14:paraId="35259617" w14:textId="77777777" w:rsidR="005068AC" w:rsidRPr="00D43FA1" w:rsidRDefault="00AC0D2A" w:rsidP="005068AC">
      <w:pPr>
        <w:pStyle w:val="NummerierungStufe3"/>
        <w:rPr>
          <w:rStyle w:val="Marker"/>
          <w:color w:val="auto"/>
        </w:rPr>
      </w:pPr>
      <w:r>
        <w:rPr>
          <w:rStyle w:val="Marker"/>
          <w:color w:val="auto"/>
        </w:rPr>
        <w:t>Au point 3, le terme</w:t>
      </w:r>
      <w:proofErr w:type="gramStart"/>
      <w:r>
        <w:rPr>
          <w:rStyle w:val="Marker"/>
          <w:color w:val="auto"/>
        </w:rPr>
        <w:t xml:space="preserve"> «ou</w:t>
      </w:r>
      <w:proofErr w:type="gramEnd"/>
      <w:r>
        <w:rPr>
          <w:rStyle w:val="Marker"/>
          <w:color w:val="auto"/>
        </w:rPr>
        <w:t>» est remplacé par une virgule.</w:t>
      </w:r>
    </w:p>
    <w:p w14:paraId="7DFBB224" w14:textId="77777777" w:rsidR="005068AC" w:rsidRPr="00D43FA1" w:rsidRDefault="00AC0D2A" w:rsidP="005068AC">
      <w:pPr>
        <w:pStyle w:val="NummerierungStufe3"/>
        <w:rPr>
          <w:rStyle w:val="Marker"/>
          <w:color w:val="auto"/>
        </w:rPr>
      </w:pPr>
      <w:r>
        <w:rPr>
          <w:rStyle w:val="Marker"/>
          <w:color w:val="auto"/>
        </w:rPr>
        <w:t>Au point 4, le point à la fin est remplacé par une virgule.</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lastRenderedPageBreak/>
        <w:t xml:space="preserve">Les points 5 et 6 suivants sont </w:t>
      </w:r>
      <w:proofErr w:type="gramStart"/>
      <w:r>
        <w:rPr>
          <w:rStyle w:val="Marker"/>
          <w:color w:val="auto"/>
        </w:rPr>
        <w:t>ajoutés:</w:t>
      </w:r>
      <w:proofErr w:type="gramEnd"/>
    </w:p>
    <w:p w14:paraId="33D0714E" w14:textId="6C94C109" w:rsidR="00241B36" w:rsidRPr="00D43FA1" w:rsidRDefault="00E24BD3" w:rsidP="00E24BD3">
      <w:pPr>
        <w:pStyle w:val="JuristischerAbsatznichtnummeriert"/>
        <w:ind w:left="850" w:firstLine="426"/>
        <w:rPr>
          <w:rStyle w:val="Marker"/>
          <w:color w:val="auto"/>
        </w:rPr>
      </w:pPr>
      <w:r>
        <w:rPr>
          <w:rStyle w:val="Marker"/>
          <w:color w:val="auto"/>
        </w:rPr>
        <w:t xml:space="preserve">«5. </w:t>
      </w:r>
      <w:proofErr w:type="gramStart"/>
      <w:r>
        <w:rPr>
          <w:rStyle w:val="Marker"/>
          <w:color w:val="auto"/>
        </w:rPr>
        <w:t>contrairement</w:t>
      </w:r>
      <w:proofErr w:type="gramEnd"/>
      <w:r>
        <w:rPr>
          <w:rStyle w:val="Marker"/>
          <w:color w:val="auto"/>
        </w:rPr>
        <w:t xml:space="preserve"> à l’article</w:t>
      </w:r>
      <w:r w:rsidR="00012CFE">
        <w:rPr>
          <w:rStyle w:val="Marker"/>
          <w:color w:val="auto"/>
        </w:rPr>
        <w:t> </w:t>
      </w:r>
      <w:r>
        <w:rPr>
          <w:rStyle w:val="Marker"/>
          <w:color w:val="auto"/>
        </w:rPr>
        <w:t>6a, paragraphe</w:t>
      </w:r>
      <w:r w:rsidR="00012CFE">
        <w:rPr>
          <w:rStyle w:val="Marker"/>
          <w:color w:val="auto"/>
        </w:rPr>
        <w:t> </w:t>
      </w:r>
      <w:r>
        <w:rPr>
          <w:rStyle w:val="Marker"/>
          <w:color w:val="auto"/>
        </w:rPr>
        <w:t>1, point</w:t>
      </w:r>
      <w:r w:rsidR="00012CFE">
        <w:rPr>
          <w:rStyle w:val="Marker"/>
          <w:color w:val="auto"/>
        </w:rPr>
        <w:t> </w:t>
      </w:r>
      <w:r>
        <w:rPr>
          <w:rStyle w:val="Marker"/>
          <w:color w:val="auto"/>
        </w:rPr>
        <w:t>1 ou paragraphe</w:t>
      </w:r>
      <w:r w:rsidR="00012CFE">
        <w:rPr>
          <w:rStyle w:val="Marker"/>
          <w:color w:val="auto"/>
        </w:rPr>
        <w:t> </w:t>
      </w:r>
      <w:r>
        <w:rPr>
          <w:rStyle w:val="Marker"/>
          <w:color w:val="auto"/>
        </w:rPr>
        <w:t xml:space="preserve">6, met un bien destiné à entrer en contact avec des denrées alimentaires ou une denrée alimentaire sur le marché ou </w:t>
      </w:r>
    </w:p>
    <w:p w14:paraId="5E978D5C" w14:textId="232FCD91" w:rsidR="00B77970" w:rsidRPr="00D43FA1" w:rsidRDefault="00E24BD3" w:rsidP="00E24BD3">
      <w:pPr>
        <w:pStyle w:val="JuristischerAbsatznichtnummeriert"/>
        <w:ind w:left="850" w:firstLine="426"/>
      </w:pPr>
      <w:r>
        <w:rPr>
          <w:rStyle w:val="Marker"/>
          <w:color w:val="auto"/>
        </w:rPr>
        <w:t>6. contrairement à l’article</w:t>
      </w:r>
      <w:r w:rsidR="00012CFE">
        <w:rPr>
          <w:rStyle w:val="Marker"/>
          <w:color w:val="auto"/>
        </w:rPr>
        <w:t> </w:t>
      </w:r>
      <w:r>
        <w:rPr>
          <w:rStyle w:val="Marker"/>
          <w:color w:val="auto"/>
        </w:rPr>
        <w:t>6a, paragraphe</w:t>
      </w:r>
      <w:r w:rsidR="00012CFE">
        <w:rPr>
          <w:rStyle w:val="Marker"/>
          <w:color w:val="auto"/>
        </w:rPr>
        <w:t> </w:t>
      </w:r>
      <w:r>
        <w:rPr>
          <w:rStyle w:val="Marker"/>
          <w:color w:val="auto"/>
        </w:rPr>
        <w:t>4, phrase 1 ne garantit pas qu</w:t>
      </w:r>
      <w:r w:rsidR="00012CFE">
        <w:rPr>
          <w:rStyle w:val="Marker"/>
          <w:color w:val="auto"/>
        </w:rPr>
        <w:t>’</w:t>
      </w:r>
      <w:r>
        <w:rPr>
          <w:rStyle w:val="Marker"/>
          <w:color w:val="auto"/>
        </w:rPr>
        <w:t>un transfert d</w:t>
      </w:r>
      <w:r w:rsidR="00012CFE">
        <w:rPr>
          <w:rStyle w:val="Marker"/>
          <w:color w:val="auto"/>
        </w:rPr>
        <w:t>’</w:t>
      </w:r>
      <w:r>
        <w:rPr>
          <w:rStyle w:val="Marker"/>
          <w:color w:val="auto"/>
        </w:rPr>
        <w:t>hydrocarbures d</w:t>
      </w:r>
      <w:r w:rsidR="00012CFE">
        <w:rPr>
          <w:rStyle w:val="Marker"/>
          <w:color w:val="auto"/>
        </w:rPr>
        <w:t>’</w:t>
      </w:r>
      <w:r>
        <w:rPr>
          <w:rStyle w:val="Marker"/>
          <w:color w:val="auto"/>
        </w:rPr>
        <w:t>huiles minérales aromatiques est exclu</w:t>
      </w:r>
      <w:proofErr w:type="gramStart"/>
      <w:r>
        <w:rPr>
          <w:rStyle w:val="Marker"/>
          <w:color w:val="auto"/>
        </w:rPr>
        <w:t>.»</w:t>
      </w:r>
      <w:proofErr w:type="gramEnd"/>
      <w:r>
        <w:rPr>
          <w:rStyle w:val="Marker"/>
          <w:color w:val="auto"/>
        </w:rPr>
        <w:t xml:space="preserve"> </w:t>
      </w:r>
    </w:p>
    <w:p w14:paraId="7716DBF5" w14:textId="4D9148FD" w:rsidR="005068AC" w:rsidRPr="00D43FA1" w:rsidRDefault="005068AC" w:rsidP="00D43FA1">
      <w:pPr>
        <w:pStyle w:val="NummerierungStufe2"/>
        <w:keepNext/>
        <w:keepLines/>
        <w:rPr>
          <w:rStyle w:val="Marker"/>
          <w:color w:val="auto"/>
        </w:rPr>
      </w:pPr>
      <w:r>
        <w:rPr>
          <w:rStyle w:val="Marker"/>
          <w:color w:val="auto"/>
        </w:rPr>
        <w:t xml:space="preserve">Le paragraphe 6 est modifié comme </w:t>
      </w:r>
      <w:proofErr w:type="gramStart"/>
      <w:r>
        <w:rPr>
          <w:rStyle w:val="Marker"/>
          <w:color w:val="auto"/>
        </w:rPr>
        <w:t>suit:</w:t>
      </w:r>
      <w:proofErr w:type="gramEnd"/>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Avant le point 1 est ajouté le point </w:t>
      </w:r>
      <w:proofErr w:type="gramStart"/>
      <w:r>
        <w:rPr>
          <w:rStyle w:val="Marker"/>
          <w:color w:val="auto"/>
        </w:rPr>
        <w:t>1:</w:t>
      </w:r>
      <w:proofErr w:type="gramEnd"/>
    </w:p>
    <w:p w14:paraId="008549AE" w14:textId="40C50B49" w:rsidR="00E24BD3" w:rsidRPr="007E01A6" w:rsidRDefault="00E24BD3" w:rsidP="00E24BD3">
      <w:pPr>
        <w:pStyle w:val="JuristischerAbsatznichtnummeriert"/>
        <w:ind w:left="720" w:firstLine="556"/>
        <w:rPr>
          <w:rStyle w:val="Marker"/>
          <w:color w:val="auto"/>
        </w:rPr>
      </w:pPr>
      <w:r>
        <w:rPr>
          <w:rStyle w:val="Marker"/>
          <w:color w:val="auto"/>
        </w:rPr>
        <w:t>1.</w:t>
      </w:r>
      <w:r w:rsidR="00A62004">
        <w:rPr>
          <w:rStyle w:val="Marker"/>
          <w:color w:val="auto"/>
        </w:rPr>
        <w:t xml:space="preserve"> </w:t>
      </w:r>
      <w:r>
        <w:rPr>
          <w:rStyle w:val="Marker"/>
          <w:color w:val="auto"/>
        </w:rPr>
        <w:t>contrairement à l’article</w:t>
      </w:r>
      <w:r w:rsidR="00012CFE">
        <w:rPr>
          <w:rStyle w:val="Marker"/>
          <w:color w:val="auto"/>
        </w:rPr>
        <w:t> </w:t>
      </w:r>
      <w:r>
        <w:rPr>
          <w:rStyle w:val="Marker"/>
          <w:color w:val="auto"/>
        </w:rPr>
        <w:t>6a, paragraphe</w:t>
      </w:r>
      <w:r w:rsidR="00012CFE">
        <w:rPr>
          <w:rStyle w:val="Marker"/>
          <w:color w:val="auto"/>
        </w:rPr>
        <w:t> </w:t>
      </w:r>
      <w:r>
        <w:rPr>
          <w:rStyle w:val="Marker"/>
          <w:color w:val="auto"/>
        </w:rPr>
        <w:t>5, phrase</w:t>
      </w:r>
      <w:r w:rsidR="00012CFE">
        <w:rPr>
          <w:rStyle w:val="Marker"/>
          <w:color w:val="auto"/>
        </w:rPr>
        <w:t> </w:t>
      </w:r>
      <w:r>
        <w:rPr>
          <w:rStyle w:val="Marker"/>
          <w:color w:val="auto"/>
        </w:rPr>
        <w:t xml:space="preserve">2, ne présente pas de document ou de manière inexacte ou </w:t>
      </w:r>
      <w:proofErr w:type="gramStart"/>
      <w:r>
        <w:rPr>
          <w:rStyle w:val="Marker"/>
          <w:color w:val="auto"/>
        </w:rPr>
        <w:t>incomplète»</w:t>
      </w:r>
      <w:proofErr w:type="gramEnd"/>
      <w:r>
        <w:rPr>
          <w:rStyle w:val="Marker"/>
          <w:color w:val="auto"/>
        </w:rPr>
        <w:t>.</w:t>
      </w:r>
    </w:p>
    <w:p w14:paraId="27C15FD7" w14:textId="57F28BC7" w:rsidR="005068AC" w:rsidRPr="00D43FA1" w:rsidRDefault="00504030" w:rsidP="00E53816">
      <w:pPr>
        <w:pStyle w:val="NummerierungStufe3"/>
      </w:pPr>
      <w:r>
        <w:rPr>
          <w:rStyle w:val="Marker"/>
          <w:color w:val="auto"/>
        </w:rPr>
        <w:t>L</w:t>
      </w:r>
      <w:r w:rsidR="00012CFE">
        <w:rPr>
          <w:rStyle w:val="Marker"/>
          <w:color w:val="auto"/>
        </w:rPr>
        <w:t>’</w:t>
      </w:r>
      <w:r>
        <w:rPr>
          <w:rStyle w:val="Marker"/>
          <w:color w:val="auto"/>
        </w:rPr>
        <w:t>actuel point 1 devient le point 2.</w:t>
      </w:r>
    </w:p>
    <w:p w14:paraId="40868CB4" w14:textId="22CC61A7" w:rsidR="00DA7A9F" w:rsidRPr="00D43FA1" w:rsidRDefault="00DA7A9F" w:rsidP="00D43FA1">
      <w:pPr>
        <w:pStyle w:val="NummerierungStufe1"/>
        <w:keepNext/>
        <w:keepLines/>
      </w:pPr>
      <w:r>
        <w:t>Les paragraphes 15 et 16 suivants sont insérés à l</w:t>
      </w:r>
      <w:r w:rsidR="00012CFE">
        <w:t>’</w:t>
      </w:r>
      <w:r>
        <w:t>article </w:t>
      </w:r>
      <w:proofErr w:type="gramStart"/>
      <w:r>
        <w:t>16:</w:t>
      </w:r>
      <w:proofErr w:type="gramEnd"/>
    </w:p>
    <w:p w14:paraId="53C2A8E8" w14:textId="4C5A9358" w:rsidR="002666C4" w:rsidRPr="00A62004" w:rsidRDefault="00C07FE5" w:rsidP="00C07FE5">
      <w:pPr>
        <w:pStyle w:val="JuristischerAbsatznichtnummeriert"/>
        <w:ind w:left="425" w:firstLine="295"/>
        <w:rPr>
          <w:spacing w:val="-6"/>
        </w:rPr>
      </w:pPr>
      <w:proofErr w:type="gramStart"/>
      <w:r w:rsidRPr="00A62004">
        <w:rPr>
          <w:rStyle w:val="Marker"/>
          <w:color w:val="auto"/>
          <w:spacing w:val="-6"/>
        </w:rPr>
        <w:t>«(</w:t>
      </w:r>
      <w:proofErr w:type="gramEnd"/>
      <w:r w:rsidRPr="00A62004">
        <w:rPr>
          <w:rStyle w:val="Marker"/>
          <w:color w:val="auto"/>
          <w:spacing w:val="-6"/>
        </w:rPr>
        <w:t>15) L’article</w:t>
      </w:r>
      <w:r w:rsidR="00012CFE" w:rsidRPr="00A62004">
        <w:rPr>
          <w:rStyle w:val="Marker"/>
          <w:color w:val="auto"/>
          <w:spacing w:val="-6"/>
        </w:rPr>
        <w:t> </w:t>
      </w:r>
      <w:r w:rsidRPr="00A62004">
        <w:rPr>
          <w:rStyle w:val="Marker"/>
          <w:color w:val="auto"/>
          <w:spacing w:val="-6"/>
        </w:rPr>
        <w:t xml:space="preserve">6a </w:t>
      </w:r>
      <w:r w:rsidRPr="00A62004">
        <w:rPr>
          <w:spacing w:val="-6"/>
        </w:rPr>
        <w:t>doit uniquement être appliqué à compter du ... [insérer: la date du premier jour du trente-septième mois calendaire suivant la promulgation du présent décret].</w:t>
      </w:r>
    </w:p>
    <w:p w14:paraId="0BC81A17" w14:textId="5F6111B8" w:rsidR="00C07FE5" w:rsidRPr="00D43FA1" w:rsidRDefault="00C07FE5" w:rsidP="00C07FE5">
      <w:pPr>
        <w:pStyle w:val="JuristischerAbsatznichtnummeriert"/>
        <w:tabs>
          <w:tab w:val="left" w:pos="1134"/>
          <w:tab w:val="left" w:pos="1418"/>
        </w:tabs>
        <w:ind w:left="425" w:firstLine="295"/>
      </w:pPr>
      <w:r>
        <w:t>(16) Les biens destinés à entrer en contact avec des denrées alimentaires qui ont été fabriqués à partir de vieux papiers conformément à la réglementation applicable jusqu</w:t>
      </w:r>
      <w:r w:rsidR="00012CFE">
        <w:t>’</w:t>
      </w:r>
      <w:r>
        <w:t>au moment spécifié au paragraphe</w:t>
      </w:r>
      <w:r w:rsidR="00012CFE">
        <w:t> </w:t>
      </w:r>
      <w:r>
        <w:t>15 peuvent encore être commercialisés et utilisés jusqu</w:t>
      </w:r>
      <w:r w:rsidR="00012CFE">
        <w:t>’</w:t>
      </w:r>
      <w:r>
        <w:t>au ... [</w:t>
      </w:r>
      <w:proofErr w:type="gramStart"/>
      <w:r>
        <w:t>insérer:</w:t>
      </w:r>
      <w:proofErr w:type="gramEnd"/>
      <w:r>
        <w:t xml:space="preserve"> la date du premier jour du soixante</w:t>
      </w:r>
      <w:r w:rsidR="00012CFE">
        <w:t xml:space="preserve"> et </w:t>
      </w:r>
      <w:r>
        <w:t>unième mois calendaire suivant la promulgation du présent décret].»</w:t>
      </w:r>
    </w:p>
    <w:p w14:paraId="6DD6BE05" w14:textId="3667CBD0" w:rsidR="00C86A55" w:rsidRPr="00D43FA1" w:rsidRDefault="00D43FA1" w:rsidP="00D43FA1">
      <w:pPr>
        <w:pStyle w:val="ArtikelBezeichner"/>
        <w:numPr>
          <w:ilvl w:val="0"/>
          <w:numId w:val="0"/>
        </w:numPr>
        <w:ind w:left="720" w:hanging="720"/>
      </w:pPr>
      <w:r>
        <w:t>Article</w:t>
      </w:r>
      <w:r w:rsidR="00012CFE">
        <w:t> </w:t>
      </w:r>
      <w:r>
        <w:t>2</w:t>
      </w:r>
    </w:p>
    <w:p w14:paraId="6244BBAD" w14:textId="77777777" w:rsidR="00C86A55" w:rsidRPr="00D43FA1" w:rsidRDefault="000B2DB8" w:rsidP="00C86A55">
      <w:pPr>
        <w:pStyle w:val="Artikelberschrift"/>
      </w:pPr>
      <w:r>
        <w:t>Autorisation de publication au Journal officiel</w:t>
      </w:r>
    </w:p>
    <w:p w14:paraId="01E0D16A" w14:textId="2A36CF4B" w:rsidR="00C86A55" w:rsidRPr="00D43FA1" w:rsidRDefault="00C86A55" w:rsidP="00B643B8">
      <w:pPr>
        <w:pStyle w:val="JuristischerAbsatznichtnummeriert"/>
      </w:pPr>
      <w:r>
        <w:t>Le ministère fédéral de l</w:t>
      </w:r>
      <w:r w:rsidR="00012CFE">
        <w:t>’</w:t>
      </w:r>
      <w:r>
        <w:t>alimentation et de l</w:t>
      </w:r>
      <w:r w:rsidR="00012CFE">
        <w:t>’</w:t>
      </w:r>
      <w:r>
        <w:t>agriculture peut publier le texte du décret relatif aux biens de consommation dans la version applicable à partir du ... [</w:t>
      </w:r>
      <w:proofErr w:type="gramStart"/>
      <w:r>
        <w:t>insérer:</w:t>
      </w:r>
      <w:proofErr w:type="gramEnd"/>
      <w:r>
        <w:t xml:space="preserve"> date d</w:t>
      </w:r>
      <w:r w:rsidR="00012CFE">
        <w:t>’</w:t>
      </w:r>
      <w:r>
        <w:t>entrée en vigueur du présent décret], au Journal officiel fédéral.</w:t>
      </w:r>
    </w:p>
    <w:p w14:paraId="28CE82C3" w14:textId="504C740E" w:rsidR="006444D5" w:rsidRPr="00D43FA1" w:rsidRDefault="00D43FA1" w:rsidP="00D43FA1">
      <w:pPr>
        <w:pStyle w:val="ArtikelBezeichner"/>
        <w:numPr>
          <w:ilvl w:val="0"/>
          <w:numId w:val="0"/>
        </w:numPr>
      </w:pPr>
      <w:r>
        <w:t>Article</w:t>
      </w:r>
      <w:r w:rsidR="00012CFE">
        <w:t> </w:t>
      </w:r>
      <w:r>
        <w:t>3</w:t>
      </w:r>
    </w:p>
    <w:p w14:paraId="157B2F9D" w14:textId="77777777" w:rsidR="006444D5" w:rsidRPr="00D43FA1" w:rsidRDefault="006444D5" w:rsidP="00612652">
      <w:pPr>
        <w:pStyle w:val="Artikelberschrift"/>
      </w:pPr>
      <w:r>
        <w:rPr>
          <w:rStyle w:val="Marker"/>
          <w:color w:val="auto"/>
        </w:rPr>
        <w:t>Entrée en vigueur</w:t>
      </w:r>
    </w:p>
    <w:p w14:paraId="31DE4A11" w14:textId="77777777" w:rsidR="006444D5" w:rsidRPr="00D43FA1" w:rsidRDefault="00C86A55" w:rsidP="00612652">
      <w:pPr>
        <w:pStyle w:val="JuristischerAbsatznichtnummeriert"/>
      </w:pPr>
      <w:r>
        <w:rPr>
          <w:rStyle w:val="Marker"/>
          <w:color w:val="auto"/>
        </w:rPr>
        <w:t>Le présent décret entre en vigueur le jour suivant celui de sa promulgation.</w:t>
      </w:r>
    </w:p>
    <w:p w14:paraId="37CC3236" w14:textId="77777777" w:rsidR="006444D5" w:rsidRPr="00D43FA1" w:rsidRDefault="006444D5" w:rsidP="006444D5">
      <w:pPr>
        <w:pStyle w:val="Schlussformel"/>
        <w:rPr>
          <w:rStyle w:val="Marker"/>
          <w:color w:val="auto"/>
        </w:rPr>
      </w:pPr>
      <w:r>
        <w:rPr>
          <w:rStyle w:val="Marker"/>
          <w:color w:val="auto"/>
        </w:rPr>
        <w:t>Le Bundesrat a donné son approbation.</w:t>
      </w:r>
    </w:p>
    <w:p w14:paraId="2FAF18C3" w14:textId="5D4D10CB" w:rsidR="00646A3B" w:rsidRPr="00D43FA1" w:rsidRDefault="001B10CC" w:rsidP="00646A3B">
      <w:pPr>
        <w:pStyle w:val="OrtDatum"/>
      </w:pPr>
      <w:r>
        <w:t>Bonn, le</w:t>
      </w:r>
      <w:proofErr w:type="gramStart"/>
      <w:r>
        <w:t xml:space="preserve"> ....</w:t>
      </w:r>
      <w:proofErr w:type="gramEnd"/>
      <w:r>
        <w:t>. 2020</w:t>
      </w:r>
    </w:p>
    <w:p w14:paraId="6B55ADD4" w14:textId="5958D35B" w:rsidR="00646A3B" w:rsidRPr="00D43FA1" w:rsidRDefault="00646A3B" w:rsidP="00A62004">
      <w:pPr>
        <w:pStyle w:val="Organisation"/>
        <w:spacing w:before="0" w:after="0"/>
        <w:rPr>
          <w:spacing w:val="0"/>
        </w:rPr>
      </w:pPr>
    </w:p>
    <w:p w14:paraId="50FA98AC" w14:textId="24B1EF63" w:rsidR="00646A3B" w:rsidRPr="00A62004" w:rsidRDefault="00646A3B" w:rsidP="00646A3B">
      <w:pPr>
        <w:pStyle w:val="Organisation"/>
        <w:rPr>
          <w:spacing w:val="0"/>
        </w:rPr>
      </w:pPr>
      <w:r w:rsidRPr="00A62004">
        <w:rPr>
          <w:spacing w:val="0"/>
        </w:rPr>
        <w:t xml:space="preserve">La ministre fédérale </w:t>
      </w:r>
    </w:p>
    <w:p w14:paraId="38BFE5A9" w14:textId="2AF85087" w:rsidR="00646A3B" w:rsidRPr="00A62004" w:rsidRDefault="00646A3B" w:rsidP="00646A3B">
      <w:pPr>
        <w:pStyle w:val="Organisation"/>
        <w:rPr>
          <w:spacing w:val="0"/>
        </w:rPr>
      </w:pPr>
      <w:proofErr w:type="gramStart"/>
      <w:r w:rsidRPr="00A62004">
        <w:rPr>
          <w:spacing w:val="0"/>
        </w:rPr>
        <w:t>de</w:t>
      </w:r>
      <w:proofErr w:type="gramEnd"/>
      <w:r w:rsidRPr="00A62004">
        <w:rPr>
          <w:spacing w:val="0"/>
        </w:rPr>
        <w:t xml:space="preserve"> l’alimentation et de l’agriculture</w:t>
      </w:r>
    </w:p>
    <w:p w14:paraId="390D4D95" w14:textId="18482467" w:rsidR="006444D5" w:rsidRPr="00D43FA1" w:rsidRDefault="006444D5" w:rsidP="00D43FA1">
      <w:pPr>
        <w:pStyle w:val="BegrndungTitel"/>
        <w:keepLines/>
        <w:pageBreakBefore/>
      </w:pPr>
      <w:r>
        <w:lastRenderedPageBreak/>
        <w:t>Exposé des motifs</w:t>
      </w:r>
    </w:p>
    <w:p w14:paraId="4E661150" w14:textId="77777777" w:rsidR="006444D5" w:rsidRPr="00D43FA1" w:rsidRDefault="006444D5" w:rsidP="00D43FA1">
      <w:pPr>
        <w:pStyle w:val="BegrndungAllgemeinerTeil"/>
        <w:keepLines/>
      </w:pPr>
      <w:r>
        <w:t>A. Partie générale</w:t>
      </w:r>
    </w:p>
    <w:p w14:paraId="3CB30F24" w14:textId="77777777" w:rsidR="006444D5" w:rsidRPr="00D43FA1" w:rsidRDefault="006444D5" w:rsidP="00D43FA1">
      <w:pPr>
        <w:pStyle w:val="berschriftrmischBegrndung"/>
        <w:keepLines/>
      </w:pPr>
      <w:r>
        <w:t>Objectif et nécessité de la réglementation</w:t>
      </w:r>
    </w:p>
    <w:p w14:paraId="3C58B331" w14:textId="513C541E" w:rsidR="00CB5E99" w:rsidRPr="00D43FA1" w:rsidRDefault="00CB5E99" w:rsidP="00CB5E99">
      <w:pPr>
        <w:pStyle w:val="Text"/>
      </w:pPr>
      <w:r>
        <w:t>Les denrées alimentaires peuvent être contaminées par de l</w:t>
      </w:r>
      <w:r w:rsidR="00012CFE">
        <w:t>’</w:t>
      </w:r>
      <w:r>
        <w:t>huile minérale, comme l</w:t>
      </w:r>
      <w:r w:rsidR="00012CFE">
        <w:t>’</w:t>
      </w:r>
      <w:r>
        <w:t>ont montré, entre autres, des études dans le cadre d</w:t>
      </w:r>
      <w:r w:rsidR="00012CFE">
        <w:t>’</w:t>
      </w:r>
      <w:r>
        <w:t>un projet de recherche financé par le ministère fédéral de l</w:t>
      </w:r>
      <w:r w:rsidR="00012CFE">
        <w:t>’</w:t>
      </w:r>
      <w:r>
        <w:t>alimentation et de l</w:t>
      </w:r>
      <w:r w:rsidR="00012CFE">
        <w:t>’</w:t>
      </w:r>
      <w:r>
        <w:t>agriculture (ampleur de la migration des substances indésirables des matériaux d</w:t>
      </w:r>
      <w:r w:rsidR="00012CFE">
        <w:t>’</w:t>
      </w:r>
      <w:r>
        <w:t>emballage fabriqués à partir de vieux papiers vers les denrées alimentaires - rapport spécial sur l</w:t>
      </w:r>
      <w:r w:rsidR="00012CFE">
        <w:t>’</w:t>
      </w:r>
      <w:r>
        <w:t>analyse des «119</w:t>
      </w:r>
      <w:r w:rsidR="00012CFE">
        <w:t> </w:t>
      </w:r>
      <w:r>
        <w:t>denrées alimentaires» concernant des substances indésirables fabriquées à partir de vieux papiers, code de financement</w:t>
      </w:r>
      <w:r w:rsidR="00012CFE">
        <w:t> </w:t>
      </w:r>
      <w:r>
        <w:t>2809HS012). Outre les autres sources d</w:t>
      </w:r>
      <w:r w:rsidR="00012CFE">
        <w:t>’</w:t>
      </w:r>
      <w:r>
        <w:t>apport, les emballages alimentaires en papier, carton-pâte ou carton, en particulier ceux fabriqués à partir de papier recyclé, sont l</w:t>
      </w:r>
      <w:r w:rsidR="00012CFE">
        <w:t>’</w:t>
      </w:r>
      <w:r>
        <w:t xml:space="preserve">une des principales causes de ce phénomène. </w:t>
      </w:r>
    </w:p>
    <w:p w14:paraId="31DF33D8" w14:textId="51A7F33E" w:rsidR="00CB5E99" w:rsidRPr="00D43FA1" w:rsidRDefault="00CB5E99" w:rsidP="00CB5E99">
      <w:pPr>
        <w:pStyle w:val="Text"/>
      </w:pPr>
      <w:r>
        <w:t>L</w:t>
      </w:r>
      <w:r w:rsidR="00012CFE">
        <w:t>’</w:t>
      </w:r>
      <w:r>
        <w:t>huile minérale peut pénétrer dans le papier recyclé grâce au recyclage des papiers usagés. Le papier recyclé contient des fibres obtenues à partir de papiers usagés (appelés vieux papier). Les papiers usagés se composent essentiellement de journaux, de documents publicitaires, de magazines, de catalogues et d’autres papiers graphiques ainsi que du papier d</w:t>
      </w:r>
      <w:r w:rsidR="00012CFE">
        <w:t>’</w:t>
      </w:r>
      <w:r>
        <w:t>emballage. Pour imprimer sur ces papiers, on utilise des encres d</w:t>
      </w:r>
      <w:r w:rsidR="00012CFE">
        <w:t>’</w:t>
      </w:r>
      <w:r>
        <w:t>imprimerie qui, selon le procédé d</w:t>
      </w:r>
      <w:r w:rsidR="00012CFE">
        <w:t>’</w:t>
      </w:r>
      <w:r>
        <w:t>impression et le domaine d</w:t>
      </w:r>
      <w:r w:rsidR="00012CFE">
        <w:t>’</w:t>
      </w:r>
      <w:r>
        <w:t>application, contiennent également de l</w:t>
      </w:r>
      <w:r w:rsidR="00012CFE">
        <w:t>’</w:t>
      </w:r>
      <w:r>
        <w:t>huile minérale.</w:t>
      </w:r>
    </w:p>
    <w:p w14:paraId="5AD4C587" w14:textId="31F30B3C" w:rsidR="00CB5E99" w:rsidRPr="00A62004" w:rsidRDefault="00CB5E99" w:rsidP="00CB5E99">
      <w:pPr>
        <w:pStyle w:val="Text"/>
        <w:rPr>
          <w:spacing w:val="-4"/>
        </w:rPr>
      </w:pPr>
      <w:r w:rsidRPr="00A62004">
        <w:rPr>
          <w:spacing w:val="-4"/>
        </w:rPr>
        <w:t>L</w:t>
      </w:r>
      <w:r w:rsidR="00012CFE" w:rsidRPr="00A62004">
        <w:rPr>
          <w:spacing w:val="-4"/>
        </w:rPr>
        <w:t>’</w:t>
      </w:r>
      <w:r w:rsidRPr="00A62004">
        <w:rPr>
          <w:spacing w:val="-4"/>
        </w:rPr>
        <w:t>huile minérale est obtenue à partir de pétrole et est un mélange complexe qui se compose principalement d</w:t>
      </w:r>
      <w:r w:rsidR="00012CFE" w:rsidRPr="00A62004">
        <w:rPr>
          <w:spacing w:val="-4"/>
        </w:rPr>
        <w:t>’</w:t>
      </w:r>
      <w:r w:rsidRPr="00A62004">
        <w:rPr>
          <w:spacing w:val="-4"/>
        </w:rPr>
        <w:t>hydrocarbures saturés (en forme de chaîne et de cycle) et aromatiques (principalement alkylés). Dans certains cas, des quantités considérables d</w:t>
      </w:r>
      <w:r w:rsidR="00012CFE" w:rsidRPr="00A62004">
        <w:rPr>
          <w:spacing w:val="-4"/>
        </w:rPr>
        <w:t>’</w:t>
      </w:r>
      <w:r w:rsidRPr="00A62004">
        <w:rPr>
          <w:spacing w:val="-4"/>
        </w:rPr>
        <w:t>hydrocarbures minéraux ont été trouvées dans des denrées alimentaires. Ils contiennent également des hydrocarbures d</w:t>
      </w:r>
      <w:r w:rsidR="00012CFE" w:rsidRPr="00A62004">
        <w:rPr>
          <w:spacing w:val="-4"/>
        </w:rPr>
        <w:t>’</w:t>
      </w:r>
      <w:r w:rsidRPr="00A62004">
        <w:rPr>
          <w:spacing w:val="-4"/>
        </w:rPr>
        <w:t>huile minérale aromatique (MOAH). De l</w:t>
      </w:r>
      <w:r w:rsidR="00012CFE" w:rsidRPr="00A62004">
        <w:rPr>
          <w:spacing w:val="-4"/>
        </w:rPr>
        <w:t>’</w:t>
      </w:r>
      <w:r w:rsidRPr="00A62004">
        <w:rPr>
          <w:spacing w:val="-4"/>
        </w:rPr>
        <w:t>avis de l</w:t>
      </w:r>
      <w:r w:rsidR="00012CFE" w:rsidRPr="00A62004">
        <w:rPr>
          <w:spacing w:val="-4"/>
        </w:rPr>
        <w:t>’</w:t>
      </w:r>
      <w:r w:rsidRPr="00A62004">
        <w:rPr>
          <w:spacing w:val="-4"/>
        </w:rPr>
        <w:t>Institut fédéral pour l</w:t>
      </w:r>
      <w:r w:rsidR="00012CFE" w:rsidRPr="00A62004">
        <w:rPr>
          <w:spacing w:val="-4"/>
        </w:rPr>
        <w:t>’</w:t>
      </w:r>
      <w:r w:rsidRPr="00A62004">
        <w:rPr>
          <w:spacing w:val="-4"/>
        </w:rPr>
        <w:t>évaluation des risques (</w:t>
      </w:r>
      <w:proofErr w:type="spellStart"/>
      <w:r w:rsidRPr="00A62004">
        <w:rPr>
          <w:spacing w:val="-4"/>
        </w:rPr>
        <w:t>BfR</w:t>
      </w:r>
      <w:proofErr w:type="spellEnd"/>
      <w:r w:rsidRPr="00A62004">
        <w:rPr>
          <w:spacing w:val="-4"/>
        </w:rPr>
        <w:t xml:space="preserve">), l’absorption de MOAH devrait être minimisée (par exemple, avis </w:t>
      </w:r>
      <w:proofErr w:type="spellStart"/>
      <w:r w:rsidRPr="00A62004">
        <w:rPr>
          <w:spacing w:val="-4"/>
        </w:rPr>
        <w:t>BfR</w:t>
      </w:r>
      <w:proofErr w:type="spellEnd"/>
      <w:r w:rsidRPr="00A62004">
        <w:rPr>
          <w:spacing w:val="-4"/>
        </w:rPr>
        <w:t xml:space="preserve"> n ° 008/2010, communiqué de presse </w:t>
      </w:r>
      <w:proofErr w:type="spellStart"/>
      <w:r w:rsidRPr="00A62004">
        <w:rPr>
          <w:spacing w:val="-4"/>
        </w:rPr>
        <w:t>BfR</w:t>
      </w:r>
      <w:proofErr w:type="spellEnd"/>
      <w:r w:rsidRPr="00A62004">
        <w:rPr>
          <w:spacing w:val="-4"/>
        </w:rPr>
        <w:t xml:space="preserve"> 41/2012, FAQ </w:t>
      </w:r>
      <w:proofErr w:type="spellStart"/>
      <w:r w:rsidRPr="00A62004">
        <w:rPr>
          <w:spacing w:val="-4"/>
        </w:rPr>
        <w:t>BfR</w:t>
      </w:r>
      <w:proofErr w:type="spellEnd"/>
      <w:r w:rsidRPr="00A62004">
        <w:rPr>
          <w:spacing w:val="-4"/>
        </w:rPr>
        <w:t xml:space="preserve"> du 30</w:t>
      </w:r>
      <w:r w:rsidR="00012CFE" w:rsidRPr="00A62004">
        <w:rPr>
          <w:spacing w:val="-4"/>
        </w:rPr>
        <w:t> </w:t>
      </w:r>
      <w:r w:rsidRPr="00A62004">
        <w:rPr>
          <w:spacing w:val="-4"/>
        </w:rPr>
        <w:t>novembre</w:t>
      </w:r>
      <w:r w:rsidR="00012CFE" w:rsidRPr="00A62004">
        <w:rPr>
          <w:spacing w:val="-4"/>
        </w:rPr>
        <w:t> </w:t>
      </w:r>
      <w:r w:rsidRPr="00A62004">
        <w:rPr>
          <w:spacing w:val="-4"/>
        </w:rPr>
        <w:t>2012/26. Novembre</w:t>
      </w:r>
      <w:r w:rsidR="00012CFE" w:rsidRPr="00A62004">
        <w:rPr>
          <w:spacing w:val="-4"/>
        </w:rPr>
        <w:t> </w:t>
      </w:r>
      <w:r w:rsidRPr="00A62004">
        <w:rPr>
          <w:spacing w:val="-4"/>
        </w:rPr>
        <w:t>2015), car il ne peut être exclu que les MOAH contiennent des substances nocives pour la santé pouvant provoquer le cancer, par exemple. L</w:t>
      </w:r>
      <w:r w:rsidR="00012CFE" w:rsidRPr="00A62004">
        <w:rPr>
          <w:spacing w:val="-4"/>
        </w:rPr>
        <w:t>’</w:t>
      </w:r>
      <w:r w:rsidRPr="00A62004">
        <w:rPr>
          <w:spacing w:val="-4"/>
        </w:rPr>
        <w:t>Autorité européenne de la sécurité alimentaire (EFSA) a également exprimé des inquiétudes dans son avis du 3</w:t>
      </w:r>
      <w:r w:rsidR="00012CFE" w:rsidRPr="00A62004">
        <w:rPr>
          <w:spacing w:val="-4"/>
        </w:rPr>
        <w:t> </w:t>
      </w:r>
      <w:r w:rsidRPr="00A62004">
        <w:rPr>
          <w:spacing w:val="-4"/>
        </w:rPr>
        <w:t>mai</w:t>
      </w:r>
      <w:r w:rsidR="00012CFE" w:rsidRPr="00A62004">
        <w:rPr>
          <w:spacing w:val="-4"/>
        </w:rPr>
        <w:t> </w:t>
      </w:r>
      <w:r w:rsidRPr="00A62004">
        <w:rPr>
          <w:spacing w:val="-4"/>
        </w:rPr>
        <w:t>2012 (EFSA Journal</w:t>
      </w:r>
      <w:r w:rsidR="00012CFE" w:rsidRPr="00A62004">
        <w:rPr>
          <w:spacing w:val="-4"/>
        </w:rPr>
        <w:t> </w:t>
      </w:r>
      <w:proofErr w:type="gramStart"/>
      <w:r w:rsidRPr="00A62004">
        <w:rPr>
          <w:spacing w:val="-4"/>
        </w:rPr>
        <w:t>2012;</w:t>
      </w:r>
      <w:proofErr w:type="gramEnd"/>
      <w:r w:rsidRPr="00A62004">
        <w:rPr>
          <w:spacing w:val="-4"/>
        </w:rPr>
        <w:t>10 (6):2704) concernant l</w:t>
      </w:r>
      <w:r w:rsidR="00012CFE" w:rsidRPr="00A62004">
        <w:rPr>
          <w:spacing w:val="-4"/>
        </w:rPr>
        <w:t>’</w:t>
      </w:r>
      <w:r w:rsidRPr="00A62004">
        <w:rPr>
          <w:spacing w:val="-4"/>
        </w:rPr>
        <w:t>exposition aux MOAH en raison du potentiel cancérogène possible. L</w:t>
      </w:r>
      <w:r w:rsidR="00012CFE" w:rsidRPr="00A62004">
        <w:rPr>
          <w:spacing w:val="-4"/>
        </w:rPr>
        <w:t>’</w:t>
      </w:r>
      <w:r w:rsidRPr="00A62004">
        <w:rPr>
          <w:spacing w:val="-4"/>
        </w:rPr>
        <w:t>EFSA a également constaté que les emballages alimentaires à base de vieux papiers peuvent contribuer de manière significative à l</w:t>
      </w:r>
      <w:r w:rsidR="00012CFE" w:rsidRPr="00A62004">
        <w:rPr>
          <w:spacing w:val="-4"/>
        </w:rPr>
        <w:t>’</w:t>
      </w:r>
      <w:r w:rsidRPr="00A62004">
        <w:rPr>
          <w:spacing w:val="-4"/>
        </w:rPr>
        <w:t>exposition aux hydrocarbures d</w:t>
      </w:r>
      <w:r w:rsidR="00012CFE" w:rsidRPr="00A62004">
        <w:rPr>
          <w:spacing w:val="-4"/>
        </w:rPr>
        <w:t>’</w:t>
      </w:r>
      <w:r w:rsidRPr="00A62004">
        <w:rPr>
          <w:spacing w:val="-4"/>
        </w:rPr>
        <w:t>huile minérale provenant des aliments.</w:t>
      </w:r>
    </w:p>
    <w:p w14:paraId="2FAAA0A3" w14:textId="5965330A" w:rsidR="00612652" w:rsidRPr="007E01A6" w:rsidRDefault="00612652">
      <w:pPr>
        <w:pStyle w:val="Text"/>
      </w:pPr>
      <w:r>
        <w:t>Le présent décret vise à améliorer considérablement la protection des consommateurs contre d</w:t>
      </w:r>
      <w:r w:rsidR="00012CFE">
        <w:t>’</w:t>
      </w:r>
      <w:r>
        <w:t>éventuels risques pour la santé causés par les biens destinés à entrer en contact avec des denrées alimentaires en papier, carton-pâte ou carton, qui sont fabriqués à partir de vieux papiers et à partir desquels les MOAH peuvent être transférés aux aliments.</w:t>
      </w:r>
    </w:p>
    <w:p w14:paraId="3FE169D4" w14:textId="0217AD32" w:rsidR="006444D5" w:rsidRPr="00D43FA1" w:rsidRDefault="006444D5">
      <w:pPr>
        <w:pStyle w:val="berschriftrmischBegrndung"/>
      </w:pPr>
      <w:r>
        <w:lastRenderedPageBreak/>
        <w:t>Contenu essentiel</w:t>
      </w:r>
    </w:p>
    <w:p w14:paraId="45A5B0F9" w14:textId="15006A06" w:rsidR="00F04D45" w:rsidRPr="007E01A6" w:rsidRDefault="00F04D45" w:rsidP="00A62004">
      <w:pPr>
        <w:pStyle w:val="Text"/>
        <w:keepLines/>
        <w:rPr>
          <w:szCs w:val="24"/>
        </w:rPr>
      </w:pPr>
      <w:r>
        <w:t>Le but du présent décret est de limiter autant que possible le transfert des MOAH provenant des biens destinés à entrer en contact avec des denrées alimentaires en papier, carton-pâte ou carton, qui sont fabriqués à partir de vieux papiers, aux denrées alimentaires. Une manière adéquate d</w:t>
      </w:r>
      <w:r w:rsidR="00012CFE">
        <w:t>’</w:t>
      </w:r>
      <w:r>
        <w:t>introduire une telle limitation est une barrière fonctionnelle. Par conséquent, une obligation générale est mise en place d’équiper les biens destinés à entrer en contact avec des denrées alimentaires concernées d</w:t>
      </w:r>
      <w:r w:rsidR="00012CFE">
        <w:t>’</w:t>
      </w:r>
      <w:r>
        <w:t>une telle barrière fonctionnelle. Selon ce décret, la fonctionnalité de la barrière est déterminée par une limite de détection de 0,5</w:t>
      </w:r>
      <w:r w:rsidR="00012CFE">
        <w:t> </w:t>
      </w:r>
      <w:r>
        <w:t>milligramme de MOAH par kilogramme d</w:t>
      </w:r>
      <w:r w:rsidR="00012CFE">
        <w:t>’</w:t>
      </w:r>
      <w:r>
        <w:t xml:space="preserve">aliment pour le transfert à partir du bien en contact avec des denrées alimentaires. Lors du contrôle des </w:t>
      </w:r>
      <w:proofErr w:type="spellStart"/>
      <w:r>
        <w:t>simulants</w:t>
      </w:r>
      <w:proofErr w:type="spellEnd"/>
      <w:r>
        <w:t xml:space="preserve"> alimentaires, une limite de détection de 0,15</w:t>
      </w:r>
      <w:r w:rsidR="00012CFE">
        <w:t> </w:t>
      </w:r>
      <w:r>
        <w:t>milligramme de MOAH par kilogramme de simulant alimentaire s</w:t>
      </w:r>
      <w:r w:rsidR="00012CFE">
        <w:t>’</w:t>
      </w:r>
      <w:r>
        <w:t>applique. L</w:t>
      </w:r>
      <w:r w:rsidR="00012CFE">
        <w:t>’</w:t>
      </w:r>
      <w:r>
        <w:t>obligation du fabricant ou de la personne procédant à la commercialisation de biens destinés à entrer en contact avec des denrées alimentaires d</w:t>
      </w:r>
      <w:r w:rsidR="00012CFE">
        <w:t>’</w:t>
      </w:r>
      <w:r>
        <w:t>équiper les biens destinés à entrer en contact avec des denrées alimentaires d</w:t>
      </w:r>
      <w:r w:rsidR="00012CFE">
        <w:t>’</w:t>
      </w:r>
      <w:r>
        <w:t>une barrière fonctionnelle ne s</w:t>
      </w:r>
      <w:r w:rsidR="00012CFE">
        <w:t>’</w:t>
      </w:r>
      <w:r>
        <w:t>applique cependant pas si l</w:t>
      </w:r>
      <w:r w:rsidR="00012CFE">
        <w:t>’</w:t>
      </w:r>
      <w:r>
        <w:t>exploitant du secteur alimentaire qui achète les biens destinés à entrer en contact avec des denrées alimentaires déclare au fabricant ou à la personne procédant à la commercialisation renoncer à une barrière fonctionnelle avant la livraison. Dans ce cas, l</w:t>
      </w:r>
      <w:r w:rsidR="00012CFE">
        <w:t>’</w:t>
      </w:r>
      <w:r>
        <w:t>exploitant du secteur alimentaire doit prendre ses propres mesures pour s</w:t>
      </w:r>
      <w:r w:rsidR="00012CFE">
        <w:t>’</w:t>
      </w:r>
      <w:r>
        <w:t>assurer qu</w:t>
      </w:r>
      <w:r w:rsidR="00012CFE">
        <w:t>’</w:t>
      </w:r>
      <w:r>
        <w:t>un transfert de MOAH aux denrées alimentaires n</w:t>
      </w:r>
      <w:r w:rsidR="00012CFE">
        <w:t>’</w:t>
      </w:r>
      <w:r>
        <w:t>a pas lieu, à moins qu</w:t>
      </w:r>
      <w:r w:rsidR="00012CFE">
        <w:t>’</w:t>
      </w:r>
      <w:r>
        <w:t>il n</w:t>
      </w:r>
      <w:r w:rsidR="00012CFE">
        <w:t>’</w:t>
      </w:r>
      <w:r>
        <w:t>y ait des conditions particulières, par exemple en ce qui concerne la nature de l</w:t>
      </w:r>
      <w:r w:rsidR="00012CFE">
        <w:t>’</w:t>
      </w:r>
      <w:r>
        <w:t>aliment, qui empêche le transfert de MOAH aux denrées alimentaires. L</w:t>
      </w:r>
      <w:r w:rsidR="00012CFE">
        <w:t>’</w:t>
      </w:r>
      <w:r>
        <w:t>obligation d</w:t>
      </w:r>
      <w:r w:rsidR="00012CFE">
        <w:t>’</w:t>
      </w:r>
      <w:r>
        <w:t>équiper les biens destinés à entrer en contact avec des denrées alimentaires d</w:t>
      </w:r>
      <w:r w:rsidR="00012CFE">
        <w:t>’</w:t>
      </w:r>
      <w:r>
        <w:t>une barrière fonctionnelle ne s</w:t>
      </w:r>
      <w:r w:rsidR="00012CFE">
        <w:t>’</w:t>
      </w:r>
      <w:r>
        <w:t>applique pas non plus si le fabricant ou la personne procédant à la commercialisation des biens destinés à entrer en contact avec des denrées alimentaires peut garantir d</w:t>
      </w:r>
      <w:r w:rsidR="00012CFE">
        <w:t>’</w:t>
      </w:r>
      <w:r>
        <w:t>une manière autre que l</w:t>
      </w:r>
      <w:r w:rsidR="00012CFE">
        <w:t>’</w:t>
      </w:r>
      <w:r>
        <w:t>utilisation d</w:t>
      </w:r>
      <w:r w:rsidR="00012CFE">
        <w:t>’</w:t>
      </w:r>
      <w:r>
        <w:t>une barrière fonctionnelle qu</w:t>
      </w:r>
      <w:r w:rsidR="00012CFE">
        <w:t>’</w:t>
      </w:r>
      <w:r>
        <w:t>un transfert de MOAH vers les denrées alimentaires est empêché. Cela peut être le cas, par exemple, si la teneur en MOAH dans le papier, le carton-pâte ou le carton lui-même est si faible qu</w:t>
      </w:r>
      <w:r w:rsidR="00012CFE">
        <w:t>’</w:t>
      </w:r>
      <w:r>
        <w:t>il n</w:t>
      </w:r>
      <w:r w:rsidR="00012CFE">
        <w:t>’</w:t>
      </w:r>
      <w:r>
        <w:t>y a pas de transfert de MOAH vers les denrées alimentaires au-dessus de la limite de détection.</w:t>
      </w:r>
    </w:p>
    <w:p w14:paraId="00831AD3" w14:textId="77777777" w:rsidR="006444D5" w:rsidRPr="00D43FA1" w:rsidRDefault="006444D5">
      <w:pPr>
        <w:pStyle w:val="berschriftrmischBegrndung"/>
      </w:pPr>
      <w:r>
        <w:t>Alternatives</w:t>
      </w:r>
    </w:p>
    <w:p w14:paraId="40A8C660" w14:textId="474FD7CF" w:rsidR="00CB5E99" w:rsidRPr="00D43FA1" w:rsidRDefault="00E53816" w:rsidP="00CB5E99">
      <w:pPr>
        <w:pStyle w:val="Text"/>
      </w:pPr>
      <w:r>
        <w:t>Aucune. Afin de protéger la santé des consommateurs et d</w:t>
      </w:r>
      <w:r w:rsidR="00012CFE">
        <w:t>’</w:t>
      </w:r>
      <w:r>
        <w:t>assurer une manipulation uniforme, des exigences légales appropriées et l</w:t>
      </w:r>
      <w:r w:rsidR="00012CFE">
        <w:t>’</w:t>
      </w:r>
      <w:r>
        <w:t>application contraignante d</w:t>
      </w:r>
      <w:r w:rsidR="00012CFE">
        <w:t>’</w:t>
      </w:r>
      <w:r>
        <w:t xml:space="preserve">une limite de détection des MOAH dans les denrées alimentaires sont nécessaires. </w:t>
      </w:r>
    </w:p>
    <w:p w14:paraId="25CF33C9" w14:textId="77777777" w:rsidR="00F279DE" w:rsidRPr="00D43FA1" w:rsidRDefault="00F279DE">
      <w:pPr>
        <w:pStyle w:val="berschriftrmischBegrndung"/>
      </w:pPr>
      <w:r>
        <w:t>Compétence législative</w:t>
      </w:r>
    </w:p>
    <w:p w14:paraId="19025BF8" w14:textId="104DFC16" w:rsidR="00F279DE" w:rsidRPr="00D43FA1" w:rsidRDefault="007525FC" w:rsidP="00F279DE">
      <w:pPr>
        <w:pStyle w:val="Text"/>
      </w:pPr>
      <w:r>
        <w:t>Le ministère fédéral de l</w:t>
      </w:r>
      <w:r w:rsidR="00012CFE">
        <w:t>’</w:t>
      </w:r>
      <w:r>
        <w:t>alimentation et de l</w:t>
      </w:r>
      <w:r w:rsidR="00012CFE">
        <w:t>’</w:t>
      </w:r>
      <w:r>
        <w:t>agriculture est habilité par l</w:t>
      </w:r>
      <w:r w:rsidR="00012CFE">
        <w:t>’</w:t>
      </w:r>
      <w:r>
        <w:t>article</w:t>
      </w:r>
      <w:r w:rsidR="00012CFE">
        <w:t> </w:t>
      </w:r>
      <w:r>
        <w:t>31, paragraphe</w:t>
      </w:r>
      <w:r w:rsidR="00012CFE">
        <w:t> </w:t>
      </w:r>
      <w:r>
        <w:t>2, phrase</w:t>
      </w:r>
      <w:r w:rsidR="00012CFE">
        <w:t> </w:t>
      </w:r>
      <w:r>
        <w:t>1, point 2 LFGB, également en lien avec l</w:t>
      </w:r>
      <w:r w:rsidR="00012CFE">
        <w:t>’</w:t>
      </w:r>
      <w:r>
        <w:t>article</w:t>
      </w:r>
      <w:r w:rsidR="00012CFE">
        <w:t> </w:t>
      </w:r>
      <w:r>
        <w:t>4, paragraphe</w:t>
      </w:r>
      <w:r w:rsidR="00012CFE">
        <w:t> </w:t>
      </w:r>
      <w:r>
        <w:t>2, point</w:t>
      </w:r>
      <w:r w:rsidR="00012CFE">
        <w:t> </w:t>
      </w:r>
      <w:r>
        <w:t>2, et l</w:t>
      </w:r>
      <w:r w:rsidR="00012CFE">
        <w:t>’</w:t>
      </w:r>
      <w:r>
        <w:t>article</w:t>
      </w:r>
      <w:r w:rsidR="00012CFE">
        <w:t> </w:t>
      </w:r>
      <w:r>
        <w:t>46, paragraphe</w:t>
      </w:r>
      <w:r w:rsidR="00012CFE">
        <w:t> </w:t>
      </w:r>
      <w:r>
        <w:t>2, phrase</w:t>
      </w:r>
      <w:r w:rsidR="00012CFE">
        <w:t> </w:t>
      </w:r>
      <w:r>
        <w:t>1, point</w:t>
      </w:r>
      <w:r w:rsidR="00012CFE">
        <w:t> </w:t>
      </w:r>
      <w:r>
        <w:t xml:space="preserve">1, </w:t>
      </w:r>
      <w:r w:rsidR="00012CFE">
        <w:t>a),</w:t>
      </w:r>
      <w:r>
        <w:t xml:space="preserve"> LFGB, ainsi que l</w:t>
      </w:r>
      <w:r w:rsidR="00012CFE">
        <w:t>’</w:t>
      </w:r>
      <w:r>
        <w:t>article</w:t>
      </w:r>
      <w:r w:rsidR="00012CFE">
        <w:t> </w:t>
      </w:r>
      <w:r>
        <w:t>34, phrase 1</w:t>
      </w:r>
      <w:r w:rsidR="00012CFE">
        <w:t> </w:t>
      </w:r>
      <w:r>
        <w:t>point</w:t>
      </w:r>
      <w:r w:rsidR="00012CFE">
        <w:t> </w:t>
      </w:r>
      <w:r>
        <w:t>2 également en lien avec l’article</w:t>
      </w:r>
      <w:r w:rsidR="00012CFE">
        <w:t> </w:t>
      </w:r>
      <w:r>
        <w:t>4, paragraphe</w:t>
      </w:r>
      <w:r w:rsidR="00012CFE">
        <w:t> </w:t>
      </w:r>
      <w:r>
        <w:t>2, point 2 LFGB, à adopter le présent décret.</w:t>
      </w:r>
    </w:p>
    <w:p w14:paraId="0A8F0A8B" w14:textId="77777777" w:rsidR="00CD79FA" w:rsidRPr="00D43FA1" w:rsidRDefault="00CD79FA">
      <w:pPr>
        <w:pStyle w:val="berschriftrmischBegrndung"/>
      </w:pPr>
      <w:r>
        <w:lastRenderedPageBreak/>
        <w:t>Compatibilité avec la législation de l’Union européenne et les traités internationaux</w:t>
      </w:r>
    </w:p>
    <w:p w14:paraId="2C943AFB" w14:textId="0D68A001" w:rsidR="00CD79FA" w:rsidRPr="00D43FA1" w:rsidRDefault="00CD79FA" w:rsidP="00A62004">
      <w:pPr>
        <w:pStyle w:val="Text"/>
        <w:keepLines/>
      </w:pPr>
      <w:r>
        <w:t>La législation de l</w:t>
      </w:r>
      <w:r w:rsidR="00012CFE">
        <w:t>’</w:t>
      </w:r>
      <w:r>
        <w:t>UE sur les biens destinés à entrer en contact avec des denrées alimentaires n</w:t>
      </w:r>
      <w:r w:rsidR="00012CFE">
        <w:t>’</w:t>
      </w:r>
      <w:r>
        <w:t>est pas encore totalement harmonisée. Le règlement (CE) n° 1935/2004 prévoit des exigences générales. Cependant, les mesures individuelles n</w:t>
      </w:r>
      <w:r w:rsidR="00012CFE">
        <w:t>’</w:t>
      </w:r>
      <w:r>
        <w:t>existent jusqu</w:t>
      </w:r>
      <w:r w:rsidR="00012CFE">
        <w:t>’</w:t>
      </w:r>
      <w:r>
        <w:t>ici que pour des groupes de matériaux individuels. L</w:t>
      </w:r>
      <w:r w:rsidR="00012CFE">
        <w:t>’</w:t>
      </w:r>
      <w:r>
        <w:t>article</w:t>
      </w:r>
      <w:r w:rsidR="00012CFE">
        <w:t> </w:t>
      </w:r>
      <w:r>
        <w:t>6 du règlement (CE) n° 1935/2004 permet aux États membres de l</w:t>
      </w:r>
      <w:r w:rsidR="00012CFE">
        <w:t>’</w:t>
      </w:r>
      <w:r>
        <w:t>UE de maintenir ou d</w:t>
      </w:r>
      <w:r w:rsidR="00012CFE">
        <w:t>’</w:t>
      </w:r>
      <w:r>
        <w:t>adopter des dispositions nationales pour des groupes de matériaux et d</w:t>
      </w:r>
      <w:r w:rsidR="00012CFE">
        <w:t>’</w:t>
      </w:r>
      <w:r>
        <w:t>objets pour lesquels aucune mesure individuelle n</w:t>
      </w:r>
      <w:r w:rsidR="00012CFE">
        <w:t>’</w:t>
      </w:r>
      <w:r>
        <w:t>a été prise au niveau de l</w:t>
      </w:r>
      <w:r w:rsidR="00012CFE">
        <w:t>’</w:t>
      </w:r>
      <w:r>
        <w:t>UE. Il n’existe pas de mesures individuelles de l’UE pour les biens destinés à entrer en contact avec des denrées alimentaires en papier, en carton-pâte ou en carton - à la fois fabriqués à partir de fibres fraîches et de vieux papiers. À cet égard, il existe une compatibilité avec le droit de l’UE. Les traités internationaux ne sont pas affectés.</w:t>
      </w:r>
    </w:p>
    <w:p w14:paraId="4DA789C5" w14:textId="77777777" w:rsidR="006444D5" w:rsidRPr="00D43FA1" w:rsidRDefault="006444D5">
      <w:pPr>
        <w:pStyle w:val="berschriftrmischBegrndung"/>
      </w:pPr>
      <w:r>
        <w:t>Impact de la loi</w:t>
      </w:r>
    </w:p>
    <w:p w14:paraId="2F5D3B8F" w14:textId="77777777" w:rsidR="009809AB" w:rsidRPr="00D43FA1" w:rsidRDefault="009809AB">
      <w:pPr>
        <w:pStyle w:val="berschriftarabischBegrndung"/>
      </w:pPr>
      <w:r>
        <w:t>Simplification législative et administrative</w:t>
      </w:r>
    </w:p>
    <w:p w14:paraId="26C2B37E" w14:textId="16E58B47" w:rsidR="009809AB" w:rsidRPr="00D43FA1" w:rsidRDefault="009809AB" w:rsidP="009809AB">
      <w:pPr>
        <w:pStyle w:val="Text"/>
      </w:pPr>
      <w:r>
        <w:t xml:space="preserve">Ce décret ne prévoit ni simplification ni abrogation de réglementations. Toutefois, les exigences visant à éviter un transfert de MOAH à partir de biens destinés à entrer en contact avec des denrées alimentaires en papier, carton-pâte ou carton contenant du vieux papier seront normalisées, améliorant ainsi considérablement la sécurité juridique tant pour les autorités compétentes des Länder que pour le secteur économique concerné. </w:t>
      </w:r>
    </w:p>
    <w:p w14:paraId="166CBABF" w14:textId="77777777" w:rsidR="006444D5" w:rsidRPr="00D43FA1" w:rsidRDefault="006444D5">
      <w:pPr>
        <w:pStyle w:val="berschriftarabischBegrndung"/>
      </w:pPr>
      <w:r>
        <w:t>Stratégie de développement durable</w:t>
      </w:r>
    </w:p>
    <w:p w14:paraId="64450049" w14:textId="29CD260E" w:rsidR="00612652" w:rsidRPr="00A62004" w:rsidRDefault="00B269E6">
      <w:pPr>
        <w:pStyle w:val="Text"/>
        <w:rPr>
          <w:spacing w:val="-4"/>
        </w:rPr>
      </w:pPr>
      <w:r w:rsidRPr="00A62004">
        <w:rPr>
          <w:spacing w:val="-4"/>
        </w:rPr>
        <w:t>Le développement durable a fait l’objet d’une étude aux termes de l</w:t>
      </w:r>
      <w:r w:rsidR="00012CFE" w:rsidRPr="00A62004">
        <w:rPr>
          <w:spacing w:val="-4"/>
        </w:rPr>
        <w:t>’</w:t>
      </w:r>
      <w:r w:rsidRPr="00A62004">
        <w:rPr>
          <w:spacing w:val="-4"/>
        </w:rPr>
        <w:t>article 44, paragraphe 1, phrase 4, du règlement intérieur commun des ministères fédéraux allemands (abrégé</w:t>
      </w:r>
      <w:proofErr w:type="gramStart"/>
      <w:r w:rsidRPr="00A62004">
        <w:rPr>
          <w:spacing w:val="-4"/>
        </w:rPr>
        <w:t xml:space="preserve"> «GGO</w:t>
      </w:r>
      <w:proofErr w:type="gramEnd"/>
      <w:r w:rsidRPr="00A62004">
        <w:rPr>
          <w:spacing w:val="-4"/>
        </w:rPr>
        <w:t>» en allemand et ci-après). Les présentes réglementations sont durablement porteuses au sens de la stratégie allemande en matière de durabilité. L</w:t>
      </w:r>
      <w:r w:rsidR="00012CFE" w:rsidRPr="00A62004">
        <w:rPr>
          <w:spacing w:val="-4"/>
        </w:rPr>
        <w:t>’</w:t>
      </w:r>
      <w:r w:rsidRPr="00A62004">
        <w:rPr>
          <w:spacing w:val="-4"/>
        </w:rPr>
        <w:t>objectif de durabilité mondiale n°</w:t>
      </w:r>
      <w:r w:rsidR="00012CFE" w:rsidRPr="00A62004">
        <w:rPr>
          <w:spacing w:val="-4"/>
        </w:rPr>
        <w:t> </w:t>
      </w:r>
      <w:r w:rsidRPr="00A62004">
        <w:rPr>
          <w:spacing w:val="-4"/>
        </w:rPr>
        <w:t xml:space="preserve">3 est particulièrement pertinent. </w:t>
      </w:r>
      <w:proofErr w:type="gramStart"/>
      <w:r w:rsidRPr="00A62004">
        <w:rPr>
          <w:spacing w:val="-4"/>
        </w:rPr>
        <w:t>«Assurer</w:t>
      </w:r>
      <w:proofErr w:type="gramEnd"/>
      <w:r w:rsidRPr="00A62004">
        <w:rPr>
          <w:spacing w:val="-4"/>
        </w:rPr>
        <w:t xml:space="preserve"> une vie saine aux personnes de tout âge et promouvoir leur bien-être». De plus, le principe du développement durable numéro</w:t>
      </w:r>
      <w:r w:rsidR="00012CFE" w:rsidRPr="00A62004">
        <w:rPr>
          <w:spacing w:val="-4"/>
        </w:rPr>
        <w:t> </w:t>
      </w:r>
      <w:r w:rsidRPr="00A62004">
        <w:rPr>
          <w:spacing w:val="-4"/>
        </w:rPr>
        <w:t>3) b)</w:t>
      </w:r>
      <w:proofErr w:type="gramStart"/>
      <w:r w:rsidRPr="00A62004">
        <w:rPr>
          <w:spacing w:val="-4"/>
        </w:rPr>
        <w:t xml:space="preserve"> «Éviter</w:t>
      </w:r>
      <w:proofErr w:type="gramEnd"/>
      <w:r w:rsidRPr="00A62004">
        <w:rPr>
          <w:spacing w:val="-4"/>
        </w:rPr>
        <w:t xml:space="preserve"> les dangers et les risques inacceptables pour la santé humaine» est pris en compte. Il contribue également à l</w:t>
      </w:r>
      <w:r w:rsidR="00012CFE" w:rsidRPr="00A62004">
        <w:rPr>
          <w:spacing w:val="-4"/>
        </w:rPr>
        <w:t>’</w:t>
      </w:r>
      <w:r w:rsidRPr="00A62004">
        <w:rPr>
          <w:spacing w:val="-4"/>
        </w:rPr>
        <w:t>objectif mondial n°</w:t>
      </w:r>
      <w:r w:rsidR="00012CFE" w:rsidRPr="00A62004">
        <w:rPr>
          <w:spacing w:val="-4"/>
        </w:rPr>
        <w:t> </w:t>
      </w:r>
      <w:r w:rsidRPr="00A62004">
        <w:rPr>
          <w:spacing w:val="-4"/>
        </w:rPr>
        <w:t>12</w:t>
      </w:r>
      <w:proofErr w:type="gramStart"/>
      <w:r w:rsidRPr="00A62004">
        <w:rPr>
          <w:spacing w:val="-4"/>
        </w:rPr>
        <w:t xml:space="preserve"> «Assurer</w:t>
      </w:r>
      <w:proofErr w:type="gramEnd"/>
      <w:r w:rsidRPr="00A62004">
        <w:rPr>
          <w:spacing w:val="-4"/>
        </w:rPr>
        <w:t xml:space="preserve"> des modes de consommation et de production durables». Dans un souci de durabilité, l</w:t>
      </w:r>
      <w:r w:rsidR="00012CFE" w:rsidRPr="00A62004">
        <w:rPr>
          <w:spacing w:val="-4"/>
        </w:rPr>
        <w:t>’</w:t>
      </w:r>
      <w:r w:rsidRPr="00A62004">
        <w:rPr>
          <w:spacing w:val="-4"/>
        </w:rPr>
        <w:t>utilisation de matériaux de recyclage pour les biens destinés à entrer en contact avec des denrées alimentaires en papier, carton-pâte ou carton sera également possible à l</w:t>
      </w:r>
      <w:r w:rsidR="00012CFE" w:rsidRPr="00A62004">
        <w:rPr>
          <w:spacing w:val="-4"/>
        </w:rPr>
        <w:t>’</w:t>
      </w:r>
      <w:r w:rsidRPr="00A62004">
        <w:rPr>
          <w:spacing w:val="-4"/>
        </w:rPr>
        <w:t>avenir, à condition que les exigences de protection des consommateurs spécifiées dans ce décret soient respectées. Le décret garantit que les consommateurs ne sont pas affectés par les composants d</w:t>
      </w:r>
      <w:r w:rsidR="00012CFE" w:rsidRPr="00A62004">
        <w:rPr>
          <w:spacing w:val="-4"/>
        </w:rPr>
        <w:t>’</w:t>
      </w:r>
      <w:r w:rsidRPr="00A62004">
        <w:rPr>
          <w:spacing w:val="-4"/>
        </w:rPr>
        <w:t xml:space="preserve">huile minérale provenant de biens destinés à entrer en contact avec des denrées alimentaires en papier, carton-pâte ou carton qui ont été produits à partir de vieux papiers. Il vise à protéger la santé des consommateurs et contribue par conséquent au développement durable. </w:t>
      </w:r>
    </w:p>
    <w:p w14:paraId="4628D4A0" w14:textId="77777777" w:rsidR="006444D5" w:rsidRPr="00D43FA1" w:rsidRDefault="006444D5">
      <w:pPr>
        <w:pStyle w:val="berschriftarabischBegrndung"/>
      </w:pPr>
      <w:r>
        <w:t>Dépenses budgétaires sans charges d’exécution</w:t>
      </w:r>
    </w:p>
    <w:p w14:paraId="2771CB61" w14:textId="566CAE76" w:rsidR="003923C4" w:rsidRPr="00D43FA1" w:rsidRDefault="00CB5E99">
      <w:pPr>
        <w:pStyle w:val="Text"/>
      </w:pPr>
      <w:r>
        <w:t>Les budgets publics ne sont pas affectés par des dépenses budgétaires sans charges d</w:t>
      </w:r>
      <w:r w:rsidR="00012CFE">
        <w:t>’</w:t>
      </w:r>
      <w:r>
        <w:t>application.</w:t>
      </w:r>
    </w:p>
    <w:p w14:paraId="53940621" w14:textId="77777777" w:rsidR="006444D5" w:rsidRPr="00D43FA1" w:rsidRDefault="006444D5" w:rsidP="0070360F">
      <w:pPr>
        <w:pStyle w:val="berschriftarabischBegrndung"/>
        <w:keepLines/>
      </w:pPr>
      <w:r>
        <w:lastRenderedPageBreak/>
        <w:t>Charges d’exécution</w:t>
      </w:r>
    </w:p>
    <w:p w14:paraId="70BBFB2C" w14:textId="77777777" w:rsidR="00D25113" w:rsidRPr="00D43FA1" w:rsidRDefault="00D25113" w:rsidP="0070360F">
      <w:pPr>
        <w:pStyle w:val="Text"/>
        <w:keepNext/>
        <w:keepLines/>
        <w:rPr>
          <w:u w:val="single"/>
        </w:rPr>
      </w:pPr>
      <w:r>
        <w:rPr>
          <w:u w:val="single"/>
        </w:rPr>
        <w:t>a) Charges d’exécution pour l’administration</w:t>
      </w:r>
    </w:p>
    <w:p w14:paraId="769FC95B" w14:textId="0DCF2636" w:rsidR="00612652" w:rsidRPr="00D43FA1" w:rsidRDefault="00612652" w:rsidP="0070360F">
      <w:pPr>
        <w:pStyle w:val="Text"/>
        <w:keepNext/>
        <w:keepLines/>
      </w:pPr>
      <w:r>
        <w:t>Le décret n</w:t>
      </w:r>
      <w:r w:rsidR="00012CFE">
        <w:t>’</w:t>
      </w:r>
      <w:r>
        <w:t>entraîne aucun coût supplémentaire pour l</w:t>
      </w:r>
      <w:r w:rsidR="00012CFE">
        <w:t>’</w:t>
      </w:r>
      <w:r>
        <w:t xml:space="preserve">administration fédérale. </w:t>
      </w:r>
    </w:p>
    <w:p w14:paraId="6AFCAA5B" w14:textId="77777777" w:rsidR="00AD0A9D" w:rsidRPr="00D43FA1" w:rsidRDefault="006A578D" w:rsidP="0070360F">
      <w:pPr>
        <w:pStyle w:val="Text"/>
        <w:keepNext/>
        <w:keepLines/>
      </w:pPr>
      <w:r>
        <w:t xml:space="preserve">Sur la base des informations fournies par les Länder, leur administration supporte des coûts de conformité supplémentaires suivants en raison des activités de surveillance et de contrôle supplémentaires engendrées par le </w:t>
      </w:r>
      <w:proofErr w:type="gramStart"/>
      <w:r>
        <w:t>décret:</w:t>
      </w:r>
      <w:proofErr w:type="gramEnd"/>
    </w:p>
    <w:tbl>
      <w:tblPr>
        <w:tblStyle w:val="TableGrid"/>
        <w:tblW w:w="0" w:type="auto"/>
        <w:tblLook w:val="04A0" w:firstRow="1" w:lastRow="0" w:firstColumn="1" w:lastColumn="0" w:noHBand="0" w:noVBand="1"/>
      </w:tblPr>
      <w:tblGrid>
        <w:gridCol w:w="4389"/>
        <w:gridCol w:w="4390"/>
      </w:tblGrid>
      <w:tr w:rsidR="00AD0A9D" w:rsidRPr="00D43FA1" w14:paraId="6E6BEC6C" w14:textId="77777777" w:rsidTr="007905CF">
        <w:tc>
          <w:tcPr>
            <w:tcW w:w="4464" w:type="dxa"/>
          </w:tcPr>
          <w:p w14:paraId="7A206076" w14:textId="77777777" w:rsidR="00AD0A9D" w:rsidRPr="00D43FA1" w:rsidRDefault="00E77C05" w:rsidP="007905CF">
            <w:pPr>
              <w:pStyle w:val="Text"/>
            </w:pPr>
            <w:r>
              <w:t>Frais exceptionnels de matériel</w:t>
            </w:r>
          </w:p>
        </w:tc>
        <w:tc>
          <w:tcPr>
            <w:tcW w:w="4465" w:type="dxa"/>
          </w:tcPr>
          <w:p w14:paraId="4721955D" w14:textId="6FFDA697" w:rsidR="00AD0A9D" w:rsidRPr="00D43FA1" w:rsidRDefault="00AD0A9D" w:rsidP="009969BE">
            <w:pPr>
              <w:pStyle w:val="Text"/>
              <w:jc w:val="left"/>
            </w:pPr>
            <w:r>
              <w:t>env. 1 058 000</w:t>
            </w:r>
            <w:r w:rsidR="00012CFE">
              <w:t> </w:t>
            </w:r>
            <w:r>
              <w:t>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Frais exceptionnels de personnel</w:t>
            </w:r>
          </w:p>
        </w:tc>
        <w:tc>
          <w:tcPr>
            <w:tcW w:w="4465" w:type="dxa"/>
          </w:tcPr>
          <w:p w14:paraId="38C1D206" w14:textId="4D371D36" w:rsidR="00AD0A9D" w:rsidRPr="00D43FA1" w:rsidRDefault="00AD0A9D" w:rsidP="009969BE">
            <w:pPr>
              <w:pStyle w:val="Text"/>
              <w:jc w:val="left"/>
            </w:pPr>
            <w:r>
              <w:t>env. 123 000</w:t>
            </w:r>
            <w:r w:rsidR="00012CFE">
              <w:t> </w:t>
            </w:r>
            <w:r>
              <w:t>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Frais de matériel exceptionnels</w:t>
            </w:r>
          </w:p>
        </w:tc>
        <w:tc>
          <w:tcPr>
            <w:tcW w:w="4465" w:type="dxa"/>
          </w:tcPr>
          <w:p w14:paraId="4080915D" w14:textId="0350D39C" w:rsidR="00AD0A9D" w:rsidRPr="00D43FA1" w:rsidRDefault="00AD0A9D" w:rsidP="009969BE">
            <w:pPr>
              <w:pStyle w:val="Text"/>
              <w:jc w:val="left"/>
            </w:pPr>
            <w:r>
              <w:t>env. 80 000</w:t>
            </w:r>
            <w:r w:rsidR="00012CFE">
              <w:t> </w:t>
            </w:r>
            <w:r>
              <w:t>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Frais de personnel annuels</w:t>
            </w:r>
          </w:p>
        </w:tc>
        <w:tc>
          <w:tcPr>
            <w:tcW w:w="4465" w:type="dxa"/>
          </w:tcPr>
          <w:p w14:paraId="21ABAEB6" w14:textId="02F58E6B" w:rsidR="00AD0A9D" w:rsidRPr="00D43FA1" w:rsidRDefault="00AD0A9D" w:rsidP="000636B3">
            <w:pPr>
              <w:pStyle w:val="Text"/>
              <w:jc w:val="left"/>
            </w:pPr>
            <w:r>
              <w:t>env. 292 000</w:t>
            </w:r>
            <w:r w:rsidR="00012CFE">
              <w:t> </w:t>
            </w:r>
            <w:r>
              <w:t>EUR</w:t>
            </w:r>
          </w:p>
        </w:tc>
      </w:tr>
    </w:tbl>
    <w:p w14:paraId="6B8CCD1C" w14:textId="536551F0" w:rsidR="00E6133B" w:rsidRPr="00D43FA1" w:rsidRDefault="00E6133B" w:rsidP="00612652">
      <w:pPr>
        <w:pStyle w:val="Text"/>
      </w:pPr>
      <w:r>
        <w:t>Il en résulte une charge d</w:t>
      </w:r>
      <w:r w:rsidR="00012CFE">
        <w:t>’</w:t>
      </w:r>
      <w:r>
        <w:t>exécution exceptionnelle moyenne de 236 200</w:t>
      </w:r>
      <w:r w:rsidR="00012CFE">
        <w:t> </w:t>
      </w:r>
      <w:r>
        <w:t>euros et une charge d</w:t>
      </w:r>
      <w:r w:rsidR="00012CFE">
        <w:t>’</w:t>
      </w:r>
      <w:r>
        <w:t>exécution annuelle moyenne de 74 400</w:t>
      </w:r>
      <w:r w:rsidR="00012CFE">
        <w:t> </w:t>
      </w:r>
      <w:r>
        <w:t xml:space="preserve">euros. </w:t>
      </w:r>
    </w:p>
    <w:p w14:paraId="525979E7" w14:textId="570C9906" w:rsidR="00891D8C" w:rsidRPr="007E01A6" w:rsidRDefault="007C7B00" w:rsidP="00E24BD3">
      <w:pPr>
        <w:pStyle w:val="Text"/>
      </w:pPr>
      <w:r>
        <w:t>Conformément aux informations individuelles des Länder, ces frais sont composés des éléments suivants. Tous les Länder n</w:t>
      </w:r>
      <w:r w:rsidR="00012CFE">
        <w:t>’</w:t>
      </w:r>
      <w:r>
        <w:t>ont pas signalé d’impact financier découlant du décret. Cela peut être justifié par le fait, par exemple, que de telles analyses ne sont initialement pas menées ou qu</w:t>
      </w:r>
      <w:r w:rsidR="00012CFE">
        <w:t>’</w:t>
      </w:r>
      <w:r>
        <w:t>elles sont menées en coopération avec d</w:t>
      </w:r>
      <w:r w:rsidR="00012CFE">
        <w:t>’</w:t>
      </w:r>
      <w:r>
        <w:t xml:space="preserve">autres Länder. </w:t>
      </w:r>
    </w:p>
    <w:p w14:paraId="4DA66B7C" w14:textId="77777777" w:rsidR="007C7B00" w:rsidRPr="00D43FA1" w:rsidRDefault="007C7B00" w:rsidP="0070360F">
      <w:pPr>
        <w:pStyle w:val="Text"/>
        <w:keepNext/>
        <w:keepLines/>
        <w:tabs>
          <w:tab w:val="left" w:pos="0"/>
        </w:tabs>
        <w:spacing w:before="0" w:after="0"/>
        <w:rPr>
          <w:u w:val="single"/>
        </w:rPr>
      </w:pPr>
      <w:r>
        <w:rPr>
          <w:u w:val="single"/>
        </w:rPr>
        <w:t>Bade-</w:t>
      </w:r>
      <w:proofErr w:type="gramStart"/>
      <w:r>
        <w:rPr>
          <w:u w:val="single"/>
        </w:rPr>
        <w:t>Wurtemberg:</w:t>
      </w:r>
      <w:proofErr w:type="gramEnd"/>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7"/>
        <w:gridCol w:w="4392"/>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 xml:space="preserve">Frais de matériel </w:t>
            </w:r>
            <w:proofErr w:type="gramStart"/>
            <w:r>
              <w:t>exceptionnels:</w:t>
            </w:r>
            <w:proofErr w:type="gramEnd"/>
          </w:p>
        </w:tc>
        <w:tc>
          <w:tcPr>
            <w:tcW w:w="4465" w:type="dxa"/>
          </w:tcPr>
          <w:p w14:paraId="633997F1" w14:textId="73E6C4A8" w:rsidR="009969BE" w:rsidRPr="00D43FA1" w:rsidRDefault="000636B3" w:rsidP="000636B3">
            <w:pPr>
              <w:pStyle w:val="Text"/>
            </w:pPr>
            <w:r>
              <w:t>220 000</w:t>
            </w:r>
            <w:r w:rsidR="00012CFE">
              <w:t> </w:t>
            </w:r>
            <w:r>
              <w:t>EUR (achat d</w:t>
            </w:r>
            <w:r w:rsidR="00012CFE">
              <w:t>’</w:t>
            </w:r>
            <w:r>
              <w:t xml:space="preserve">équipements)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Frais de personnel </w:t>
            </w:r>
            <w:proofErr w:type="gramStart"/>
            <w:r>
              <w:t>exceptionnels:</w:t>
            </w:r>
            <w:proofErr w:type="gramEnd"/>
            <w:r>
              <w:t xml:space="preserve"> </w:t>
            </w:r>
          </w:p>
        </w:tc>
        <w:tc>
          <w:tcPr>
            <w:tcW w:w="4465" w:type="dxa"/>
          </w:tcPr>
          <w:p w14:paraId="65DA8490" w14:textId="3C441B07" w:rsidR="009969BE" w:rsidRPr="00D43FA1" w:rsidRDefault="000636B3" w:rsidP="000636B3">
            <w:pPr>
              <w:pStyle w:val="Text"/>
              <w:tabs>
                <w:tab w:val="left" w:pos="0"/>
              </w:tabs>
              <w:jc w:val="left"/>
            </w:pPr>
            <w:r>
              <w:t>35 000</w:t>
            </w:r>
            <w:r w:rsidR="00012CFE">
              <w:t> </w:t>
            </w:r>
            <w:r>
              <w:t>EUR (mise en place d</w:t>
            </w:r>
            <w:r w:rsidR="00012CFE">
              <w:t>’</w:t>
            </w:r>
            <w:r>
              <w:t>une analyse standardisée sans mesure d</w:t>
            </w:r>
            <w:r w:rsidR="00012CFE">
              <w:t>’</w:t>
            </w:r>
            <w:r>
              <w:t>échantillons de routine)</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 xml:space="preserve">Frais de matériel </w:t>
            </w:r>
            <w:proofErr w:type="gramStart"/>
            <w:r>
              <w:t>annuels:</w:t>
            </w:r>
            <w:proofErr w:type="gramEnd"/>
          </w:p>
        </w:tc>
        <w:tc>
          <w:tcPr>
            <w:tcW w:w="4465" w:type="dxa"/>
          </w:tcPr>
          <w:p w14:paraId="77320B51" w14:textId="3EDF34D3" w:rsidR="009969BE" w:rsidRPr="00D43FA1" w:rsidRDefault="009969BE" w:rsidP="000636B3">
            <w:pPr>
              <w:pStyle w:val="Text"/>
              <w:jc w:val="left"/>
            </w:pPr>
            <w:r>
              <w:t>env. 10 000</w:t>
            </w:r>
            <w:r w:rsidR="00012CFE">
              <w:t> </w:t>
            </w:r>
            <w:r>
              <w:t>EUR (estimation) (entretien des équipements, consommables, réparations, etc.)</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 xml:space="preserve">Frais de personnel </w:t>
            </w:r>
            <w:proofErr w:type="gramStart"/>
            <w:r>
              <w:t>annuels:</w:t>
            </w:r>
            <w:proofErr w:type="gramEnd"/>
          </w:p>
        </w:tc>
        <w:tc>
          <w:tcPr>
            <w:tcW w:w="4465" w:type="dxa"/>
          </w:tcPr>
          <w:p w14:paraId="440A534D" w14:textId="05ACEB9B" w:rsidR="000636B3" w:rsidRPr="00D43FA1" w:rsidRDefault="000636B3" w:rsidP="00E24BD3">
            <w:pPr>
              <w:contextualSpacing/>
              <w:jc w:val="left"/>
            </w:pPr>
            <w:proofErr w:type="gramStart"/>
            <w:r>
              <w:t>environ</w:t>
            </w:r>
            <w:proofErr w:type="gramEnd"/>
            <w:r>
              <w:t xml:space="preserve"> 60 000</w:t>
            </w:r>
            <w:r w:rsidR="00012CFE">
              <w:t> </w:t>
            </w:r>
            <w:r>
              <w:t>EUR (en supposant qu</w:t>
            </w:r>
            <w:r w:rsidR="00012CFE">
              <w:t>’</w:t>
            </w:r>
            <w:r>
              <w:t>un CTA et un responsable de laboratoire sont chacun employés à 50</w:t>
            </w:r>
            <w:r w:rsidR="00012CFE">
              <w:t> </w:t>
            </w:r>
            <w:r>
              <w:t>%; les frais de personnel annuels réels dépendent du nombre réel d</w:t>
            </w:r>
            <w:r w:rsidR="00012CFE">
              <w:t>’</w:t>
            </w:r>
            <w:r>
              <w:t>échantillons et du temps réel d</w:t>
            </w:r>
            <w:r w:rsidR="00012CFE">
              <w:t>’</w:t>
            </w:r>
            <w:r>
              <w:t>examen des documents).</w:t>
            </w:r>
          </w:p>
        </w:tc>
      </w:tr>
    </w:tbl>
    <w:p w14:paraId="08E5AD35" w14:textId="2F20F6E7" w:rsidR="007C7B00" w:rsidRPr="00D43FA1" w:rsidRDefault="007C7B00" w:rsidP="009969BE">
      <w:pPr>
        <w:pStyle w:val="Text"/>
        <w:spacing w:before="0" w:after="0"/>
      </w:pPr>
    </w:p>
    <w:p w14:paraId="37B8C963" w14:textId="7D507785" w:rsidR="00D43FA1" w:rsidRDefault="007C7B00" w:rsidP="00BE6637">
      <w:pPr>
        <w:pStyle w:val="ListParagraph"/>
        <w:ind w:left="0"/>
        <w:contextualSpacing/>
        <w:rPr>
          <w:rFonts w:ascii="Arial" w:hAnsi="Arial" w:cs="Arial"/>
          <w:sz w:val="22"/>
          <w:szCs w:val="22"/>
        </w:rPr>
      </w:pPr>
      <w:r>
        <w:rPr>
          <w:rFonts w:ascii="Arial" w:hAnsi="Arial"/>
          <w:sz w:val="22"/>
          <w:szCs w:val="22"/>
        </w:rPr>
        <w:t>Les coûts indiqués incluent le temps pour l</w:t>
      </w:r>
      <w:r w:rsidR="00012CFE">
        <w:rPr>
          <w:rFonts w:ascii="Arial" w:hAnsi="Arial"/>
          <w:sz w:val="22"/>
          <w:szCs w:val="22"/>
        </w:rPr>
        <w:t>’</w:t>
      </w:r>
      <w:r>
        <w:rPr>
          <w:rFonts w:ascii="Arial" w:hAnsi="Arial"/>
          <w:sz w:val="22"/>
          <w:szCs w:val="22"/>
        </w:rPr>
        <w:t>analyse et les coûts pour une partie seulement de l</w:t>
      </w:r>
      <w:r w:rsidR="00012CFE">
        <w:rPr>
          <w:rFonts w:ascii="Arial" w:hAnsi="Arial"/>
          <w:sz w:val="22"/>
          <w:szCs w:val="22"/>
        </w:rPr>
        <w:t>’</w:t>
      </w:r>
      <w:r>
        <w:rPr>
          <w:rFonts w:ascii="Arial" w:hAnsi="Arial"/>
          <w:sz w:val="22"/>
          <w:szCs w:val="22"/>
        </w:rPr>
        <w:t>examen des documents dans l</w:t>
      </w:r>
      <w:r w:rsidR="00012CFE">
        <w:rPr>
          <w:rFonts w:ascii="Arial" w:hAnsi="Arial"/>
          <w:sz w:val="22"/>
          <w:szCs w:val="22"/>
        </w:rPr>
        <w:t>’</w:t>
      </w:r>
      <w:r>
        <w:rPr>
          <w:rFonts w:ascii="Arial" w:hAnsi="Arial"/>
          <w:sz w:val="22"/>
          <w:szCs w:val="22"/>
        </w:rPr>
        <w:t>établissement d</w:t>
      </w:r>
      <w:r w:rsidR="00012CFE">
        <w:rPr>
          <w:rFonts w:ascii="Arial" w:hAnsi="Arial"/>
          <w:sz w:val="22"/>
          <w:szCs w:val="22"/>
        </w:rPr>
        <w:t>’</w:t>
      </w:r>
      <w:r>
        <w:rPr>
          <w:rFonts w:ascii="Arial" w:hAnsi="Arial"/>
          <w:sz w:val="22"/>
          <w:szCs w:val="22"/>
        </w:rPr>
        <w:t>examen, car il n</w:t>
      </w:r>
      <w:r w:rsidR="00012CFE">
        <w:rPr>
          <w:rFonts w:ascii="Arial" w:hAnsi="Arial"/>
          <w:sz w:val="22"/>
          <w:szCs w:val="22"/>
        </w:rPr>
        <w:t>’</w:t>
      </w:r>
      <w:r>
        <w:rPr>
          <w:rFonts w:ascii="Arial" w:hAnsi="Arial"/>
          <w:sz w:val="22"/>
          <w:szCs w:val="22"/>
        </w:rPr>
        <w:t>y a aucune obligation d</w:t>
      </w:r>
      <w:r w:rsidR="00012CFE">
        <w:rPr>
          <w:rFonts w:ascii="Arial" w:hAnsi="Arial"/>
          <w:sz w:val="22"/>
          <w:szCs w:val="22"/>
        </w:rPr>
        <w:t>’</w:t>
      </w:r>
      <w:r>
        <w:rPr>
          <w:rFonts w:ascii="Arial" w:hAnsi="Arial"/>
          <w:sz w:val="22"/>
          <w:szCs w:val="22"/>
        </w:rPr>
        <w:t xml:space="preserve">enregistrer les entreprises dans le domaine de la fabrication et de la mise sur le marché de biens destinés à entrer en contact avec des denrées alimentaires et donc pas de données complètes sur le nombre de ces fabricants et personnes procédant à la commercialisation des biens destinés à entrer en contact avec des denrées alimentaires couvertes par le décret.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A62004">
      <w:pPr>
        <w:pStyle w:val="Text"/>
        <w:keepNext/>
        <w:keepLines/>
        <w:spacing w:before="0" w:after="0"/>
        <w:rPr>
          <w:u w:val="single"/>
        </w:rPr>
      </w:pPr>
      <w:proofErr w:type="gramStart"/>
      <w:r>
        <w:rPr>
          <w:u w:val="single"/>
        </w:rPr>
        <w:lastRenderedPageBreak/>
        <w:t>Bavière:</w:t>
      </w:r>
      <w:proofErr w:type="gramEnd"/>
    </w:p>
    <w:p w14:paraId="02A6CCC7" w14:textId="77777777" w:rsidR="007C7B00" w:rsidRPr="00D43FA1" w:rsidRDefault="007C7B00" w:rsidP="00A62004">
      <w:pPr>
        <w:pStyle w:val="Text"/>
        <w:keepNext/>
        <w:keepLines/>
        <w:spacing w:before="0" w:after="0"/>
        <w:rPr>
          <w:u w:val="single"/>
        </w:rPr>
      </w:pPr>
    </w:p>
    <w:tbl>
      <w:tblPr>
        <w:tblStyle w:val="TableGrid"/>
        <w:tblW w:w="0" w:type="auto"/>
        <w:tblLook w:val="04A0" w:firstRow="1" w:lastRow="0" w:firstColumn="1" w:lastColumn="0" w:noHBand="0" w:noVBand="1"/>
      </w:tblPr>
      <w:tblGrid>
        <w:gridCol w:w="4390"/>
        <w:gridCol w:w="4389"/>
      </w:tblGrid>
      <w:tr w:rsidR="00C27F02" w:rsidRPr="00D43FA1" w14:paraId="34B0347D" w14:textId="77777777" w:rsidTr="00C27F02">
        <w:tc>
          <w:tcPr>
            <w:tcW w:w="4464" w:type="dxa"/>
          </w:tcPr>
          <w:p w14:paraId="540A9F12" w14:textId="26DBDA32" w:rsidR="00C27F02" w:rsidRPr="00D43FA1" w:rsidRDefault="00C27F02" w:rsidP="00A62004">
            <w:pPr>
              <w:pStyle w:val="Text"/>
              <w:keepNext/>
              <w:keepLines/>
              <w:rPr>
                <w:u w:val="single"/>
              </w:rPr>
            </w:pPr>
            <w:r>
              <w:rPr>
                <w:color w:val="000000"/>
              </w:rPr>
              <w:t xml:space="preserve">Frais de matériel </w:t>
            </w:r>
            <w:proofErr w:type="gramStart"/>
            <w:r>
              <w:rPr>
                <w:color w:val="000000"/>
              </w:rPr>
              <w:t>exceptionnels:</w:t>
            </w:r>
            <w:proofErr w:type="gramEnd"/>
          </w:p>
        </w:tc>
        <w:tc>
          <w:tcPr>
            <w:tcW w:w="4465" w:type="dxa"/>
          </w:tcPr>
          <w:p w14:paraId="368558E6" w14:textId="40280700" w:rsidR="000636B3" w:rsidRPr="00D43FA1" w:rsidRDefault="000636B3" w:rsidP="00A62004">
            <w:pPr>
              <w:pStyle w:val="Text"/>
              <w:keepNext/>
              <w:keepLines/>
              <w:rPr>
                <w:color w:val="000000"/>
              </w:rPr>
            </w:pPr>
            <w:r>
              <w:rPr>
                <w:color w:val="000000"/>
              </w:rPr>
              <w:t>env. 200 000</w:t>
            </w:r>
            <w:r w:rsidR="00012CFE">
              <w:rPr>
                <w:color w:val="000000"/>
              </w:rPr>
              <w:t> </w:t>
            </w:r>
            <w:r>
              <w:rPr>
                <w:color w:val="000000"/>
              </w:rPr>
              <w:t xml:space="preserve">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 xml:space="preserve">Frais de personnel </w:t>
            </w:r>
            <w:proofErr w:type="gramStart"/>
            <w:r>
              <w:rPr>
                <w:color w:val="000000"/>
              </w:rPr>
              <w:t>annuels:</w:t>
            </w:r>
            <w:proofErr w:type="gramEnd"/>
          </w:p>
        </w:tc>
        <w:tc>
          <w:tcPr>
            <w:tcW w:w="4465" w:type="dxa"/>
          </w:tcPr>
          <w:p w14:paraId="670B56AD" w14:textId="7E278C72" w:rsidR="000636B3" w:rsidRPr="00D43FA1" w:rsidRDefault="000636B3" w:rsidP="000636B3">
            <w:pPr>
              <w:pStyle w:val="Text"/>
              <w:rPr>
                <w:color w:val="000000"/>
              </w:rPr>
            </w:pPr>
            <w:r>
              <w:rPr>
                <w:color w:val="000000"/>
              </w:rPr>
              <w:t>env. 72 000</w:t>
            </w:r>
            <w:r w:rsidR="00012CFE">
              <w:rPr>
                <w:color w:val="000000"/>
              </w:rPr>
              <w:t> </w:t>
            </w:r>
            <w:r>
              <w:rPr>
                <w:color w:val="000000"/>
              </w:rPr>
              <w:t xml:space="preserve">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Frais de matériel </w:t>
            </w:r>
            <w:proofErr w:type="gramStart"/>
            <w:r>
              <w:rPr>
                <w:color w:val="000000"/>
              </w:rPr>
              <w:t>annuels:</w:t>
            </w:r>
            <w:proofErr w:type="gramEnd"/>
            <w:r>
              <w:rPr>
                <w:color w:val="000000"/>
              </w:rPr>
              <w:t xml:space="preserve"> </w:t>
            </w:r>
          </w:p>
        </w:tc>
        <w:tc>
          <w:tcPr>
            <w:tcW w:w="4465" w:type="dxa"/>
          </w:tcPr>
          <w:p w14:paraId="3AA9289D" w14:textId="1D43270C" w:rsidR="000636B3" w:rsidRPr="00D43FA1" w:rsidRDefault="000636B3" w:rsidP="000636B3">
            <w:pPr>
              <w:pStyle w:val="Text"/>
              <w:rPr>
                <w:color w:val="000000"/>
              </w:rPr>
            </w:pPr>
            <w:r>
              <w:rPr>
                <w:color w:val="000000"/>
              </w:rPr>
              <w:t>env. 10 000</w:t>
            </w:r>
            <w:r w:rsidR="00012CFE">
              <w:rPr>
                <w:color w:val="000000"/>
              </w:rPr>
              <w:t> </w:t>
            </w:r>
            <w:r>
              <w:rPr>
                <w:color w:val="000000"/>
              </w:rPr>
              <w:t xml:space="preserve">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Basse-</w:t>
      </w:r>
      <w:proofErr w:type="gramStart"/>
      <w:r>
        <w:rPr>
          <w:u w:val="single"/>
        </w:rPr>
        <w:t>Saxe:</w:t>
      </w:r>
      <w:proofErr w:type="gramEnd"/>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7"/>
        <w:gridCol w:w="4392"/>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 xml:space="preserve">Frais de matériel </w:t>
            </w:r>
            <w:proofErr w:type="gramStart"/>
            <w:r>
              <w:t>exceptionnels:</w:t>
            </w:r>
            <w:proofErr w:type="gramEnd"/>
            <w:r>
              <w:t> </w:t>
            </w:r>
          </w:p>
        </w:tc>
        <w:tc>
          <w:tcPr>
            <w:tcW w:w="4465" w:type="dxa"/>
          </w:tcPr>
          <w:p w14:paraId="3E9249EF" w14:textId="3FC3A367" w:rsidR="0092712D" w:rsidRPr="00D43FA1" w:rsidRDefault="0092712D" w:rsidP="00CB2B7C">
            <w:pPr>
              <w:spacing w:before="0" w:after="0"/>
              <w:jc w:val="left"/>
            </w:pPr>
            <w:r>
              <w:t>170 000</w:t>
            </w:r>
            <w:r w:rsidR="00012CFE">
              <w:t> </w:t>
            </w:r>
            <w:r>
              <w:t>EUR (frais d’équipements pour le couplage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 xml:space="preserve">Frais </w:t>
            </w:r>
            <w:proofErr w:type="gramStart"/>
            <w:r>
              <w:t>annuels:</w:t>
            </w:r>
            <w:proofErr w:type="gramEnd"/>
          </w:p>
        </w:tc>
        <w:tc>
          <w:tcPr>
            <w:tcW w:w="4465" w:type="dxa"/>
          </w:tcPr>
          <w:p w14:paraId="51489E53" w14:textId="7CA50664" w:rsidR="0092712D" w:rsidRPr="00D43FA1" w:rsidRDefault="0092712D" w:rsidP="00CB2B7C">
            <w:pPr>
              <w:pStyle w:val="Text"/>
              <w:spacing w:before="0" w:after="0"/>
              <w:jc w:val="left"/>
              <w:rPr>
                <w:u w:val="single"/>
              </w:rPr>
            </w:pPr>
            <w:r>
              <w:t>52 000</w:t>
            </w:r>
            <w:r w:rsidR="00012CFE">
              <w:t> </w:t>
            </w:r>
            <w:r>
              <w:t>EUR (sur la base de 200</w:t>
            </w:r>
            <w:r w:rsidR="00012CFE">
              <w:t> </w:t>
            </w:r>
            <w:r>
              <w:t>échantillons à examiner et de 40</w:t>
            </w:r>
            <w:r w:rsidR="00012CFE">
              <w:t> </w:t>
            </w:r>
            <w:r>
              <w:t>examens de documents par an</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Schleswig-</w:t>
      </w:r>
      <w:proofErr w:type="gramStart"/>
      <w:r>
        <w:rPr>
          <w:u w:val="single"/>
        </w:rPr>
        <w:t>Holstein:</w:t>
      </w:r>
      <w:proofErr w:type="gramEnd"/>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7"/>
        <w:gridCol w:w="4392"/>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 xml:space="preserve">Frais de matériel </w:t>
            </w:r>
            <w:proofErr w:type="gramStart"/>
            <w:r>
              <w:rPr>
                <w:color w:val="000000"/>
              </w:rPr>
              <w:t>exceptionnels:</w:t>
            </w:r>
            <w:proofErr w:type="gramEnd"/>
          </w:p>
        </w:tc>
        <w:tc>
          <w:tcPr>
            <w:tcW w:w="4465" w:type="dxa"/>
          </w:tcPr>
          <w:p w14:paraId="48B6D078" w14:textId="4EC28B0B" w:rsidR="0092712D" w:rsidRPr="00D43FA1" w:rsidRDefault="0092712D" w:rsidP="00CB2B7C">
            <w:pPr>
              <w:pStyle w:val="Text"/>
              <w:jc w:val="left"/>
              <w:rPr>
                <w:color w:val="000000"/>
              </w:rPr>
            </w:pPr>
            <w:r>
              <w:rPr>
                <w:color w:val="000000"/>
              </w:rPr>
              <w:t>238 000</w:t>
            </w:r>
            <w:r w:rsidR="00012CFE">
              <w:rPr>
                <w:color w:val="000000"/>
              </w:rPr>
              <w:t> </w:t>
            </w:r>
            <w:r>
              <w:rPr>
                <w:color w:val="000000"/>
              </w:rPr>
              <w:t>EUR (frais d’équipements pour le couplage LC-</w:t>
            </w:r>
            <w:proofErr w:type="gramStart"/>
            <w:r>
              <w:rPr>
                <w:color w:val="000000"/>
              </w:rPr>
              <w:t>GC;</w:t>
            </w:r>
            <w:proofErr w:type="gramEnd"/>
            <w:r>
              <w:rPr>
                <w:color w:val="000000"/>
              </w:rPr>
              <w:t xml:space="preserve"> l</w:t>
            </w:r>
            <w:r w:rsidR="00012CFE">
              <w:rPr>
                <w:color w:val="000000"/>
              </w:rPr>
              <w:t>’</w:t>
            </w:r>
            <w:r>
              <w:rPr>
                <w:color w:val="000000"/>
              </w:rPr>
              <w:t>équipement a été acheté en mars/avril</w:t>
            </w:r>
            <w:r w:rsidR="00012CFE">
              <w:rPr>
                <w:color w:val="000000"/>
              </w:rPr>
              <w:t> </w:t>
            </w:r>
            <w:r>
              <w:rPr>
                <w:color w:val="000000"/>
              </w:rPr>
              <w:t>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Frais de personnel </w:t>
            </w:r>
            <w:proofErr w:type="gramStart"/>
            <w:r>
              <w:rPr>
                <w:color w:val="000000"/>
              </w:rPr>
              <w:t>exceptionnels:</w:t>
            </w:r>
            <w:proofErr w:type="gramEnd"/>
            <w:r>
              <w:rPr>
                <w:color w:val="000000"/>
              </w:rPr>
              <w:t xml:space="preserve"> </w:t>
            </w:r>
          </w:p>
        </w:tc>
        <w:tc>
          <w:tcPr>
            <w:tcW w:w="4465" w:type="dxa"/>
          </w:tcPr>
          <w:p w14:paraId="5F896AF4" w14:textId="78D1E1BC" w:rsidR="0092712D" w:rsidRPr="00D43FA1" w:rsidRDefault="0092712D" w:rsidP="0092712D">
            <w:pPr>
              <w:pStyle w:val="Text"/>
              <w:rPr>
                <w:color w:val="000000"/>
              </w:rPr>
            </w:pPr>
            <w:r>
              <w:rPr>
                <w:color w:val="000000"/>
              </w:rPr>
              <w:t>5 000</w:t>
            </w:r>
            <w:r w:rsidR="00012CFE">
              <w:rPr>
                <w:color w:val="000000"/>
              </w:rPr>
              <w:t> </w:t>
            </w:r>
            <w:r>
              <w:rPr>
                <w:color w:val="000000"/>
              </w:rPr>
              <w:t>EUR (formation continue)</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Frais de personnel </w:t>
            </w:r>
            <w:proofErr w:type="gramStart"/>
            <w:r>
              <w:rPr>
                <w:color w:val="000000"/>
              </w:rPr>
              <w:t>annuels:</w:t>
            </w:r>
            <w:proofErr w:type="gramEnd"/>
            <w:r>
              <w:rPr>
                <w:color w:val="000000"/>
              </w:rPr>
              <w:t xml:space="preserve"> </w:t>
            </w:r>
          </w:p>
        </w:tc>
        <w:tc>
          <w:tcPr>
            <w:tcW w:w="4465" w:type="dxa"/>
          </w:tcPr>
          <w:p w14:paraId="3D3A8607" w14:textId="0446950C" w:rsidR="0092712D" w:rsidRPr="00D43FA1" w:rsidRDefault="00234C16" w:rsidP="00CB2B7C">
            <w:pPr>
              <w:pStyle w:val="Text"/>
              <w:tabs>
                <w:tab w:val="left" w:pos="2694"/>
              </w:tabs>
              <w:spacing w:after="0"/>
              <w:jc w:val="left"/>
              <w:rPr>
                <w:color w:val="000000"/>
              </w:rPr>
            </w:pPr>
            <w:r>
              <w:rPr>
                <w:color w:val="000000"/>
              </w:rPr>
              <w:t>env. 70 000</w:t>
            </w:r>
            <w:r w:rsidR="00012CFE">
              <w:rPr>
                <w:color w:val="000000"/>
              </w:rPr>
              <w:t> </w:t>
            </w:r>
            <w:r>
              <w:rPr>
                <w:color w:val="000000"/>
              </w:rPr>
              <w:t>EUR (0,5 poste d’un collaborateur scientifique</w:t>
            </w:r>
            <w:r w:rsidR="00012CFE">
              <w:rPr>
                <w:color w:val="000000"/>
              </w:rPr>
              <w:t> </w:t>
            </w:r>
            <w:r>
              <w:rPr>
                <w:color w:val="000000"/>
              </w:rPr>
              <w:t>E14</w:t>
            </w:r>
          </w:p>
          <w:p w14:paraId="093480AE" w14:textId="3A914E13" w:rsidR="0092712D" w:rsidRPr="00D43FA1" w:rsidRDefault="0092712D" w:rsidP="0092712D">
            <w:pPr>
              <w:pStyle w:val="Text"/>
              <w:tabs>
                <w:tab w:val="left" w:pos="2694"/>
              </w:tabs>
              <w:spacing w:before="0"/>
              <w:rPr>
                <w:color w:val="000000"/>
              </w:rPr>
            </w:pPr>
            <w:r>
              <w:rPr>
                <w:color w:val="000000"/>
              </w:rPr>
              <w:t>1 poste de technicien</w:t>
            </w:r>
            <w:r w:rsidR="00012CFE">
              <w:rPr>
                <w:color w:val="000000"/>
              </w:rPr>
              <w:t> </w:t>
            </w:r>
            <w:r>
              <w:rPr>
                <w:color w:val="000000"/>
              </w:rPr>
              <w:t>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proofErr w:type="gramStart"/>
      <w:r>
        <w:rPr>
          <w:color w:val="000000"/>
          <w:u w:val="single"/>
        </w:rPr>
        <w:t>Saxe:</w:t>
      </w:r>
      <w:proofErr w:type="gramEnd"/>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7"/>
        <w:gridCol w:w="4392"/>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 xml:space="preserve">Frais de matériel </w:t>
            </w:r>
            <w:proofErr w:type="gramStart"/>
            <w:r>
              <w:t>exceptionnels:</w:t>
            </w:r>
            <w:proofErr w:type="gramEnd"/>
          </w:p>
        </w:tc>
        <w:tc>
          <w:tcPr>
            <w:tcW w:w="4465" w:type="dxa"/>
          </w:tcPr>
          <w:p w14:paraId="071DBD33" w14:textId="165E2482" w:rsidR="00891D8C" w:rsidRPr="00D43FA1" w:rsidRDefault="00891D8C" w:rsidP="00CB2B7C">
            <w:pPr>
              <w:pStyle w:val="Text"/>
              <w:tabs>
                <w:tab w:val="left" w:pos="0"/>
              </w:tabs>
              <w:jc w:val="left"/>
            </w:pPr>
            <w:r>
              <w:t>230 000</w:t>
            </w:r>
            <w:r w:rsidR="00012CFE">
              <w:t> </w:t>
            </w:r>
            <w:r>
              <w:t>EUR (achat d</w:t>
            </w:r>
            <w:r w:rsidR="00012CFE">
              <w:t>’</w:t>
            </w:r>
            <w:r>
              <w:t>équipements)</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 xml:space="preserve">Frais de personnel </w:t>
            </w:r>
            <w:proofErr w:type="gramStart"/>
            <w:r>
              <w:t>exceptionnels:</w:t>
            </w:r>
            <w:proofErr w:type="gramEnd"/>
          </w:p>
        </w:tc>
        <w:tc>
          <w:tcPr>
            <w:tcW w:w="4465" w:type="dxa"/>
          </w:tcPr>
          <w:p w14:paraId="6E7CBC6B" w14:textId="4874783A" w:rsidR="00891D8C" w:rsidRPr="00D43FA1" w:rsidRDefault="00891D8C" w:rsidP="00CB2B7C">
            <w:pPr>
              <w:pStyle w:val="Text"/>
              <w:jc w:val="left"/>
              <w:rPr>
                <w:color w:val="000000"/>
                <w:u w:val="single"/>
              </w:rPr>
            </w:pPr>
            <w:r>
              <w:t>83 000</w:t>
            </w:r>
            <w:r w:rsidR="00012CFE">
              <w:t> </w:t>
            </w:r>
            <w:r>
              <w:t>EUR (0,5 VZÄ groupe de salaire Ü13 et 1,0</w:t>
            </w:r>
            <w:r w:rsidR="00012CFE">
              <w:t> </w:t>
            </w:r>
            <w:r>
              <w:t>VZÄ groupe de salaire</w:t>
            </w:r>
            <w:r w:rsidR="00012CFE">
              <w:t> </w:t>
            </w:r>
            <w:r>
              <w:t>6 en phase de familiarisation avec l’équipement d</w:t>
            </w:r>
            <w:r w:rsidR="00012CFE">
              <w:t>’</w:t>
            </w:r>
            <w:r>
              <w:t>analyse concerné et pour l</w:t>
            </w:r>
            <w:r w:rsidR="00012CFE">
              <w:t>’</w:t>
            </w:r>
            <w:r>
              <w:t>application de la méthode)</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Frais de matériel </w:t>
            </w:r>
            <w:proofErr w:type="gramStart"/>
            <w:r>
              <w:t>annuels:</w:t>
            </w:r>
            <w:proofErr w:type="gramEnd"/>
            <w:r>
              <w:t xml:space="preserve"> </w:t>
            </w:r>
          </w:p>
        </w:tc>
        <w:tc>
          <w:tcPr>
            <w:tcW w:w="4465" w:type="dxa"/>
          </w:tcPr>
          <w:p w14:paraId="3563608C" w14:textId="40B124B8" w:rsidR="00891D8C" w:rsidRPr="00D43FA1" w:rsidRDefault="00891D8C" w:rsidP="00CB2B7C">
            <w:pPr>
              <w:pStyle w:val="Text"/>
              <w:tabs>
                <w:tab w:val="left" w:pos="0"/>
              </w:tabs>
              <w:jc w:val="left"/>
              <w:rPr>
                <w:color w:val="000000"/>
                <w:u w:val="single"/>
              </w:rPr>
            </w:pPr>
            <w:r>
              <w:t>env. 6 000 à 8 000</w:t>
            </w:r>
            <w:r w:rsidR="00012CFE">
              <w:t> </w:t>
            </w:r>
            <w:r>
              <w:t>EUR (entretien des équipements, consommables, réparations)</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Frais de personnel </w:t>
            </w:r>
            <w:proofErr w:type="gramStart"/>
            <w:r>
              <w:t>annuels:</w:t>
            </w:r>
            <w:proofErr w:type="gramEnd"/>
            <w:r>
              <w:t xml:space="preserve"> </w:t>
            </w:r>
          </w:p>
        </w:tc>
        <w:tc>
          <w:tcPr>
            <w:tcW w:w="4465" w:type="dxa"/>
          </w:tcPr>
          <w:p w14:paraId="09C3AC3F" w14:textId="0CB43461" w:rsidR="00891D8C" w:rsidRPr="00D43FA1" w:rsidRDefault="00891D8C" w:rsidP="00CB2B7C">
            <w:pPr>
              <w:pStyle w:val="Text"/>
              <w:tabs>
                <w:tab w:val="left" w:pos="0"/>
              </w:tabs>
              <w:jc w:val="left"/>
              <w:rPr>
                <w:color w:val="000000"/>
                <w:u w:val="single"/>
              </w:rPr>
            </w:pPr>
            <w:r>
              <w:t>env. 90 000</w:t>
            </w:r>
            <w:r w:rsidR="00012CFE">
              <w:t> </w:t>
            </w:r>
            <w:r>
              <w:t>EUR (2,0 VZÄ groupe de rémunération</w:t>
            </w:r>
            <w:r w:rsidR="00012CFE">
              <w:t> </w:t>
            </w:r>
            <w:r>
              <w:t>6 dans les conditions habituelles d</w:t>
            </w:r>
            <w:r w:rsidR="00012CFE">
              <w:t>’</w:t>
            </w:r>
            <w:r>
              <w:t>exploitation)</w:t>
            </w:r>
          </w:p>
        </w:tc>
      </w:tr>
    </w:tbl>
    <w:p w14:paraId="01533E4B" w14:textId="093896D0" w:rsidR="007C7B00" w:rsidRPr="00D43FA1" w:rsidRDefault="007C7B00" w:rsidP="00891D8C">
      <w:pPr>
        <w:pStyle w:val="Text"/>
        <w:spacing w:before="0" w:after="0"/>
        <w:ind w:left="2694" w:hanging="2694"/>
      </w:pPr>
    </w:p>
    <w:p w14:paraId="00EEF1D6" w14:textId="4ADC093F" w:rsidR="00D43FA1" w:rsidRDefault="00042625" w:rsidP="00E24BD3">
      <w:pPr>
        <w:pStyle w:val="Text"/>
        <w:spacing w:before="0" w:after="0"/>
      </w:pPr>
      <w:r>
        <w:t xml:space="preserve">La </w:t>
      </w:r>
      <w:r>
        <w:rPr>
          <w:color w:val="000000"/>
          <w:u w:val="single"/>
        </w:rPr>
        <w:t>Saxe-Anhalt</w:t>
      </w:r>
      <w:r>
        <w:rPr>
          <w:color w:val="000000"/>
        </w:rPr>
        <w:t xml:space="preserve"> </w:t>
      </w:r>
      <w:r>
        <w:t>n</w:t>
      </w:r>
      <w:r w:rsidR="00012CFE">
        <w:t>’</w:t>
      </w:r>
      <w:r>
        <w:t>a pas encore été en mesure de quantifier les frais exceptionnels et récurrents.</w:t>
      </w:r>
    </w:p>
    <w:p w14:paraId="3F91406B" w14:textId="494897A8" w:rsidR="00977AB9" w:rsidRPr="00D43FA1" w:rsidRDefault="00042625" w:rsidP="00E24BD3">
      <w:pPr>
        <w:pStyle w:val="Text"/>
        <w:spacing w:before="0" w:after="0"/>
      </w:pPr>
      <w:r>
        <w:t xml:space="preserve"> </w:t>
      </w:r>
    </w:p>
    <w:p w14:paraId="2291BC65" w14:textId="1EFC7D68" w:rsidR="00042625" w:rsidRDefault="00042625" w:rsidP="00E24BD3">
      <w:pPr>
        <w:pStyle w:val="Text"/>
        <w:spacing w:before="0" w:after="0"/>
        <w:rPr>
          <w:color w:val="000000"/>
        </w:rPr>
      </w:pPr>
      <w:r>
        <w:rPr>
          <w:color w:val="000000"/>
        </w:rPr>
        <w:lastRenderedPageBreak/>
        <w:t xml:space="preserve">La </w:t>
      </w:r>
      <w:r>
        <w:rPr>
          <w:color w:val="000000"/>
          <w:u w:val="single"/>
        </w:rPr>
        <w:t>Thuringe</w:t>
      </w:r>
      <w:r>
        <w:rPr>
          <w:color w:val="000000"/>
        </w:rPr>
        <w:t xml:space="preserve"> a annoncé que des frais exceptionnels d</w:t>
      </w:r>
      <w:r w:rsidR="00012CFE">
        <w:rPr>
          <w:color w:val="000000"/>
        </w:rPr>
        <w:t>’</w:t>
      </w:r>
      <w:r>
        <w:rPr>
          <w:color w:val="000000"/>
        </w:rPr>
        <w:t>un montant non négligeable sont probables. Mais une spécification détaillée des frais n</w:t>
      </w:r>
      <w:r w:rsidR="00012CFE">
        <w:rPr>
          <w:color w:val="000000"/>
        </w:rPr>
        <w:t>’</w:t>
      </w:r>
      <w:r>
        <w:rPr>
          <w:color w:val="000000"/>
        </w:rPr>
        <w:t xml:space="preserve">est pas possible pour la Thuringe à ce stade.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Charges d’exécution pour le secteur économique</w:t>
      </w:r>
    </w:p>
    <w:p w14:paraId="1AC16888" w14:textId="11D49ADF" w:rsidR="00755B7A" w:rsidRPr="00A62004" w:rsidRDefault="004D5050" w:rsidP="007C7B00">
      <w:pPr>
        <w:pStyle w:val="Text"/>
        <w:rPr>
          <w:spacing w:val="-4"/>
        </w:rPr>
      </w:pPr>
      <w:r w:rsidRPr="00A62004">
        <w:rPr>
          <w:spacing w:val="-4"/>
        </w:rPr>
        <w:t>En ce qui concerne les charges d’exécution pour le secteur économique, le décret entraîne des frais supplémentaires, en particulier pour les entreprises de taille moyenne. Puisque le problème de la contamination des aliments par des composants d</w:t>
      </w:r>
      <w:r w:rsidR="00012CFE" w:rsidRPr="00A62004">
        <w:rPr>
          <w:spacing w:val="-4"/>
        </w:rPr>
        <w:t>’</w:t>
      </w:r>
      <w:r w:rsidRPr="00A62004">
        <w:rPr>
          <w:spacing w:val="-4"/>
        </w:rPr>
        <w:t>huile minérale provenant de biens destinés à entrer en contact avec des denrées alimentaires est connu depuis longtemps, un certain nombre d</w:t>
      </w:r>
      <w:r w:rsidR="00012CFE" w:rsidRPr="00A62004">
        <w:rPr>
          <w:spacing w:val="-4"/>
        </w:rPr>
        <w:t>’</w:t>
      </w:r>
      <w:r w:rsidRPr="00A62004">
        <w:rPr>
          <w:spacing w:val="-4"/>
        </w:rPr>
        <w:t>emballages ont déjà été transformés, par exemple, des sacs intermédiaires, des revêtements ou des fibres fraîches peuvent être utilisés à la place de fibres à base de vieux papiers. Cependant, des changements seront désormais également nécessaires pour une partie significative supplémentaire des biens destinés à entrer en contact avec des denrées alimentaires, à moins que l</w:t>
      </w:r>
      <w:r w:rsidR="00012CFE" w:rsidRPr="00A62004">
        <w:rPr>
          <w:spacing w:val="-4"/>
        </w:rPr>
        <w:t>’</w:t>
      </w:r>
      <w:r w:rsidRPr="00A62004">
        <w:rPr>
          <w:spacing w:val="-4"/>
        </w:rPr>
        <w:t>exception prévue ne s</w:t>
      </w:r>
      <w:r w:rsidR="00012CFE" w:rsidRPr="00A62004">
        <w:rPr>
          <w:spacing w:val="-4"/>
        </w:rPr>
        <w:t>’</w:t>
      </w:r>
      <w:r w:rsidRPr="00A62004">
        <w:rPr>
          <w:spacing w:val="-4"/>
        </w:rPr>
        <w:t>applique.</w:t>
      </w:r>
    </w:p>
    <w:p w14:paraId="08D3E308" w14:textId="3A79413D" w:rsidR="0082568F" w:rsidRPr="00D43FA1" w:rsidRDefault="0082568F" w:rsidP="007C7B00">
      <w:pPr>
        <w:pStyle w:val="Text"/>
      </w:pPr>
      <w:r>
        <w:t>Une estimation ex ante de l</w:t>
      </w:r>
      <w:r w:rsidR="00012CFE">
        <w:t>’</w:t>
      </w:r>
      <w:r>
        <w:t>Office fédéral de la statistique s</w:t>
      </w:r>
      <w:r w:rsidR="00012CFE">
        <w:t>’</w:t>
      </w:r>
      <w:r>
        <w:t>est traduite par des charges d’exécution exceptionnelles (frais de transformation) d</w:t>
      </w:r>
      <w:r w:rsidR="00012CFE">
        <w:t>’</w:t>
      </w:r>
      <w:r>
        <w:t>environ 9 280 000</w:t>
      </w:r>
      <w:r w:rsidR="00012CFE">
        <w:t> </w:t>
      </w:r>
      <w:r>
        <w:t>euros et des charges d’exécution annuelles supplémentaires d</w:t>
      </w:r>
      <w:r w:rsidR="00012CFE">
        <w:t>’</w:t>
      </w:r>
      <w:r>
        <w:t>environ 8 160 000</w:t>
      </w:r>
      <w:r w:rsidR="00012CFE">
        <w:t> </w:t>
      </w:r>
      <w:r>
        <w:t>euros. L</w:t>
      </w:r>
      <w:r w:rsidR="00012CFE">
        <w:t>’</w:t>
      </w:r>
      <w:r>
        <w:t>Office fédéral de la statistique estime que les deux nouvelles obligations d</w:t>
      </w:r>
      <w:r w:rsidR="00012CFE">
        <w:t>’</w:t>
      </w:r>
      <w:r>
        <w:t>information envisagées - la déclaration écrite ou électronique en cas de renonciation à une barrière fonctionnelle conformément à l</w:t>
      </w:r>
      <w:r w:rsidR="00012CFE">
        <w:t>’</w:t>
      </w:r>
      <w:r>
        <w:t>article</w:t>
      </w:r>
      <w:r w:rsidR="00012CFE">
        <w:t> </w:t>
      </w:r>
      <w:r>
        <w:t>6a, paragraphe</w:t>
      </w:r>
      <w:r w:rsidR="00012CFE">
        <w:t> </w:t>
      </w:r>
      <w:r>
        <w:t>3 et l</w:t>
      </w:r>
      <w:r w:rsidR="00012CFE">
        <w:t>’</w:t>
      </w:r>
      <w:r>
        <w:t>obligation de fournir la preuve que tout transfert de MOAH est exclu conformément à l</w:t>
      </w:r>
      <w:r w:rsidR="00012CFE">
        <w:t>’</w:t>
      </w:r>
      <w:r>
        <w:t>article</w:t>
      </w:r>
      <w:r w:rsidR="00012CFE">
        <w:t> </w:t>
      </w:r>
      <w:r>
        <w:t>6a, paragraphe</w:t>
      </w:r>
      <w:r w:rsidR="00012CFE">
        <w:t> </w:t>
      </w:r>
      <w:r>
        <w:t>5 - n</w:t>
      </w:r>
      <w:r w:rsidR="00012CFE">
        <w:t>’</w:t>
      </w:r>
      <w:r>
        <w:t xml:space="preserve">entraînent que des coûts mineurs. </w:t>
      </w:r>
    </w:p>
    <w:p w14:paraId="43B9512B" w14:textId="77777777" w:rsidR="006B7BFE" w:rsidRPr="00D43FA1" w:rsidRDefault="006B7BFE" w:rsidP="0070360F">
      <w:pPr>
        <w:pStyle w:val="Text"/>
        <w:keepNext/>
        <w:keepLines/>
      </w:pPr>
      <w:r>
        <w:rPr>
          <w:b/>
          <w:bCs/>
        </w:rPr>
        <w:t>Tableau </w:t>
      </w:r>
      <w:proofErr w:type="gramStart"/>
      <w:r>
        <w:rPr>
          <w:b/>
          <w:bCs/>
        </w:rPr>
        <w:t>1:</w:t>
      </w:r>
      <w:proofErr w:type="gramEnd"/>
      <w:r>
        <w:rPr>
          <w:b/>
          <w:bCs/>
        </w:rPr>
        <w:t xml:space="preserve"> Résumé des charges d’exécution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A62004" w14:paraId="720AC6FB" w14:textId="77777777" w:rsidTr="00295A54">
        <w:tc>
          <w:tcPr>
            <w:tcW w:w="1530" w:type="dxa"/>
          </w:tcPr>
          <w:p w14:paraId="376BBF5B" w14:textId="103FC018" w:rsidR="0082568F" w:rsidRPr="00A62004" w:rsidRDefault="0082568F" w:rsidP="0070360F">
            <w:pPr>
              <w:pStyle w:val="Text"/>
              <w:keepNext/>
              <w:keepLines/>
              <w:jc w:val="center"/>
              <w:rPr>
                <w:b/>
                <w:spacing w:val="-4"/>
              </w:rPr>
            </w:pPr>
            <w:proofErr w:type="spellStart"/>
            <w:r w:rsidRPr="00A62004">
              <w:rPr>
                <w:b/>
                <w:spacing w:val="-4"/>
              </w:rPr>
              <w:t>Réglemen</w:t>
            </w:r>
            <w:r w:rsidR="00A62004">
              <w:rPr>
                <w:b/>
                <w:spacing w:val="-4"/>
              </w:rPr>
              <w:t>-</w:t>
            </w:r>
            <w:r w:rsidRPr="00A62004">
              <w:rPr>
                <w:b/>
                <w:spacing w:val="-4"/>
              </w:rPr>
              <w:t>tation</w:t>
            </w:r>
            <w:proofErr w:type="spellEnd"/>
          </w:p>
        </w:tc>
        <w:tc>
          <w:tcPr>
            <w:tcW w:w="3470" w:type="dxa"/>
          </w:tcPr>
          <w:p w14:paraId="3B98CCA4" w14:textId="7D3AD5E5" w:rsidR="0082568F" w:rsidRPr="00A62004" w:rsidRDefault="0082568F" w:rsidP="0070360F">
            <w:pPr>
              <w:pStyle w:val="Text"/>
              <w:keepNext/>
              <w:keepLines/>
              <w:jc w:val="center"/>
              <w:rPr>
                <w:b/>
                <w:spacing w:val="-4"/>
              </w:rPr>
            </w:pPr>
            <w:r w:rsidRPr="00A62004">
              <w:rPr>
                <w:b/>
                <w:spacing w:val="-4"/>
              </w:rPr>
              <w:t>Spécification ou obligation d</w:t>
            </w:r>
            <w:r w:rsidR="00012CFE" w:rsidRPr="00A62004">
              <w:rPr>
                <w:b/>
                <w:spacing w:val="-4"/>
              </w:rPr>
              <w:t>’</w:t>
            </w:r>
            <w:r w:rsidRPr="00A62004">
              <w:rPr>
                <w:b/>
                <w:spacing w:val="-4"/>
              </w:rPr>
              <w:t>information</w:t>
            </w:r>
          </w:p>
        </w:tc>
        <w:tc>
          <w:tcPr>
            <w:tcW w:w="1912" w:type="dxa"/>
          </w:tcPr>
          <w:p w14:paraId="6FEF8D76" w14:textId="77777777" w:rsidR="0082568F" w:rsidRPr="00A62004" w:rsidRDefault="0082568F" w:rsidP="0070360F">
            <w:pPr>
              <w:pStyle w:val="Text"/>
              <w:keepNext/>
              <w:keepLines/>
              <w:jc w:val="center"/>
              <w:rPr>
                <w:b/>
                <w:spacing w:val="-4"/>
              </w:rPr>
            </w:pPr>
            <w:r w:rsidRPr="00A62004">
              <w:rPr>
                <w:b/>
                <w:spacing w:val="-4"/>
              </w:rPr>
              <w:t xml:space="preserve">Solde des frais annuels </w:t>
            </w:r>
          </w:p>
        </w:tc>
        <w:tc>
          <w:tcPr>
            <w:tcW w:w="2093" w:type="dxa"/>
          </w:tcPr>
          <w:p w14:paraId="5412D88F" w14:textId="77777777" w:rsidR="0082568F" w:rsidRPr="00A62004" w:rsidRDefault="00295A54" w:rsidP="0070360F">
            <w:pPr>
              <w:pStyle w:val="Text"/>
              <w:keepNext/>
              <w:keepLines/>
              <w:jc w:val="center"/>
              <w:rPr>
                <w:b/>
                <w:spacing w:val="-4"/>
              </w:rPr>
            </w:pPr>
            <w:r w:rsidRPr="00A62004">
              <w:rPr>
                <w:b/>
                <w:spacing w:val="-4"/>
              </w:rPr>
              <w:t xml:space="preserve">Frais de conversion exceptionnels </w:t>
            </w:r>
          </w:p>
        </w:tc>
      </w:tr>
      <w:tr w:rsidR="0082568F" w:rsidRPr="00A62004" w14:paraId="28659270" w14:textId="77777777" w:rsidTr="00295A54">
        <w:tc>
          <w:tcPr>
            <w:tcW w:w="1530" w:type="dxa"/>
          </w:tcPr>
          <w:p w14:paraId="22806DA4" w14:textId="2D7CD670" w:rsidR="0082568F" w:rsidRPr="00A62004" w:rsidRDefault="0082568F" w:rsidP="00E24BD3">
            <w:pPr>
              <w:pStyle w:val="Text"/>
              <w:jc w:val="left"/>
              <w:rPr>
                <w:spacing w:val="-4"/>
              </w:rPr>
            </w:pPr>
            <w:r w:rsidRPr="00A62004">
              <w:rPr>
                <w:spacing w:val="-4"/>
              </w:rPr>
              <w:t>Article 6a, paragraphes 1 et 4</w:t>
            </w:r>
          </w:p>
        </w:tc>
        <w:tc>
          <w:tcPr>
            <w:tcW w:w="3470" w:type="dxa"/>
          </w:tcPr>
          <w:p w14:paraId="33FAFA21" w14:textId="77777777" w:rsidR="0082568F" w:rsidRPr="00A62004" w:rsidRDefault="0082568F" w:rsidP="00295A54">
            <w:pPr>
              <w:pStyle w:val="Text"/>
              <w:jc w:val="left"/>
              <w:rPr>
                <w:spacing w:val="-4"/>
              </w:rPr>
            </w:pPr>
            <w:r w:rsidRPr="00A62004">
              <w:rPr>
                <w:spacing w:val="-4"/>
              </w:rPr>
              <w:t>Barrière fonctionnelle pour les biens destinés à entrer en contact avec des denrées alimentaires en vieux papiers</w:t>
            </w:r>
          </w:p>
        </w:tc>
        <w:tc>
          <w:tcPr>
            <w:tcW w:w="1912" w:type="dxa"/>
          </w:tcPr>
          <w:p w14:paraId="3E5A9DC1" w14:textId="0C2F9CD0" w:rsidR="0082568F" w:rsidRPr="00A62004" w:rsidRDefault="000F6183" w:rsidP="00295A54">
            <w:pPr>
              <w:pStyle w:val="Text"/>
              <w:jc w:val="left"/>
              <w:rPr>
                <w:spacing w:val="-4"/>
              </w:rPr>
            </w:pPr>
            <w:r w:rsidRPr="00A62004">
              <w:rPr>
                <w:spacing w:val="-4"/>
              </w:rPr>
              <w:t xml:space="preserve"> 8 160 000</w:t>
            </w:r>
            <w:r w:rsidR="00012CFE" w:rsidRPr="00A62004">
              <w:rPr>
                <w:spacing w:val="-4"/>
              </w:rPr>
              <w:t> </w:t>
            </w:r>
            <w:r w:rsidRPr="00A62004">
              <w:rPr>
                <w:spacing w:val="-4"/>
              </w:rPr>
              <w:t>EUR</w:t>
            </w:r>
          </w:p>
        </w:tc>
        <w:tc>
          <w:tcPr>
            <w:tcW w:w="2093" w:type="dxa"/>
          </w:tcPr>
          <w:p w14:paraId="3562BFD1" w14:textId="19832659" w:rsidR="0082568F" w:rsidRPr="00A62004" w:rsidRDefault="000F6183" w:rsidP="00295A54">
            <w:pPr>
              <w:pStyle w:val="Text"/>
              <w:jc w:val="left"/>
              <w:rPr>
                <w:spacing w:val="-4"/>
              </w:rPr>
            </w:pPr>
            <w:r w:rsidRPr="00A62004">
              <w:rPr>
                <w:spacing w:val="-4"/>
              </w:rPr>
              <w:t>9 280 000</w:t>
            </w:r>
            <w:r w:rsidR="00012CFE" w:rsidRPr="00A62004">
              <w:rPr>
                <w:spacing w:val="-4"/>
              </w:rPr>
              <w:t> </w:t>
            </w:r>
            <w:r w:rsidRPr="00A62004">
              <w:rPr>
                <w:spacing w:val="-4"/>
              </w:rPr>
              <w:t>EUR</w:t>
            </w:r>
          </w:p>
        </w:tc>
      </w:tr>
      <w:tr w:rsidR="0082568F" w:rsidRPr="00A62004" w14:paraId="0106BED3" w14:textId="77777777" w:rsidTr="00295A54">
        <w:tc>
          <w:tcPr>
            <w:tcW w:w="1530" w:type="dxa"/>
          </w:tcPr>
          <w:p w14:paraId="5BAFA089" w14:textId="0EFB06F8" w:rsidR="0082568F" w:rsidRPr="00A62004" w:rsidRDefault="0082568F" w:rsidP="00E24BD3">
            <w:pPr>
              <w:pStyle w:val="Text"/>
              <w:jc w:val="left"/>
              <w:rPr>
                <w:spacing w:val="-4"/>
              </w:rPr>
            </w:pPr>
            <w:r w:rsidRPr="00A62004">
              <w:rPr>
                <w:spacing w:val="-4"/>
              </w:rPr>
              <w:t>Article 6a, paragraphe 3</w:t>
            </w:r>
          </w:p>
        </w:tc>
        <w:tc>
          <w:tcPr>
            <w:tcW w:w="3470" w:type="dxa"/>
          </w:tcPr>
          <w:p w14:paraId="7BAE9D67" w14:textId="77777777" w:rsidR="0082568F" w:rsidRPr="00A62004" w:rsidRDefault="0082568F" w:rsidP="00295A54">
            <w:pPr>
              <w:pStyle w:val="Text"/>
              <w:jc w:val="left"/>
              <w:rPr>
                <w:spacing w:val="-4"/>
              </w:rPr>
            </w:pPr>
            <w:r w:rsidRPr="00A62004">
              <w:rPr>
                <w:spacing w:val="-4"/>
              </w:rPr>
              <w:t>Déclaration écrite ou électronique sur la renonciation à des barrières fonctionnelles</w:t>
            </w:r>
          </w:p>
        </w:tc>
        <w:tc>
          <w:tcPr>
            <w:tcW w:w="1912" w:type="dxa"/>
          </w:tcPr>
          <w:p w14:paraId="74D97F5C" w14:textId="77777777" w:rsidR="0082568F" w:rsidRPr="00A62004" w:rsidRDefault="0082568F" w:rsidP="00295A54">
            <w:pPr>
              <w:pStyle w:val="Text"/>
              <w:jc w:val="left"/>
              <w:rPr>
                <w:spacing w:val="-4"/>
              </w:rPr>
            </w:pPr>
            <w:r w:rsidRPr="00A62004">
              <w:rPr>
                <w:spacing w:val="-4"/>
              </w:rPr>
              <w:t>Augmentation mineure des frais</w:t>
            </w:r>
          </w:p>
        </w:tc>
        <w:tc>
          <w:tcPr>
            <w:tcW w:w="2093" w:type="dxa"/>
          </w:tcPr>
          <w:p w14:paraId="56F7F1DE" w14:textId="77777777" w:rsidR="0082568F" w:rsidRPr="00A62004" w:rsidRDefault="0082568F" w:rsidP="00295A54">
            <w:pPr>
              <w:pStyle w:val="Text"/>
              <w:jc w:val="left"/>
              <w:rPr>
                <w:spacing w:val="-4"/>
              </w:rPr>
            </w:pPr>
            <w:r w:rsidRPr="00A62004">
              <w:rPr>
                <w:spacing w:val="-4"/>
              </w:rPr>
              <w:t>-</w:t>
            </w:r>
          </w:p>
        </w:tc>
      </w:tr>
      <w:tr w:rsidR="0082568F" w:rsidRPr="00A62004" w14:paraId="3E200EA4" w14:textId="77777777" w:rsidTr="00295A54">
        <w:tc>
          <w:tcPr>
            <w:tcW w:w="1530" w:type="dxa"/>
          </w:tcPr>
          <w:p w14:paraId="7AD34AB6" w14:textId="3F27C1E4" w:rsidR="0082568F" w:rsidRPr="00A62004" w:rsidRDefault="0082568F" w:rsidP="00E24BD3">
            <w:pPr>
              <w:pStyle w:val="Text"/>
              <w:jc w:val="left"/>
              <w:rPr>
                <w:spacing w:val="-4"/>
              </w:rPr>
            </w:pPr>
            <w:r w:rsidRPr="00A62004">
              <w:rPr>
                <w:spacing w:val="-4"/>
              </w:rPr>
              <w:t>Article 6a, paragraphe 5</w:t>
            </w:r>
          </w:p>
        </w:tc>
        <w:tc>
          <w:tcPr>
            <w:tcW w:w="3470" w:type="dxa"/>
          </w:tcPr>
          <w:p w14:paraId="16E632D0" w14:textId="1FFE028F" w:rsidR="0082568F" w:rsidRPr="00A62004" w:rsidRDefault="0082568F" w:rsidP="00295A54">
            <w:pPr>
              <w:pStyle w:val="Text"/>
              <w:jc w:val="left"/>
              <w:rPr>
                <w:spacing w:val="-4"/>
              </w:rPr>
            </w:pPr>
            <w:r w:rsidRPr="00A62004">
              <w:rPr>
                <w:spacing w:val="-4"/>
              </w:rPr>
              <w:t>Obligation de fournir la preuve que tout transfert de MOAH est exclu conformément à l’article</w:t>
            </w:r>
            <w:r w:rsidR="00012CFE" w:rsidRPr="00A62004">
              <w:rPr>
                <w:spacing w:val="-4"/>
              </w:rPr>
              <w:t> </w:t>
            </w:r>
            <w:r w:rsidRPr="00A62004">
              <w:rPr>
                <w:spacing w:val="-4"/>
              </w:rPr>
              <w:t>6a, paragraphes</w:t>
            </w:r>
            <w:r w:rsidR="00012CFE" w:rsidRPr="00A62004">
              <w:rPr>
                <w:spacing w:val="-4"/>
              </w:rPr>
              <w:t> </w:t>
            </w:r>
            <w:r w:rsidRPr="00A62004">
              <w:rPr>
                <w:spacing w:val="-4"/>
              </w:rPr>
              <w:t>1, 2, 4</w:t>
            </w:r>
          </w:p>
        </w:tc>
        <w:tc>
          <w:tcPr>
            <w:tcW w:w="1912" w:type="dxa"/>
          </w:tcPr>
          <w:p w14:paraId="18381CF9" w14:textId="77777777" w:rsidR="0082568F" w:rsidRPr="00A62004" w:rsidRDefault="0082568F" w:rsidP="00295A54">
            <w:pPr>
              <w:pStyle w:val="Text"/>
              <w:jc w:val="left"/>
              <w:rPr>
                <w:spacing w:val="-4"/>
              </w:rPr>
            </w:pPr>
            <w:r w:rsidRPr="00A62004">
              <w:rPr>
                <w:spacing w:val="-4"/>
              </w:rPr>
              <w:t>Augmentation mineure des frais</w:t>
            </w:r>
          </w:p>
        </w:tc>
        <w:tc>
          <w:tcPr>
            <w:tcW w:w="2093" w:type="dxa"/>
          </w:tcPr>
          <w:p w14:paraId="3BBC33E8" w14:textId="77777777" w:rsidR="0082568F" w:rsidRPr="00A62004" w:rsidRDefault="0082568F" w:rsidP="00295A54">
            <w:pPr>
              <w:pStyle w:val="Text"/>
              <w:jc w:val="left"/>
              <w:rPr>
                <w:spacing w:val="-4"/>
              </w:rPr>
            </w:pPr>
            <w:r w:rsidRPr="00A62004">
              <w:rPr>
                <w:spacing w:val="-4"/>
              </w:rPr>
              <w:t>-</w:t>
            </w:r>
          </w:p>
        </w:tc>
      </w:tr>
      <w:tr w:rsidR="0082568F" w:rsidRPr="00A62004" w14:paraId="2CE5F889" w14:textId="77777777" w:rsidTr="00295A54">
        <w:tc>
          <w:tcPr>
            <w:tcW w:w="1530" w:type="dxa"/>
            <w:shd w:val="clear" w:color="auto" w:fill="D9D9D9" w:themeFill="background1" w:themeFillShade="D9"/>
          </w:tcPr>
          <w:p w14:paraId="6EDE8EBB" w14:textId="77777777" w:rsidR="0082568F" w:rsidRPr="00A62004"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A62004" w:rsidRDefault="0082568F" w:rsidP="00295A54">
            <w:pPr>
              <w:pStyle w:val="Text"/>
              <w:jc w:val="left"/>
              <w:rPr>
                <w:b/>
                <w:spacing w:val="-4"/>
              </w:rPr>
            </w:pPr>
            <w:r w:rsidRPr="00A62004">
              <w:rPr>
                <w:b/>
                <w:spacing w:val="-4"/>
              </w:rPr>
              <w:t xml:space="preserve">Total </w:t>
            </w:r>
          </w:p>
        </w:tc>
        <w:tc>
          <w:tcPr>
            <w:tcW w:w="1912" w:type="dxa"/>
            <w:shd w:val="clear" w:color="auto" w:fill="D9D9D9" w:themeFill="background1" w:themeFillShade="D9"/>
          </w:tcPr>
          <w:p w14:paraId="58ED3073" w14:textId="0A1CE269" w:rsidR="0082568F" w:rsidRPr="00A62004" w:rsidRDefault="00AD0A9D" w:rsidP="00295A54">
            <w:pPr>
              <w:pStyle w:val="Text"/>
              <w:jc w:val="left"/>
              <w:rPr>
                <w:b/>
                <w:spacing w:val="-4"/>
              </w:rPr>
            </w:pPr>
            <w:r w:rsidRPr="00A62004">
              <w:rPr>
                <w:b/>
                <w:spacing w:val="-4"/>
              </w:rPr>
              <w:t xml:space="preserve"> 8 160 000</w:t>
            </w:r>
            <w:r w:rsidR="00012CFE" w:rsidRPr="00A62004">
              <w:rPr>
                <w:b/>
                <w:spacing w:val="-4"/>
              </w:rPr>
              <w:t> </w:t>
            </w:r>
            <w:r w:rsidRPr="00A62004">
              <w:rPr>
                <w:b/>
                <w:spacing w:val="-4"/>
              </w:rPr>
              <w:t>EUR</w:t>
            </w:r>
          </w:p>
        </w:tc>
        <w:tc>
          <w:tcPr>
            <w:tcW w:w="2093" w:type="dxa"/>
            <w:shd w:val="clear" w:color="auto" w:fill="D9D9D9" w:themeFill="background1" w:themeFillShade="D9"/>
          </w:tcPr>
          <w:p w14:paraId="1E689341" w14:textId="11B92510" w:rsidR="0082568F" w:rsidRPr="00A62004" w:rsidRDefault="000F6183" w:rsidP="00295A54">
            <w:pPr>
              <w:pStyle w:val="Text"/>
              <w:jc w:val="left"/>
              <w:rPr>
                <w:b/>
                <w:spacing w:val="-4"/>
              </w:rPr>
            </w:pPr>
            <w:r w:rsidRPr="00A62004">
              <w:rPr>
                <w:b/>
                <w:spacing w:val="-4"/>
              </w:rPr>
              <w:t>9 280 000</w:t>
            </w:r>
            <w:r w:rsidR="00012CFE" w:rsidRPr="00A62004">
              <w:rPr>
                <w:b/>
                <w:spacing w:val="-4"/>
              </w:rPr>
              <w:t> </w:t>
            </w:r>
            <w:r w:rsidRPr="00A62004">
              <w:rPr>
                <w:b/>
                <w:spacing w:val="-4"/>
              </w:rPr>
              <w:t>EUR</w:t>
            </w:r>
          </w:p>
        </w:tc>
      </w:tr>
    </w:tbl>
    <w:p w14:paraId="0D7C6408" w14:textId="77777777" w:rsidR="006B7BFE" w:rsidRPr="00D43FA1" w:rsidRDefault="006B7BFE" w:rsidP="00612652">
      <w:pPr>
        <w:pStyle w:val="Text"/>
      </w:pPr>
    </w:p>
    <w:p w14:paraId="78164C96" w14:textId="2F45F88C" w:rsidR="009140F6" w:rsidRPr="00D43FA1" w:rsidRDefault="0082568F" w:rsidP="0070360F">
      <w:pPr>
        <w:pStyle w:val="Text"/>
        <w:keepNext/>
        <w:keepLines/>
        <w:tabs>
          <w:tab w:val="left" w:pos="0"/>
        </w:tabs>
      </w:pPr>
      <w:r>
        <w:lastRenderedPageBreak/>
        <w:t>Le résultat de l</w:t>
      </w:r>
      <w:r w:rsidR="00012CFE">
        <w:t>’</w:t>
      </w:r>
      <w:r>
        <w:t xml:space="preserve">estimation ex ante repose sur les principes </w:t>
      </w:r>
      <w:proofErr w:type="gramStart"/>
      <w:r>
        <w:t>suivants:</w:t>
      </w:r>
      <w:proofErr w:type="gramEnd"/>
    </w:p>
    <w:p w14:paraId="0A8513DA" w14:textId="2C162D7A" w:rsidR="006B7BFE" w:rsidRPr="00D43FA1" w:rsidRDefault="006B7BFE" w:rsidP="0070360F">
      <w:pPr>
        <w:pStyle w:val="Text"/>
        <w:keepNext/>
        <w:keepLines/>
        <w:tabs>
          <w:tab w:val="left" w:pos="0"/>
        </w:tabs>
      </w:pPr>
      <w:r>
        <w:t>L</w:t>
      </w:r>
      <w:r w:rsidR="00012CFE">
        <w:t>’</w:t>
      </w:r>
      <w:r>
        <w:t>estimation ex</w:t>
      </w:r>
      <w:r w:rsidR="00012CFE">
        <w:t xml:space="preserve"> </w:t>
      </w:r>
      <w:r>
        <w:t>ante concerne deux obligations d</w:t>
      </w:r>
      <w:r w:rsidR="00012CFE">
        <w:t>’</w:t>
      </w:r>
      <w:r>
        <w:t>information ainsi qu</w:t>
      </w:r>
      <w:r w:rsidR="00012CFE">
        <w:t>’</w:t>
      </w:r>
      <w:r>
        <w:t>une spécification supplémentaire pour le secteur économique, qui proviennent toutes du nouvel article</w:t>
      </w:r>
      <w:r w:rsidR="00012CFE">
        <w:t> </w:t>
      </w:r>
      <w:r>
        <w:t xml:space="preserve">6a du décret relatif aux biens de </w:t>
      </w:r>
      <w:proofErr w:type="gramStart"/>
      <w:r>
        <w:t>consommation:</w:t>
      </w:r>
      <w:proofErr w:type="gramEnd"/>
      <w:r>
        <w:t xml:space="preserve"> </w:t>
      </w:r>
    </w:p>
    <w:p w14:paraId="2E574154" w14:textId="31802B44" w:rsidR="006B7BFE" w:rsidRPr="00D43FA1" w:rsidRDefault="006B7BFE" w:rsidP="0070360F">
      <w:pPr>
        <w:pStyle w:val="Text"/>
        <w:keepNext/>
        <w:keepLines/>
        <w:numPr>
          <w:ilvl w:val="0"/>
          <w:numId w:val="2"/>
        </w:numPr>
        <w:ind w:left="0" w:firstLine="0"/>
      </w:pPr>
      <w:r>
        <w:t>Les biens destinés à entrer en contact avec des denrées alimentaires à base de vieux papiers ne peuvent être fabriqués et mis en circulation qu</w:t>
      </w:r>
      <w:r w:rsidR="00012CFE">
        <w:t>’</w:t>
      </w:r>
      <w:r>
        <w:t>avec une barrière fonctionnelle (paragraphe</w:t>
      </w:r>
      <w:r w:rsidR="00012CFE">
        <w:t> </w:t>
      </w:r>
      <w:r>
        <w:t>1, phrase</w:t>
      </w:r>
      <w:r w:rsidR="00012CFE">
        <w:t> </w:t>
      </w:r>
      <w:proofErr w:type="gramStart"/>
      <w:r>
        <w:t>1;</w:t>
      </w:r>
      <w:proofErr w:type="gramEnd"/>
      <w:r>
        <w:t xml:space="preserve"> paragraphe</w:t>
      </w:r>
      <w:r w:rsidR="00012CFE">
        <w:t> </w:t>
      </w:r>
      <w:r>
        <w:t>4). Des exceptions à cette règle s</w:t>
      </w:r>
      <w:r w:rsidR="00012CFE">
        <w:t>’</w:t>
      </w:r>
      <w:r>
        <w:t xml:space="preserve">appliquent si </w:t>
      </w:r>
    </w:p>
    <w:p w14:paraId="6471F0A8" w14:textId="59EAB380" w:rsidR="006B7BFE" w:rsidRPr="00D43FA1" w:rsidRDefault="000F1682" w:rsidP="00557D18">
      <w:pPr>
        <w:pStyle w:val="Text"/>
        <w:numPr>
          <w:ilvl w:val="0"/>
          <w:numId w:val="4"/>
        </w:numPr>
        <w:ind w:left="1134" w:hanging="425"/>
      </w:pPr>
      <w:proofErr w:type="gramStart"/>
      <w:r>
        <w:t>en</w:t>
      </w:r>
      <w:proofErr w:type="gramEnd"/>
      <w:r>
        <w:t xml:space="preserve"> particulier, la teneur en MOAH est si faible dans le bien en contact avec des denrées alimentaires qu’un transfert aux aliments n’a pas lieu (paragraphe</w:t>
      </w:r>
      <w:r w:rsidR="00012CFE">
        <w:t> </w:t>
      </w:r>
      <w:r>
        <w:t>2, phrase</w:t>
      </w:r>
      <w:r w:rsidR="00012CFE">
        <w:t> </w:t>
      </w:r>
      <w:r>
        <w:t>1)</w:t>
      </w:r>
      <w:r w:rsidR="00012CFE">
        <w:t>;</w:t>
      </w:r>
    </w:p>
    <w:p w14:paraId="022A3F44" w14:textId="70F8AE79" w:rsidR="006B7BFE" w:rsidRPr="00D43FA1" w:rsidRDefault="006B7BFE" w:rsidP="00557D18">
      <w:pPr>
        <w:pStyle w:val="Text"/>
        <w:numPr>
          <w:ilvl w:val="0"/>
          <w:numId w:val="4"/>
        </w:numPr>
        <w:ind w:left="1134" w:hanging="425"/>
      </w:pPr>
      <w:proofErr w:type="gramStart"/>
      <w:r>
        <w:t>d</w:t>
      </w:r>
      <w:r w:rsidR="00012CFE">
        <w:t>’</w:t>
      </w:r>
      <w:r>
        <w:t>autres</w:t>
      </w:r>
      <w:proofErr w:type="gramEnd"/>
      <w:r>
        <w:t xml:space="preserve"> mesures appropriées ont été prises pour empêcher tout transfert de MOAH à l</w:t>
      </w:r>
      <w:r w:rsidR="00012CFE">
        <w:t>’</w:t>
      </w:r>
      <w:r>
        <w:t>aliment (paragraphe</w:t>
      </w:r>
      <w:r w:rsidR="00012CFE">
        <w:t> </w:t>
      </w:r>
      <w:r>
        <w:t>2, phrase</w:t>
      </w:r>
      <w:r w:rsidR="00012CFE">
        <w:t> </w:t>
      </w:r>
      <w:r>
        <w:t>2).</w:t>
      </w:r>
    </w:p>
    <w:p w14:paraId="29C9CC33" w14:textId="2F0B9256" w:rsidR="006B7BFE" w:rsidRPr="00D43FA1" w:rsidRDefault="006B7BFE" w:rsidP="00557D18">
      <w:pPr>
        <w:pStyle w:val="Text"/>
        <w:numPr>
          <w:ilvl w:val="0"/>
          <w:numId w:val="3"/>
        </w:numPr>
        <w:ind w:left="0" w:firstLine="0"/>
      </w:pPr>
      <w:r>
        <w:t>Si l</w:t>
      </w:r>
      <w:r w:rsidR="00012CFE">
        <w:t>’</w:t>
      </w:r>
      <w:r>
        <w:t>exploitant du secteur alimentaire utilise lui-même une barrière fonctionnelle (sac intermédiaire ou similaire) ou prend d</w:t>
      </w:r>
      <w:r w:rsidR="00012CFE">
        <w:t>’</w:t>
      </w:r>
      <w:r>
        <w:t>autres mesures pour protéger contre tout transfert de MOAH à l</w:t>
      </w:r>
      <w:r w:rsidR="00012CFE">
        <w:t>’</w:t>
      </w:r>
      <w:r>
        <w:t>aliment et qu</w:t>
      </w:r>
      <w:r w:rsidR="00012CFE">
        <w:t>’</w:t>
      </w:r>
      <w:r>
        <w:t>il renonce donc au fait que l</w:t>
      </w:r>
      <w:r w:rsidR="00012CFE">
        <w:t>e</w:t>
      </w:r>
      <w:r>
        <w:t xml:space="preserve"> fabricant ou la personne procédant à la commercialisation du bien en contact avec des denrées alimentaires l</w:t>
      </w:r>
      <w:r w:rsidR="00012CFE">
        <w:t>’</w:t>
      </w:r>
      <w:r>
        <w:t>équipe d</w:t>
      </w:r>
      <w:r w:rsidR="00012CFE">
        <w:t>’</w:t>
      </w:r>
      <w:r>
        <w:t>une barrière fonctionnelle, il soumet une déclaration écrite ou électronique au fabricant ou à la personne procédant à la commercialisation du bien en contact avec des denrées alimentaires avant sa livraison (paragraphe</w:t>
      </w:r>
      <w:r w:rsidR="00012CFE">
        <w:t> </w:t>
      </w:r>
      <w:r>
        <w:t xml:space="preserve">3). </w:t>
      </w:r>
    </w:p>
    <w:p w14:paraId="3DAB98B9" w14:textId="2D4BEE54" w:rsidR="006B7BFE" w:rsidRPr="00D43FA1" w:rsidRDefault="006B7BFE" w:rsidP="0070360F">
      <w:pPr>
        <w:pStyle w:val="Text"/>
        <w:keepNext/>
        <w:keepLines/>
        <w:numPr>
          <w:ilvl w:val="0"/>
          <w:numId w:val="3"/>
        </w:numPr>
        <w:ind w:left="709" w:hanging="709"/>
      </w:pPr>
      <w:r>
        <w:t>Obligation de fournir la preuve qu’un transfert de MOAH est exclu (paragraphe</w:t>
      </w:r>
      <w:r w:rsidR="00012CFE">
        <w:t> </w:t>
      </w:r>
      <w:r>
        <w:t xml:space="preserve">5). </w:t>
      </w:r>
    </w:p>
    <w:p w14:paraId="7B0EB3AA" w14:textId="6E8CD1AE" w:rsidR="006B7BFE" w:rsidRPr="00D43FA1" w:rsidRDefault="000447FD" w:rsidP="009140F6">
      <w:pPr>
        <w:pStyle w:val="Text"/>
      </w:pPr>
      <w:r>
        <w:t>La présente estimation a suivi le</w:t>
      </w:r>
      <w:proofErr w:type="gramStart"/>
      <w:r>
        <w:t xml:space="preserve"> «Guide</w:t>
      </w:r>
      <w:proofErr w:type="gramEnd"/>
      <w:r>
        <w:t xml:space="preserve"> de détermination et de représentation des charges d</w:t>
      </w:r>
      <w:r w:rsidR="00012CFE">
        <w:t>’</w:t>
      </w:r>
      <w:r>
        <w:t>exécution dans les projets de règlements du gouvernement fédéral»</w:t>
      </w:r>
      <w:r w:rsidR="006B7BFE" w:rsidRPr="00D43FA1">
        <w:rPr>
          <w:rStyle w:val="FootnoteReference"/>
        </w:rPr>
        <w:footnoteReference w:id="2"/>
      </w:r>
      <w:r>
        <w:t>. Les entreprises et les instituts de recherche ont été interrogés par téléphone pour estimer le nombre de cas ainsi que le temps et les dépenses matérielles encouru</w:t>
      </w:r>
      <w:r w:rsidR="00012CFE">
        <w:t>e</w:t>
      </w:r>
      <w:r>
        <w:t xml:space="preserve">s. Le calcul du nombre de cas comprend des données issues des statistiques officielles. </w:t>
      </w:r>
    </w:p>
    <w:p w14:paraId="7E0F8561" w14:textId="4AAB2740" w:rsidR="006B7BFE" w:rsidRPr="007E01A6" w:rsidRDefault="006B7BFE" w:rsidP="0070360F">
      <w:pPr>
        <w:pStyle w:val="Text"/>
        <w:keepNext/>
        <w:keepLines/>
        <w:rPr>
          <w:b/>
          <w:bCs/>
          <w:u w:val="single"/>
        </w:rPr>
      </w:pPr>
      <w:r>
        <w:rPr>
          <w:b/>
          <w:bCs/>
          <w:u w:val="single"/>
        </w:rPr>
        <w:t>Barrière fonctionnelle pour les biens destinés à entrer en contact avec des denrées alimentaires selon l’article 6a, paragraphes 1 et 4</w:t>
      </w:r>
    </w:p>
    <w:p w14:paraId="347CC78F" w14:textId="77777777" w:rsidR="006B7BFE" w:rsidRPr="00D43FA1" w:rsidRDefault="006B7BFE" w:rsidP="0070360F">
      <w:pPr>
        <w:pStyle w:val="Text"/>
        <w:keepNext/>
        <w:keepLines/>
      </w:pPr>
      <w:r>
        <w:t xml:space="preserve">a) Charges de transformation exceptionnelles </w:t>
      </w:r>
    </w:p>
    <w:p w14:paraId="32009364" w14:textId="2244BA43" w:rsidR="006B7BFE" w:rsidRPr="00D43FA1" w:rsidRDefault="006B7BFE" w:rsidP="009140F6">
      <w:pPr>
        <w:pStyle w:val="Text"/>
      </w:pPr>
      <w:r>
        <w:rPr>
          <w:i/>
          <w:iCs/>
        </w:rPr>
        <w:t>Les charges de transformation comprennent les frais de personnel et de matériel pour les contrôles initiaux des denrées alimentaires et des biens destinés à entrer en contact avec des denrées alimentaires ainsi que pour le développement, le contrôle et la mise en service d</w:t>
      </w:r>
      <w:r w:rsidR="00012CFE">
        <w:rPr>
          <w:i/>
          <w:iCs/>
        </w:rPr>
        <w:t>’</w:t>
      </w:r>
      <w:r>
        <w:rPr>
          <w:i/>
          <w:iCs/>
        </w:rPr>
        <w:t>emballages appropriés conformément à l’article</w:t>
      </w:r>
      <w:r w:rsidR="00012CFE">
        <w:rPr>
          <w:i/>
          <w:iCs/>
        </w:rPr>
        <w:t> </w:t>
      </w:r>
      <w:r>
        <w:rPr>
          <w:i/>
          <w:iCs/>
        </w:rPr>
        <w:t>6a</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iCs/>
          <w:color w:val="000000"/>
        </w:rPr>
        <w:lastRenderedPageBreak/>
        <w:t xml:space="preserve">Nombre de cas </w:t>
      </w:r>
    </w:p>
    <w:p w14:paraId="6D903E99" w14:textId="52283855" w:rsidR="006B7BFE" w:rsidRPr="00D43FA1" w:rsidRDefault="006B7BFE" w:rsidP="0070360F">
      <w:pPr>
        <w:pStyle w:val="Text"/>
        <w:keepNext/>
        <w:keepLines/>
        <w:rPr>
          <w:color w:val="000000"/>
        </w:rPr>
      </w:pPr>
      <w:r>
        <w:rPr>
          <w:color w:val="000000"/>
        </w:rPr>
        <w:t xml:space="preserve">Pour calculer le nombre de cas (= produits </w:t>
      </w:r>
      <w:proofErr w:type="gramStart"/>
      <w:r>
        <w:rPr>
          <w:color w:val="000000"/>
        </w:rPr>
        <w:t>concernés:</w:t>
      </w:r>
      <w:proofErr w:type="gramEnd"/>
      <w:r>
        <w:rPr>
          <w:color w:val="000000"/>
        </w:rPr>
        <w:t xml:space="preserve"> aliments plus biens entrant en contact avec des denrées alimentaires), les données obtenues à partir des entretiens et l</w:t>
      </w:r>
      <w:r w:rsidR="00012CFE">
        <w:rPr>
          <w:color w:val="000000"/>
        </w:rPr>
        <w:t>’</w:t>
      </w:r>
      <w:r>
        <w:rPr>
          <w:color w:val="000000"/>
        </w:rPr>
        <w:t>enquête sur la structure des coûts dans le secteur manufacturier ont été utilisées.</w:t>
      </w:r>
      <w:r w:rsidRPr="00D43FA1">
        <w:rPr>
          <w:rStyle w:val="FootnoteReference"/>
          <w:color w:val="000000"/>
        </w:rPr>
        <w:footnoteReference w:id="3"/>
      </w:r>
      <w:r>
        <w:rPr>
          <w:color w:val="000000"/>
          <w:vertAlign w:val="superscript"/>
        </w:rPr>
        <w:t xml:space="preserve"> </w:t>
      </w:r>
      <w:r>
        <w:rPr>
          <w:color w:val="000000"/>
        </w:rPr>
        <w:t>Sur la base des entretiens, des données sur le nombre de produits des différentes entreprises ont pu être obtenues. Les chiffres de vente des entreprises proviennent de sources accessibles au public. Sur la base de ces valeurs, le chiffre d</w:t>
      </w:r>
      <w:r w:rsidR="00012CFE">
        <w:rPr>
          <w:color w:val="000000"/>
        </w:rPr>
        <w:t>’</w:t>
      </w:r>
      <w:r>
        <w:rPr>
          <w:color w:val="000000"/>
        </w:rPr>
        <w:t>affaires par produit a été déterminé pour cinq entreprises, soit environ 2,5</w:t>
      </w:r>
      <w:r w:rsidR="00012CFE">
        <w:rPr>
          <w:color w:val="000000"/>
        </w:rPr>
        <w:t> </w:t>
      </w:r>
      <w:r>
        <w:rPr>
          <w:color w:val="000000"/>
        </w:rPr>
        <w:t>millions d</w:t>
      </w:r>
      <w:r w:rsidR="00012CFE">
        <w:rPr>
          <w:color w:val="000000"/>
        </w:rPr>
        <w:t>’</w:t>
      </w:r>
      <w:r>
        <w:rPr>
          <w:color w:val="000000"/>
        </w:rPr>
        <w:t>euros en moyenne. L</w:t>
      </w:r>
      <w:r w:rsidR="00012CFE">
        <w:rPr>
          <w:color w:val="000000"/>
        </w:rPr>
        <w:t>’</w:t>
      </w:r>
      <w:r>
        <w:rPr>
          <w:color w:val="000000"/>
        </w:rPr>
        <w:t>enquête sur la structure des coûts contient des informations sur le nombre et le chiffre d</w:t>
      </w:r>
      <w:r w:rsidR="00012CFE">
        <w:rPr>
          <w:color w:val="000000"/>
        </w:rPr>
        <w:t>’</w:t>
      </w:r>
      <w:r>
        <w:rPr>
          <w:color w:val="000000"/>
        </w:rPr>
        <w:t>affaires des entreprises dans les branches de l</w:t>
      </w:r>
      <w:r w:rsidR="00012CFE">
        <w:rPr>
          <w:color w:val="000000"/>
        </w:rPr>
        <w:t>’</w:t>
      </w:r>
      <w:r>
        <w:rPr>
          <w:color w:val="000000"/>
        </w:rPr>
        <w:t>industrie manufacturière (selon la nomenclature des branches d</w:t>
      </w:r>
      <w:r w:rsidR="00012CFE">
        <w:rPr>
          <w:color w:val="000000"/>
        </w:rPr>
        <w:t>’</w:t>
      </w:r>
      <w:r>
        <w:rPr>
          <w:color w:val="000000"/>
        </w:rPr>
        <w:t xml:space="preserve">activité, édition 2008). Sur la base des informations issues des entretiens, sept secteurs économiques concernés ont pu être </w:t>
      </w:r>
      <w:proofErr w:type="gramStart"/>
      <w:r>
        <w:rPr>
          <w:color w:val="000000"/>
        </w:rPr>
        <w:t>identifiés:</w:t>
      </w:r>
      <w:proofErr w:type="gramEnd"/>
      <w:r>
        <w:rPr>
          <w:color w:val="000000"/>
        </w:rPr>
        <w:t xml:space="preserve"> </w:t>
      </w:r>
    </w:p>
    <w:p w14:paraId="51BE6B2B" w14:textId="77777777" w:rsidR="006B7BFE" w:rsidRPr="00D43FA1" w:rsidRDefault="006B7BFE" w:rsidP="0070360F">
      <w:pPr>
        <w:pStyle w:val="Text"/>
        <w:keepNext/>
        <w:keepLines/>
        <w:spacing w:before="0" w:after="0"/>
        <w:rPr>
          <w:color w:val="000000"/>
        </w:rPr>
      </w:pPr>
      <w:r>
        <w:rPr>
          <w:color w:val="000000"/>
        </w:rPr>
        <w:t xml:space="preserve">Production de </w:t>
      </w:r>
    </w:p>
    <w:p w14:paraId="11222691" w14:textId="2050E75C" w:rsidR="006B7BFE" w:rsidRPr="00D43FA1" w:rsidRDefault="006B7BFE" w:rsidP="009140F6">
      <w:pPr>
        <w:pStyle w:val="Text"/>
        <w:spacing w:before="0" w:after="0"/>
        <w:rPr>
          <w:color w:val="000000"/>
        </w:rPr>
      </w:pPr>
      <w:r>
        <w:rPr>
          <w:color w:val="000000"/>
        </w:rPr>
        <w:t>• Amidon et produits à base d</w:t>
      </w:r>
      <w:r w:rsidR="00012CFE">
        <w:rPr>
          <w:color w:val="000000"/>
        </w:rPr>
        <w:t>’</w:t>
      </w:r>
      <w:r>
        <w:rPr>
          <w:color w:val="000000"/>
        </w:rPr>
        <w:t xml:space="preserve">amidon </w:t>
      </w:r>
    </w:p>
    <w:p w14:paraId="662E4943" w14:textId="77777777" w:rsidR="006B7BFE" w:rsidRPr="00D43FA1" w:rsidRDefault="006B7BFE" w:rsidP="009140F6">
      <w:pPr>
        <w:pStyle w:val="Text"/>
        <w:spacing w:before="0" w:after="0"/>
        <w:rPr>
          <w:color w:val="000000"/>
        </w:rPr>
      </w:pPr>
      <w:r>
        <w:rPr>
          <w:color w:val="000000"/>
        </w:rPr>
        <w:t xml:space="preserve">• Articles de biscuiterie, biscotterie </w:t>
      </w:r>
    </w:p>
    <w:p w14:paraId="18BD7F36" w14:textId="77777777" w:rsidR="006B7BFE" w:rsidRPr="00D43FA1" w:rsidRDefault="006B7BFE" w:rsidP="009140F6">
      <w:pPr>
        <w:pStyle w:val="Text"/>
        <w:spacing w:before="0" w:after="0"/>
        <w:rPr>
          <w:color w:val="000000"/>
        </w:rPr>
      </w:pPr>
      <w:r>
        <w:rPr>
          <w:color w:val="000000"/>
        </w:rPr>
        <w:t xml:space="preserve">• Pâtes </w:t>
      </w:r>
    </w:p>
    <w:p w14:paraId="38C5F55D" w14:textId="77777777" w:rsidR="006B7BFE" w:rsidRPr="00D43FA1" w:rsidRDefault="006B7BFE" w:rsidP="009140F6">
      <w:pPr>
        <w:pStyle w:val="Text"/>
        <w:spacing w:before="0" w:after="0"/>
        <w:rPr>
          <w:color w:val="000000"/>
        </w:rPr>
      </w:pPr>
      <w:r>
        <w:rPr>
          <w:color w:val="000000"/>
        </w:rPr>
        <w:t xml:space="preserve">• Confiserie </w:t>
      </w:r>
    </w:p>
    <w:p w14:paraId="1D62B3D9" w14:textId="77777777" w:rsidR="006B7BFE" w:rsidRPr="00D43FA1" w:rsidRDefault="006B7BFE" w:rsidP="009140F6">
      <w:pPr>
        <w:pStyle w:val="Text"/>
        <w:spacing w:before="0" w:after="0"/>
        <w:rPr>
          <w:color w:val="000000"/>
        </w:rPr>
      </w:pPr>
      <w:r>
        <w:rPr>
          <w:color w:val="000000"/>
        </w:rPr>
        <w:t xml:space="preserve">• Café/thé </w:t>
      </w:r>
    </w:p>
    <w:p w14:paraId="6E9A551C" w14:textId="77777777" w:rsidR="006B7BFE" w:rsidRPr="00D43FA1" w:rsidRDefault="006B7BFE" w:rsidP="009140F6">
      <w:pPr>
        <w:pStyle w:val="Text"/>
        <w:spacing w:before="0" w:after="0"/>
        <w:rPr>
          <w:color w:val="000000"/>
        </w:rPr>
      </w:pPr>
      <w:r>
        <w:rPr>
          <w:color w:val="000000"/>
        </w:rPr>
        <w:t xml:space="preserve">• Produits moulus et pelés </w:t>
      </w:r>
    </w:p>
    <w:p w14:paraId="31C005BD" w14:textId="3394A96C" w:rsidR="006B7BFE" w:rsidRDefault="006B7BFE" w:rsidP="00557D18">
      <w:pPr>
        <w:pStyle w:val="Text"/>
        <w:spacing w:before="0" w:after="0"/>
        <w:jc w:val="left"/>
        <w:rPr>
          <w:color w:val="000000"/>
        </w:rPr>
      </w:pPr>
      <w:r>
        <w:rPr>
          <w:color w:val="000000"/>
        </w:rPr>
        <w:t xml:space="preserve">• Plats cuisinés </w:t>
      </w:r>
    </w:p>
    <w:p w14:paraId="69346562" w14:textId="77777777" w:rsidR="00D43FA1" w:rsidRPr="00D43FA1" w:rsidRDefault="00D43FA1" w:rsidP="00557D18">
      <w:pPr>
        <w:pStyle w:val="Text"/>
        <w:spacing w:before="0" w:after="0"/>
        <w:jc w:val="left"/>
        <w:rPr>
          <w:color w:val="000000"/>
        </w:rPr>
      </w:pPr>
    </w:p>
    <w:p w14:paraId="22853B05" w14:textId="6B24EBFA" w:rsidR="006B7BFE" w:rsidRPr="00D43FA1" w:rsidRDefault="006B7BFE" w:rsidP="009140F6">
      <w:pPr>
        <w:pStyle w:val="Text"/>
        <w:spacing w:before="0" w:after="0"/>
        <w:rPr>
          <w:color w:val="000000"/>
        </w:rPr>
      </w:pPr>
      <w:r>
        <w:rPr>
          <w:color w:val="000000"/>
        </w:rPr>
        <w:t>Le chiffre d</w:t>
      </w:r>
      <w:r w:rsidR="00012CFE">
        <w:rPr>
          <w:color w:val="000000"/>
        </w:rPr>
        <w:t>’</w:t>
      </w:r>
      <w:r>
        <w:rPr>
          <w:color w:val="000000"/>
        </w:rPr>
        <w:t>affaires total des 415</w:t>
      </w:r>
      <w:r w:rsidR="00012CFE">
        <w:rPr>
          <w:color w:val="000000"/>
        </w:rPr>
        <w:t> </w:t>
      </w:r>
      <w:r>
        <w:rPr>
          <w:color w:val="000000"/>
        </w:rPr>
        <w:t>entreprises concernées s</w:t>
      </w:r>
      <w:r w:rsidR="00012CFE">
        <w:rPr>
          <w:color w:val="000000"/>
        </w:rPr>
        <w:t>’</w:t>
      </w:r>
      <w:r>
        <w:rPr>
          <w:color w:val="000000"/>
        </w:rPr>
        <w:t>élève à environ 26</w:t>
      </w:r>
      <w:r w:rsidR="00012CFE">
        <w:rPr>
          <w:color w:val="000000"/>
        </w:rPr>
        <w:t> </w:t>
      </w:r>
      <w:r>
        <w:rPr>
          <w:color w:val="000000"/>
        </w:rPr>
        <w:t>milliards d</w:t>
      </w:r>
      <w:r w:rsidR="00012CFE">
        <w:rPr>
          <w:color w:val="000000"/>
        </w:rPr>
        <w:t>’</w:t>
      </w:r>
      <w:r>
        <w:rPr>
          <w:color w:val="000000"/>
        </w:rPr>
        <w:t xml:space="preserve">euros. </w:t>
      </w:r>
    </w:p>
    <w:p w14:paraId="6EE2F31E" w14:textId="1ACFE6F8" w:rsidR="006B7BFE" w:rsidRPr="00A62004" w:rsidRDefault="006B7BFE" w:rsidP="00557D18">
      <w:pPr>
        <w:pStyle w:val="Text"/>
        <w:spacing w:before="0" w:after="0"/>
        <w:rPr>
          <w:color w:val="000000"/>
          <w:spacing w:val="-4"/>
        </w:rPr>
      </w:pPr>
      <w:r w:rsidRPr="00A62004">
        <w:rPr>
          <w:color w:val="000000"/>
          <w:spacing w:val="-4"/>
        </w:rPr>
        <w:t>Sur la base du chiffre d</w:t>
      </w:r>
      <w:r w:rsidR="00012CFE" w:rsidRPr="00A62004">
        <w:rPr>
          <w:color w:val="000000"/>
          <w:spacing w:val="-4"/>
        </w:rPr>
        <w:t>’</w:t>
      </w:r>
      <w:r w:rsidRPr="00A62004">
        <w:rPr>
          <w:color w:val="000000"/>
          <w:spacing w:val="-4"/>
        </w:rPr>
        <w:t xml:space="preserve">affaires total, le nombre de produits (= aliments plus bien en contact avec des denrées alimentaires qui y est associé) que ces entreprises produisent pour le marché allemand est </w:t>
      </w:r>
      <w:proofErr w:type="gramStart"/>
      <w:r w:rsidRPr="00A62004">
        <w:rPr>
          <w:color w:val="000000"/>
          <w:spacing w:val="-4"/>
        </w:rPr>
        <w:t>estimé:</w:t>
      </w:r>
      <w:proofErr w:type="gramEnd"/>
      <w:r w:rsidRPr="00A62004">
        <w:rPr>
          <w:color w:val="000000"/>
          <w:spacing w:val="-4"/>
        </w:rPr>
        <w:t xml:space="preserve"> avec un chiffre d</w:t>
      </w:r>
      <w:r w:rsidR="00012CFE" w:rsidRPr="00A62004">
        <w:rPr>
          <w:color w:val="000000"/>
          <w:spacing w:val="-4"/>
        </w:rPr>
        <w:t>’</w:t>
      </w:r>
      <w:r w:rsidRPr="00A62004">
        <w:rPr>
          <w:color w:val="000000"/>
          <w:spacing w:val="-4"/>
        </w:rPr>
        <w:t>affaires total de 26</w:t>
      </w:r>
      <w:r w:rsidR="00012CFE" w:rsidRPr="00A62004">
        <w:rPr>
          <w:color w:val="000000"/>
          <w:spacing w:val="-4"/>
        </w:rPr>
        <w:t> </w:t>
      </w:r>
      <w:r w:rsidRPr="00A62004">
        <w:rPr>
          <w:color w:val="000000"/>
          <w:spacing w:val="-4"/>
        </w:rPr>
        <w:t>milliards d</w:t>
      </w:r>
      <w:r w:rsidR="00012CFE" w:rsidRPr="00A62004">
        <w:rPr>
          <w:color w:val="000000"/>
          <w:spacing w:val="-4"/>
        </w:rPr>
        <w:t>’</w:t>
      </w:r>
      <w:r w:rsidRPr="00A62004">
        <w:rPr>
          <w:color w:val="000000"/>
          <w:spacing w:val="-4"/>
        </w:rPr>
        <w:t>euros et un chiffre d</w:t>
      </w:r>
      <w:r w:rsidR="00012CFE" w:rsidRPr="00A62004">
        <w:rPr>
          <w:color w:val="000000"/>
          <w:spacing w:val="-4"/>
        </w:rPr>
        <w:t>’</w:t>
      </w:r>
      <w:r w:rsidRPr="00A62004">
        <w:rPr>
          <w:color w:val="000000"/>
          <w:spacing w:val="-4"/>
        </w:rPr>
        <w:t>affaires de 2,5</w:t>
      </w:r>
      <w:r w:rsidR="00012CFE" w:rsidRPr="00A62004">
        <w:rPr>
          <w:color w:val="000000"/>
          <w:spacing w:val="-4"/>
        </w:rPr>
        <w:t> </w:t>
      </w:r>
      <w:r w:rsidRPr="00A62004">
        <w:rPr>
          <w:color w:val="000000"/>
          <w:spacing w:val="-4"/>
        </w:rPr>
        <w:t>millions d</w:t>
      </w:r>
      <w:r w:rsidR="00012CFE" w:rsidRPr="00A62004">
        <w:rPr>
          <w:color w:val="000000"/>
          <w:spacing w:val="-4"/>
        </w:rPr>
        <w:t>’</w:t>
      </w:r>
      <w:r w:rsidRPr="00A62004">
        <w:rPr>
          <w:color w:val="000000"/>
          <w:spacing w:val="-4"/>
        </w:rPr>
        <w:t>euros par produit, il s’agit d’</w:t>
      </w:r>
      <w:r w:rsidRPr="00A62004">
        <w:rPr>
          <w:b/>
          <w:bCs/>
          <w:color w:val="000000"/>
          <w:spacing w:val="-4"/>
        </w:rPr>
        <w:t>environ 10 000</w:t>
      </w:r>
      <w:r w:rsidR="00012CFE" w:rsidRPr="00A62004">
        <w:rPr>
          <w:b/>
          <w:bCs/>
          <w:color w:val="000000"/>
          <w:spacing w:val="-4"/>
        </w:rPr>
        <w:t> </w:t>
      </w:r>
      <w:r w:rsidRPr="00A62004">
        <w:rPr>
          <w:b/>
          <w:bCs/>
          <w:color w:val="000000"/>
          <w:spacing w:val="-4"/>
        </w:rPr>
        <w:t>produits</w:t>
      </w:r>
      <w:r w:rsidRPr="00A62004">
        <w:rPr>
          <w:color w:val="000000"/>
          <w:spacing w:val="-4"/>
        </w:rPr>
        <w:t>. Seule une partie de l</w:t>
      </w:r>
      <w:r w:rsidR="00012CFE" w:rsidRPr="00A62004">
        <w:rPr>
          <w:color w:val="000000"/>
          <w:spacing w:val="-4"/>
        </w:rPr>
        <w:t>’</w:t>
      </w:r>
      <w:r w:rsidRPr="00A62004">
        <w:rPr>
          <w:color w:val="000000"/>
          <w:spacing w:val="-4"/>
        </w:rPr>
        <w:t xml:space="preserve">emballage du produit doit être modifiée, car les entreprises ne sont pas toutes également </w:t>
      </w:r>
      <w:proofErr w:type="gramStart"/>
      <w:r w:rsidRPr="00A62004">
        <w:rPr>
          <w:color w:val="000000"/>
          <w:spacing w:val="-4"/>
        </w:rPr>
        <w:t>concernées:</w:t>
      </w:r>
      <w:proofErr w:type="gramEnd"/>
      <w:r w:rsidRPr="00A62004">
        <w:rPr>
          <w:color w:val="000000"/>
          <w:spacing w:val="-4"/>
        </w:rPr>
        <w:t xml:space="preserve"> alors que certaines entreprises doivent convertir toute leur gamme de produits, d</w:t>
      </w:r>
      <w:r w:rsidR="00012CFE" w:rsidRPr="00A62004">
        <w:rPr>
          <w:color w:val="000000"/>
          <w:spacing w:val="-4"/>
        </w:rPr>
        <w:t>’</w:t>
      </w:r>
      <w:r w:rsidRPr="00A62004">
        <w:rPr>
          <w:color w:val="000000"/>
          <w:spacing w:val="-4"/>
        </w:rPr>
        <w:t>autres n</w:t>
      </w:r>
      <w:r w:rsidR="00012CFE" w:rsidRPr="00A62004">
        <w:rPr>
          <w:color w:val="000000"/>
          <w:spacing w:val="-4"/>
        </w:rPr>
        <w:t>’</w:t>
      </w:r>
      <w:r w:rsidRPr="00A62004">
        <w:rPr>
          <w:color w:val="000000"/>
          <w:spacing w:val="-4"/>
        </w:rPr>
        <w:t>ont que quelques produits qui sont concernés. Cependant, il faut vérifier pour tous les produits si l</w:t>
      </w:r>
      <w:r w:rsidR="00012CFE" w:rsidRPr="00A62004">
        <w:rPr>
          <w:color w:val="000000"/>
          <w:spacing w:val="-4"/>
        </w:rPr>
        <w:t>’</w:t>
      </w:r>
      <w:r w:rsidRPr="00A62004">
        <w:rPr>
          <w:color w:val="000000"/>
          <w:spacing w:val="-4"/>
        </w:rPr>
        <w:t>emballage existant empêche suffisamment le transfert de MOAH à l</w:t>
      </w:r>
      <w:r w:rsidR="00012CFE" w:rsidRPr="00A62004">
        <w:rPr>
          <w:color w:val="000000"/>
          <w:spacing w:val="-4"/>
        </w:rPr>
        <w:t>’</w:t>
      </w:r>
      <w:r w:rsidRPr="00A62004">
        <w:rPr>
          <w:color w:val="000000"/>
          <w:spacing w:val="-4"/>
        </w:rPr>
        <w:t>aliment. Les aliments emballés exclusivement dans du papier d</w:t>
      </w:r>
      <w:r w:rsidR="00012CFE" w:rsidRPr="00A62004">
        <w:rPr>
          <w:color w:val="000000"/>
          <w:spacing w:val="-4"/>
        </w:rPr>
        <w:t>’</w:t>
      </w:r>
      <w:r w:rsidRPr="00A62004">
        <w:rPr>
          <w:color w:val="000000"/>
          <w:spacing w:val="-4"/>
        </w:rPr>
        <w:t xml:space="preserve">aluminium sont également testés car ces produits sont généralement conditionnés et livrés dans des boîtes en carton fabriquées à partir de papiers usagés recyclés.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Frais de matériel </w:t>
      </w:r>
    </w:p>
    <w:p w14:paraId="20856574" w14:textId="77777777" w:rsidR="00D43FA1" w:rsidRPr="00D43FA1" w:rsidRDefault="00D43FA1" w:rsidP="0070360F">
      <w:pPr>
        <w:keepNext/>
        <w:keepLines/>
        <w:spacing w:before="0" w:after="0"/>
      </w:pPr>
    </w:p>
    <w:p w14:paraId="3F2BE815" w14:textId="12463801" w:rsidR="006B7BFE" w:rsidRPr="00D43FA1" w:rsidRDefault="006B7BFE" w:rsidP="009140F6">
      <w:pPr>
        <w:pStyle w:val="Text"/>
        <w:spacing w:before="0" w:after="0"/>
        <w:rPr>
          <w:color w:val="000000"/>
        </w:rPr>
      </w:pPr>
      <w:r>
        <w:rPr>
          <w:color w:val="000000"/>
        </w:rPr>
        <w:t>Les frais de matériel sont constitués des frais d</w:t>
      </w:r>
      <w:r w:rsidR="00012CFE">
        <w:rPr>
          <w:color w:val="000000"/>
        </w:rPr>
        <w:t>’</w:t>
      </w:r>
      <w:r>
        <w:rPr>
          <w:color w:val="000000"/>
        </w:rPr>
        <w:t>analyse pour les contrôles initiaux des denrées alimentaires et des biens destinés à entrer en contact avec des denrées alimentaires qui y sont associés (généralement des emballages) et du développement et de l</w:t>
      </w:r>
      <w:r w:rsidR="00012CFE">
        <w:rPr>
          <w:color w:val="000000"/>
        </w:rPr>
        <w:t>’</w:t>
      </w:r>
      <w:r>
        <w:rPr>
          <w:color w:val="000000"/>
        </w:rPr>
        <w:t>utilisation de nouveaux emballages. Les frais proviennent de la nomination de laboratoires externes pour les examens. Peu d</w:t>
      </w:r>
      <w:r w:rsidR="00012CFE">
        <w:rPr>
          <w:color w:val="000000"/>
        </w:rPr>
        <w:t>’</w:t>
      </w:r>
      <w:r>
        <w:rPr>
          <w:color w:val="000000"/>
        </w:rPr>
        <w:t>entreprises effectuent elles-mêmes les analyses dans leur ensemble. Les frais totaux pour tous les produits concernés d</w:t>
      </w:r>
      <w:r w:rsidR="00012CFE">
        <w:rPr>
          <w:color w:val="000000"/>
        </w:rPr>
        <w:t>’</w:t>
      </w:r>
      <w:r>
        <w:rPr>
          <w:color w:val="000000"/>
        </w:rPr>
        <w:t>une entreprise ont été demandés et ces frais totaux ont été attribués au nombre de produits de l</w:t>
      </w:r>
      <w:r w:rsidR="00012CFE">
        <w:rPr>
          <w:color w:val="000000"/>
        </w:rPr>
        <w:t>’</w:t>
      </w:r>
      <w:r>
        <w:rPr>
          <w:color w:val="000000"/>
        </w:rPr>
        <w:t>entreprise entrant dans le champ d</w:t>
      </w:r>
      <w:r w:rsidR="00012CFE">
        <w:rPr>
          <w:color w:val="000000"/>
        </w:rPr>
        <w:t>’</w:t>
      </w:r>
      <w:r>
        <w:rPr>
          <w:color w:val="000000"/>
        </w:rPr>
        <w:t>application du décret.</w:t>
      </w:r>
    </w:p>
    <w:p w14:paraId="12734BF7" w14:textId="62A5AE4E" w:rsidR="006B7BFE" w:rsidRPr="00D43FA1" w:rsidRDefault="006B7BFE" w:rsidP="009140F6">
      <w:pPr>
        <w:pStyle w:val="Text"/>
        <w:spacing w:before="0" w:after="0"/>
        <w:rPr>
          <w:color w:val="000000"/>
        </w:rPr>
      </w:pPr>
      <w:r>
        <w:rPr>
          <w:color w:val="000000"/>
        </w:rPr>
        <w:t>Sur la base des entretiens, il a été possible de déterminer que les frais du contrôle de l</w:t>
      </w:r>
      <w:r w:rsidR="00012CFE">
        <w:rPr>
          <w:color w:val="000000"/>
        </w:rPr>
        <w:t>’</w:t>
      </w:r>
      <w:r>
        <w:rPr>
          <w:color w:val="000000"/>
        </w:rPr>
        <w:t xml:space="preserve">aliment et des biens destinés à entrer en contact avec des denrées alimentaires qui y sont associés s’élèveraient à environ </w:t>
      </w:r>
      <w:r>
        <w:rPr>
          <w:b/>
          <w:bCs/>
          <w:color w:val="000000"/>
        </w:rPr>
        <w:t>290</w:t>
      </w:r>
      <w:r w:rsidR="00012CFE">
        <w:rPr>
          <w:b/>
          <w:bCs/>
          <w:color w:val="000000"/>
        </w:rPr>
        <w:t> </w:t>
      </w:r>
      <w:r>
        <w:rPr>
          <w:b/>
          <w:bCs/>
          <w:color w:val="000000"/>
        </w:rPr>
        <w:t>euros par produit</w:t>
      </w:r>
      <w:r>
        <w:rPr>
          <w:color w:val="000000"/>
        </w:rPr>
        <w:t>. 10 000 produits sont concernés par ces frais.</w:t>
      </w:r>
    </w:p>
    <w:p w14:paraId="6C361081" w14:textId="09B273B6" w:rsidR="006B7BFE" w:rsidRPr="00D43FA1" w:rsidRDefault="006B7BFE" w:rsidP="009140F6">
      <w:pPr>
        <w:pStyle w:val="Text"/>
        <w:spacing w:before="0" w:after="0"/>
        <w:rPr>
          <w:color w:val="000000"/>
        </w:rPr>
      </w:pPr>
      <w:r>
        <w:rPr>
          <w:color w:val="000000"/>
        </w:rPr>
        <w:t>On suppose que l</w:t>
      </w:r>
      <w:r w:rsidR="00012CFE">
        <w:rPr>
          <w:color w:val="000000"/>
        </w:rPr>
        <w:t>’</w:t>
      </w:r>
      <w:r>
        <w:rPr>
          <w:color w:val="000000"/>
        </w:rPr>
        <w:t>emballage doit être changé pour 50</w:t>
      </w:r>
      <w:r w:rsidR="00012CFE">
        <w:rPr>
          <w:color w:val="000000"/>
        </w:rPr>
        <w:t> </w:t>
      </w:r>
      <w:r>
        <w:rPr>
          <w:color w:val="000000"/>
        </w:rPr>
        <w:t>% des produits contrôlés, soit pour 5 000</w:t>
      </w:r>
      <w:r w:rsidR="00012CFE">
        <w:rPr>
          <w:color w:val="000000"/>
        </w:rPr>
        <w:t> </w:t>
      </w:r>
      <w:r>
        <w:rPr>
          <w:color w:val="000000"/>
        </w:rPr>
        <w:t xml:space="preserve">produits. Cela engendrait en moyenne </w:t>
      </w:r>
      <w:r>
        <w:rPr>
          <w:b/>
          <w:bCs/>
          <w:color w:val="000000"/>
        </w:rPr>
        <w:t>550</w:t>
      </w:r>
      <w:r w:rsidR="00012CFE">
        <w:rPr>
          <w:b/>
          <w:bCs/>
          <w:color w:val="000000"/>
        </w:rPr>
        <w:t> </w:t>
      </w:r>
      <w:r>
        <w:rPr>
          <w:b/>
          <w:bCs/>
          <w:color w:val="000000"/>
        </w:rPr>
        <w:t>euros de frais de matériel par produit</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lastRenderedPageBreak/>
        <w:t xml:space="preserve">Ainsi, les frais de matériel exceptionnels résultent du calcul </w:t>
      </w:r>
      <w:proofErr w:type="gramStart"/>
      <w:r>
        <w:rPr>
          <w:color w:val="000000"/>
        </w:rPr>
        <w:t>suivant:</w:t>
      </w:r>
      <w:proofErr w:type="gramEnd"/>
    </w:p>
    <w:p w14:paraId="0AE849C1" w14:textId="78536576" w:rsidR="006B7BFE" w:rsidRDefault="006B7BFE" w:rsidP="009140F6">
      <w:pPr>
        <w:pStyle w:val="Text"/>
        <w:spacing w:before="0" w:after="0"/>
        <w:rPr>
          <w:color w:val="000000"/>
        </w:rPr>
      </w:pPr>
      <w:r>
        <w:rPr>
          <w:color w:val="000000"/>
        </w:rPr>
        <w:t>290</w:t>
      </w:r>
      <w:r w:rsidR="00012CFE">
        <w:rPr>
          <w:color w:val="000000"/>
        </w:rPr>
        <w:t> </w:t>
      </w:r>
      <w:r>
        <w:rPr>
          <w:color w:val="000000"/>
        </w:rPr>
        <w:t>euros de frais de contrôle x 10 000</w:t>
      </w:r>
      <w:r w:rsidR="00012CFE">
        <w:rPr>
          <w:color w:val="000000"/>
        </w:rPr>
        <w:t> </w:t>
      </w:r>
      <w:r>
        <w:rPr>
          <w:color w:val="000000"/>
        </w:rPr>
        <w:t>produits à contrôler + 550</w:t>
      </w:r>
      <w:r w:rsidR="00012CFE">
        <w:rPr>
          <w:color w:val="000000"/>
        </w:rPr>
        <w:t> </w:t>
      </w:r>
      <w:r>
        <w:rPr>
          <w:color w:val="000000"/>
        </w:rPr>
        <w:t>euros de frais de matériel x 5 000</w:t>
      </w:r>
      <w:r w:rsidR="00012CFE">
        <w:rPr>
          <w:color w:val="000000"/>
        </w:rPr>
        <w:t> </w:t>
      </w:r>
      <w:r>
        <w:rPr>
          <w:color w:val="000000"/>
        </w:rPr>
        <w:t>emballages de produits à transformer = 5 650 000</w:t>
      </w:r>
      <w:r w:rsidR="00012CFE">
        <w:rPr>
          <w:color w:val="000000"/>
        </w:rPr>
        <w:t> </w:t>
      </w:r>
      <w:r>
        <w:rPr>
          <w:color w:val="000000"/>
        </w:rPr>
        <w:t xml:space="preserve">euros.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iCs/>
          <w:color w:val="000000"/>
        </w:rPr>
        <w:t xml:space="preserve">Charges de personnel </w:t>
      </w:r>
    </w:p>
    <w:p w14:paraId="3CDF1E12" w14:textId="77777777" w:rsidR="00D43FA1" w:rsidRPr="00D43FA1" w:rsidRDefault="00D43FA1" w:rsidP="0070360F">
      <w:pPr>
        <w:pStyle w:val="Text"/>
        <w:keepNext/>
        <w:keepLines/>
        <w:spacing w:before="0" w:after="0"/>
        <w:ind w:left="360"/>
        <w:rPr>
          <w:u w:val="single"/>
        </w:rPr>
      </w:pPr>
    </w:p>
    <w:p w14:paraId="060CC136" w14:textId="77F6DD24" w:rsidR="006B7BFE" w:rsidRPr="00D43FA1" w:rsidRDefault="006B7BFE" w:rsidP="009140F6">
      <w:pPr>
        <w:pStyle w:val="Text"/>
        <w:spacing w:before="0" w:after="0"/>
      </w:pPr>
      <w:r>
        <w:t xml:space="preserve">Les frais de personnel sont constitués du temps nécessaire pour contrôler les aliments et les biens destinés à entrer en contact avec des denrées alimentaires qui y sont associés (généralement des emballages) ainsi que pour la transformation des emballages (préparation et suivi des tests de </w:t>
      </w:r>
      <w:proofErr w:type="gramStart"/>
      <w:r>
        <w:t>laboratoire;</w:t>
      </w:r>
      <w:proofErr w:type="gramEnd"/>
      <w:r>
        <w:t xml:space="preserve"> les analyses elles-mêmes sont principalement réalisées en externe). Les frais totaux pour tous les produits concernés d</w:t>
      </w:r>
      <w:r w:rsidR="00012CFE">
        <w:t>’</w:t>
      </w:r>
      <w:r>
        <w:t>une entreprise ont été demandés et ces frais totaux ont été attribués au nombre de produits de l</w:t>
      </w:r>
      <w:r w:rsidR="00012CFE">
        <w:t>’</w:t>
      </w:r>
      <w:r>
        <w:t>entreprise entrant dans le champ d</w:t>
      </w:r>
      <w:r w:rsidR="00012CFE">
        <w:t>’</w:t>
      </w:r>
      <w:r>
        <w:t>application du décret.</w:t>
      </w:r>
    </w:p>
    <w:p w14:paraId="325CED0A" w14:textId="666BC49E" w:rsidR="006B7BFE" w:rsidRPr="00D43FA1" w:rsidRDefault="006B7BFE" w:rsidP="009140F6">
      <w:pPr>
        <w:pStyle w:val="Text"/>
        <w:spacing w:before="0" w:after="0"/>
      </w:pPr>
      <w:r>
        <w:t xml:space="preserve">Sur la base des entretiens, contrôler les aliments et les biens destinés à entrer en contact avec des denrées alimentaires qui y sont associés pourrait prendre </w:t>
      </w:r>
      <w:r>
        <w:rPr>
          <w:b/>
          <w:bCs/>
        </w:rPr>
        <w:t>trois heures par produit</w:t>
      </w:r>
      <w:r>
        <w:t>. En plus de la recherche des MOAH, cela inclut également des travaux préparatoires tels que l</w:t>
      </w:r>
      <w:r w:rsidR="00012CFE">
        <w:t>’</w:t>
      </w:r>
      <w:r>
        <w:t>échantillonnage. Le taux horaire est fixé à 60,50</w:t>
      </w:r>
      <w:r w:rsidR="00012CFE">
        <w:t> </w:t>
      </w:r>
      <w:r>
        <w:t>euros/heure.</w:t>
      </w:r>
      <w:r>
        <w:rPr>
          <w:rStyle w:val="FootnoteReference"/>
        </w:rPr>
        <w:footnoteReference w:customMarkFollows="1" w:id="4"/>
        <w:t>3</w:t>
      </w:r>
      <w:r>
        <w:rPr>
          <w:vertAlign w:val="superscript"/>
        </w:rPr>
        <w:t xml:space="preserve"> </w:t>
      </w:r>
      <w:r>
        <w:t>10 000</w:t>
      </w:r>
      <w:r w:rsidR="00012CFE">
        <w:t> </w:t>
      </w:r>
      <w:r>
        <w:t>produits sont concernés par ces frais.</w:t>
      </w:r>
    </w:p>
    <w:p w14:paraId="31FE69DB" w14:textId="19DB4327" w:rsidR="006B7BFE" w:rsidRPr="00D43FA1" w:rsidRDefault="002201EF" w:rsidP="009140F6">
      <w:pPr>
        <w:pStyle w:val="Text"/>
        <w:spacing w:before="0" w:after="0"/>
      </w:pPr>
      <w:r>
        <w:t xml:space="preserve">Le temps nécessaire pour transformer un emballage de produit s’élève à env. </w:t>
      </w:r>
      <w:r>
        <w:rPr>
          <w:b/>
          <w:bCs/>
        </w:rPr>
        <w:t>six heures de travail par produit</w:t>
      </w:r>
      <w:r>
        <w:t>. Le taux horaire est fixé à 60,50</w:t>
      </w:r>
      <w:r w:rsidR="00012CFE">
        <w:t> </w:t>
      </w:r>
      <w:r>
        <w:t>euros/heure.</w:t>
      </w:r>
      <w:r>
        <w:rPr>
          <w:vertAlign w:val="superscript"/>
        </w:rPr>
        <w:t xml:space="preserve">3 </w:t>
      </w:r>
      <w:r>
        <w:t>En supposant qu</w:t>
      </w:r>
      <w:r w:rsidR="00012CFE">
        <w:t>’</w:t>
      </w:r>
      <w:r>
        <w:t>environ 50</w:t>
      </w:r>
      <w:r w:rsidR="00012CFE">
        <w:t> </w:t>
      </w:r>
      <w:r>
        <w:t>% de tous les produits doivent être transformés, il en résulte des coûts salariaux pour 5 000</w:t>
      </w:r>
      <w:r w:rsidR="00012CFE">
        <w:t> </w:t>
      </w:r>
      <w:r>
        <w:t>produits.</w:t>
      </w:r>
    </w:p>
    <w:p w14:paraId="082FCC81" w14:textId="77777777" w:rsidR="002201EF" w:rsidRPr="0086292F" w:rsidRDefault="006B7BFE" w:rsidP="009140F6">
      <w:pPr>
        <w:pStyle w:val="Text"/>
        <w:spacing w:before="0" w:after="0"/>
      </w:pPr>
      <w:r>
        <w:t xml:space="preserve">Ainsi, les frais de personnel exceptionnels résultent du calcul </w:t>
      </w:r>
      <w:proofErr w:type="gramStart"/>
      <w:r>
        <w:t>suivant:</w:t>
      </w:r>
      <w:proofErr w:type="gramEnd"/>
      <w:r>
        <w:t xml:space="preserve"> </w:t>
      </w:r>
    </w:p>
    <w:p w14:paraId="0A22DD87" w14:textId="71085BA3" w:rsidR="00D43FA1" w:rsidRDefault="006B7BFE" w:rsidP="009140F6">
      <w:pPr>
        <w:pStyle w:val="Text"/>
        <w:spacing w:before="0" w:after="0"/>
      </w:pPr>
      <w:r>
        <w:t>3</w:t>
      </w:r>
      <w:r w:rsidR="00012CFE">
        <w:t> </w:t>
      </w:r>
      <w:r>
        <w:t>heures de contrôle x 60,50</w:t>
      </w:r>
      <w:r w:rsidR="00012CFE">
        <w:t> </w:t>
      </w:r>
      <w:r>
        <w:t>euros de taux horaire x 10 000</w:t>
      </w:r>
      <w:r w:rsidR="00012CFE">
        <w:t> </w:t>
      </w:r>
      <w:r>
        <w:t>produits à contrôler + 6</w:t>
      </w:r>
      <w:r w:rsidR="00012CFE">
        <w:t> </w:t>
      </w:r>
      <w:r>
        <w:t>heures de charges de transformation x 60,50</w:t>
      </w:r>
      <w:r w:rsidR="00012CFE">
        <w:t> </w:t>
      </w:r>
      <w:r>
        <w:t>euros de taux horaire x 5 000</w:t>
      </w:r>
      <w:r w:rsidR="00012CFE">
        <w:t> </w:t>
      </w:r>
      <w:r>
        <w:t>produits à transformer = 3 630 000</w:t>
      </w:r>
      <w:r w:rsidR="00012CFE">
        <w:t> </w:t>
      </w:r>
      <w:r>
        <w:t>euros.</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bCs/>
        </w:rPr>
        <w:t>Tableau </w:t>
      </w:r>
      <w:proofErr w:type="gramStart"/>
      <w:r>
        <w:rPr>
          <w:b/>
          <w:bCs/>
        </w:rPr>
        <w:t>2:</w:t>
      </w:r>
      <w:proofErr w:type="gramEnd"/>
      <w:r>
        <w:rPr>
          <w:b/>
          <w:bCs/>
        </w:rPr>
        <w:t xml:space="preserve"> Aperçu des frais de transformation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304"/>
        <w:gridCol w:w="1275"/>
        <w:gridCol w:w="1277"/>
        <w:gridCol w:w="1417"/>
        <w:gridCol w:w="1418"/>
      </w:tblGrid>
      <w:tr w:rsidR="006B7BFE" w:rsidRPr="00A62004" w14:paraId="3E0ACA00" w14:textId="77777777" w:rsidTr="00A62004">
        <w:tc>
          <w:tcPr>
            <w:tcW w:w="2802" w:type="dxa"/>
            <w:gridSpan w:val="2"/>
          </w:tcPr>
          <w:p w14:paraId="6539344C" w14:textId="6E1D7699" w:rsidR="006B7BFE" w:rsidRPr="00A62004" w:rsidRDefault="006B7BFE" w:rsidP="0070360F">
            <w:pPr>
              <w:pStyle w:val="Default"/>
              <w:rPr>
                <w:rFonts w:ascii="Arial" w:hAnsi="Arial" w:cs="Arial"/>
                <w:b/>
                <w:spacing w:val="-4"/>
                <w:sz w:val="22"/>
                <w:szCs w:val="22"/>
              </w:rPr>
            </w:pPr>
            <w:r w:rsidRPr="00A62004">
              <w:rPr>
                <w:rFonts w:ascii="Arial" w:hAnsi="Arial"/>
                <w:b/>
                <w:iCs/>
                <w:spacing w:val="-4"/>
                <w:sz w:val="22"/>
                <w:szCs w:val="22"/>
              </w:rPr>
              <w:t xml:space="preserve">Spécification/Obligation d’information (IP) </w:t>
            </w:r>
          </w:p>
        </w:tc>
        <w:tc>
          <w:tcPr>
            <w:tcW w:w="1304" w:type="dxa"/>
          </w:tcPr>
          <w:p w14:paraId="49FCAF62" w14:textId="63446FD7" w:rsidR="006B7BFE" w:rsidRPr="00A62004" w:rsidRDefault="006B7BFE" w:rsidP="0070360F">
            <w:pPr>
              <w:pStyle w:val="Default"/>
              <w:rPr>
                <w:rFonts w:ascii="Arial" w:hAnsi="Arial" w:cs="Arial"/>
                <w:b/>
                <w:spacing w:val="-4"/>
                <w:sz w:val="22"/>
                <w:szCs w:val="22"/>
              </w:rPr>
            </w:pPr>
            <w:r w:rsidRPr="00A62004">
              <w:rPr>
                <w:rFonts w:ascii="Arial" w:hAnsi="Arial"/>
                <w:b/>
                <w:iCs/>
                <w:spacing w:val="-4"/>
                <w:sz w:val="22"/>
                <w:szCs w:val="22"/>
              </w:rPr>
              <w:t xml:space="preserve">Temps requis </w:t>
            </w:r>
            <w:proofErr w:type="spellStart"/>
            <w:r w:rsidRPr="00A62004">
              <w:rPr>
                <w:rFonts w:ascii="Arial" w:hAnsi="Arial"/>
                <w:b/>
                <w:iCs/>
                <w:spacing w:val="-4"/>
                <w:sz w:val="22"/>
                <w:szCs w:val="22"/>
              </w:rPr>
              <w:t>exception</w:t>
            </w:r>
            <w:r w:rsidR="00A62004">
              <w:rPr>
                <w:rFonts w:ascii="Arial" w:hAnsi="Arial"/>
                <w:b/>
                <w:iCs/>
                <w:spacing w:val="-4"/>
                <w:sz w:val="22"/>
                <w:szCs w:val="22"/>
              </w:rPr>
              <w:t>-</w:t>
            </w:r>
            <w:r w:rsidRPr="00A62004">
              <w:rPr>
                <w:rFonts w:ascii="Arial" w:hAnsi="Arial"/>
                <w:b/>
                <w:iCs/>
                <w:spacing w:val="-4"/>
                <w:sz w:val="22"/>
                <w:szCs w:val="22"/>
              </w:rPr>
              <w:t>nellement</w:t>
            </w:r>
            <w:proofErr w:type="spellEnd"/>
            <w:r w:rsidRPr="00A62004">
              <w:rPr>
                <w:rFonts w:ascii="Arial" w:hAnsi="Arial"/>
                <w:b/>
                <w:iCs/>
                <w:spacing w:val="-4"/>
                <w:sz w:val="22"/>
                <w:szCs w:val="22"/>
              </w:rPr>
              <w:t xml:space="preserve"> en heures </w:t>
            </w:r>
          </w:p>
        </w:tc>
        <w:tc>
          <w:tcPr>
            <w:tcW w:w="1275" w:type="dxa"/>
          </w:tcPr>
          <w:p w14:paraId="3FB6B09A" w14:textId="6C98ECC7" w:rsidR="006B7BFE" w:rsidRPr="00A62004" w:rsidRDefault="006B7BFE" w:rsidP="0070360F">
            <w:pPr>
              <w:pStyle w:val="Default"/>
              <w:rPr>
                <w:rFonts w:ascii="Arial" w:hAnsi="Arial" w:cs="Arial"/>
                <w:b/>
                <w:spacing w:val="-4"/>
                <w:sz w:val="22"/>
                <w:szCs w:val="22"/>
              </w:rPr>
            </w:pPr>
            <w:r w:rsidRPr="00A62004">
              <w:rPr>
                <w:rFonts w:ascii="Arial" w:hAnsi="Arial"/>
                <w:b/>
                <w:iCs/>
                <w:spacing w:val="-4"/>
                <w:sz w:val="22"/>
                <w:szCs w:val="22"/>
              </w:rPr>
              <w:t xml:space="preserve">Taux horaire en euros/h </w:t>
            </w:r>
          </w:p>
        </w:tc>
        <w:tc>
          <w:tcPr>
            <w:tcW w:w="1277" w:type="dxa"/>
          </w:tcPr>
          <w:p w14:paraId="0F54C0E3" w14:textId="16CBF676" w:rsidR="006B7BFE" w:rsidRPr="00A62004" w:rsidRDefault="006B7BFE" w:rsidP="0070360F">
            <w:pPr>
              <w:pStyle w:val="Default"/>
              <w:rPr>
                <w:rFonts w:ascii="Arial" w:hAnsi="Arial" w:cs="Arial"/>
                <w:b/>
                <w:spacing w:val="-4"/>
                <w:sz w:val="22"/>
                <w:szCs w:val="22"/>
              </w:rPr>
            </w:pPr>
            <w:r w:rsidRPr="00A62004">
              <w:rPr>
                <w:rFonts w:ascii="Arial" w:hAnsi="Arial"/>
                <w:b/>
                <w:iCs/>
                <w:spacing w:val="-4"/>
                <w:sz w:val="22"/>
                <w:szCs w:val="22"/>
              </w:rPr>
              <w:t xml:space="preserve">Frais de personnel </w:t>
            </w:r>
            <w:proofErr w:type="spellStart"/>
            <w:r w:rsidRPr="00A62004">
              <w:rPr>
                <w:rFonts w:ascii="Arial" w:hAnsi="Arial"/>
                <w:b/>
                <w:iCs/>
                <w:spacing w:val="-4"/>
                <w:sz w:val="22"/>
                <w:szCs w:val="22"/>
              </w:rPr>
              <w:t>exception</w:t>
            </w:r>
            <w:r w:rsidR="00A62004">
              <w:rPr>
                <w:rFonts w:ascii="Arial" w:hAnsi="Arial"/>
                <w:b/>
                <w:iCs/>
                <w:spacing w:val="-4"/>
                <w:sz w:val="22"/>
                <w:szCs w:val="22"/>
              </w:rPr>
              <w:t>-</w:t>
            </w:r>
            <w:r w:rsidRPr="00A62004">
              <w:rPr>
                <w:rFonts w:ascii="Arial" w:hAnsi="Arial"/>
                <w:b/>
                <w:iCs/>
                <w:spacing w:val="-4"/>
                <w:sz w:val="22"/>
                <w:szCs w:val="22"/>
              </w:rPr>
              <w:t>nels</w:t>
            </w:r>
            <w:proofErr w:type="spellEnd"/>
            <w:r w:rsidRPr="00A62004">
              <w:rPr>
                <w:rFonts w:ascii="Arial" w:hAnsi="Arial"/>
                <w:b/>
                <w:iCs/>
                <w:spacing w:val="-4"/>
                <w:sz w:val="22"/>
                <w:szCs w:val="22"/>
              </w:rPr>
              <w:t xml:space="preserve"> en euros </w:t>
            </w:r>
          </w:p>
        </w:tc>
        <w:tc>
          <w:tcPr>
            <w:tcW w:w="1417" w:type="dxa"/>
          </w:tcPr>
          <w:p w14:paraId="2AD81DFC" w14:textId="63E1F2A2" w:rsidR="006B7BFE" w:rsidRPr="00A62004" w:rsidRDefault="006B7BFE" w:rsidP="0070360F">
            <w:pPr>
              <w:pStyle w:val="Default"/>
              <w:rPr>
                <w:rFonts w:ascii="Arial" w:hAnsi="Arial" w:cs="Arial"/>
                <w:b/>
                <w:spacing w:val="-4"/>
                <w:sz w:val="22"/>
                <w:szCs w:val="22"/>
              </w:rPr>
            </w:pPr>
            <w:r w:rsidRPr="00A62004">
              <w:rPr>
                <w:rFonts w:ascii="Arial" w:hAnsi="Arial"/>
                <w:b/>
                <w:iCs/>
                <w:spacing w:val="-4"/>
                <w:sz w:val="22"/>
                <w:szCs w:val="22"/>
              </w:rPr>
              <w:t xml:space="preserve">Frais de matériel </w:t>
            </w:r>
            <w:proofErr w:type="spellStart"/>
            <w:r w:rsidRPr="00A62004">
              <w:rPr>
                <w:rFonts w:ascii="Arial" w:hAnsi="Arial"/>
                <w:b/>
                <w:iCs/>
                <w:spacing w:val="-4"/>
                <w:sz w:val="22"/>
                <w:szCs w:val="22"/>
              </w:rPr>
              <w:t>exception</w:t>
            </w:r>
            <w:r w:rsidR="00A62004">
              <w:rPr>
                <w:rFonts w:ascii="Arial" w:hAnsi="Arial"/>
                <w:b/>
                <w:iCs/>
                <w:spacing w:val="-4"/>
                <w:sz w:val="22"/>
                <w:szCs w:val="22"/>
              </w:rPr>
              <w:t>-</w:t>
            </w:r>
            <w:r w:rsidRPr="00A62004">
              <w:rPr>
                <w:rFonts w:ascii="Arial" w:hAnsi="Arial"/>
                <w:b/>
                <w:iCs/>
                <w:spacing w:val="-4"/>
                <w:sz w:val="22"/>
                <w:szCs w:val="22"/>
              </w:rPr>
              <w:t>nels</w:t>
            </w:r>
            <w:proofErr w:type="spellEnd"/>
            <w:r w:rsidRPr="00A62004">
              <w:rPr>
                <w:rFonts w:ascii="Arial" w:hAnsi="Arial"/>
                <w:b/>
                <w:iCs/>
                <w:spacing w:val="-4"/>
                <w:sz w:val="22"/>
                <w:szCs w:val="22"/>
              </w:rPr>
              <w:t xml:space="preserve"> en euros </w:t>
            </w:r>
          </w:p>
        </w:tc>
        <w:tc>
          <w:tcPr>
            <w:tcW w:w="1418" w:type="dxa"/>
          </w:tcPr>
          <w:p w14:paraId="50C55997" w14:textId="3DA96458" w:rsidR="006B7BFE" w:rsidRPr="00A62004" w:rsidRDefault="006B7BFE" w:rsidP="0070360F">
            <w:pPr>
              <w:pStyle w:val="Default"/>
              <w:rPr>
                <w:rFonts w:ascii="Arial" w:hAnsi="Arial" w:cs="Arial"/>
                <w:b/>
                <w:spacing w:val="-4"/>
                <w:sz w:val="22"/>
                <w:szCs w:val="22"/>
              </w:rPr>
            </w:pPr>
            <w:r w:rsidRPr="00A62004">
              <w:rPr>
                <w:rFonts w:ascii="Arial" w:hAnsi="Arial"/>
                <w:b/>
                <w:bCs/>
                <w:iCs/>
                <w:spacing w:val="-4"/>
                <w:sz w:val="22"/>
                <w:szCs w:val="22"/>
              </w:rPr>
              <w:t xml:space="preserve">Charges d’exécution </w:t>
            </w:r>
            <w:proofErr w:type="spellStart"/>
            <w:r w:rsidRPr="00A62004">
              <w:rPr>
                <w:rFonts w:ascii="Arial" w:hAnsi="Arial"/>
                <w:b/>
                <w:bCs/>
                <w:iCs/>
                <w:spacing w:val="-4"/>
                <w:sz w:val="22"/>
                <w:szCs w:val="22"/>
              </w:rPr>
              <w:t>exception</w:t>
            </w:r>
            <w:r w:rsidR="00A62004">
              <w:rPr>
                <w:rFonts w:ascii="Arial" w:hAnsi="Arial"/>
                <w:b/>
                <w:bCs/>
                <w:iCs/>
                <w:spacing w:val="-4"/>
                <w:sz w:val="22"/>
                <w:szCs w:val="22"/>
              </w:rPr>
              <w:t>-</w:t>
            </w:r>
            <w:r w:rsidRPr="00A62004">
              <w:rPr>
                <w:rFonts w:ascii="Arial" w:hAnsi="Arial"/>
                <w:b/>
                <w:bCs/>
                <w:iCs/>
                <w:spacing w:val="-4"/>
                <w:sz w:val="22"/>
                <w:szCs w:val="22"/>
              </w:rPr>
              <w:t>nelles</w:t>
            </w:r>
            <w:proofErr w:type="spellEnd"/>
            <w:r w:rsidRPr="00A62004">
              <w:rPr>
                <w:rFonts w:ascii="Arial" w:hAnsi="Arial"/>
                <w:b/>
                <w:bCs/>
                <w:iCs/>
                <w:spacing w:val="-4"/>
                <w:sz w:val="22"/>
                <w:szCs w:val="22"/>
              </w:rPr>
              <w:t xml:space="preserve"> en euros </w:t>
            </w:r>
          </w:p>
        </w:tc>
      </w:tr>
      <w:tr w:rsidR="006B7BFE" w:rsidRPr="00A62004" w14:paraId="19635ABD" w14:textId="77777777" w:rsidTr="00A62004">
        <w:tc>
          <w:tcPr>
            <w:tcW w:w="1366" w:type="dxa"/>
          </w:tcPr>
          <w:p w14:paraId="3EF43B2A" w14:textId="7183A5A1" w:rsidR="006B7BFE" w:rsidRPr="00A62004" w:rsidRDefault="006B7BFE" w:rsidP="006B7BFE">
            <w:pPr>
              <w:pStyle w:val="Default"/>
              <w:rPr>
                <w:rFonts w:ascii="Arial" w:hAnsi="Arial" w:cs="Arial"/>
                <w:spacing w:val="-4"/>
                <w:sz w:val="22"/>
                <w:szCs w:val="22"/>
              </w:rPr>
            </w:pPr>
            <w:r w:rsidRPr="00A62004">
              <w:rPr>
                <w:rFonts w:ascii="Arial" w:hAnsi="Arial"/>
                <w:spacing w:val="-4"/>
                <w:sz w:val="22"/>
                <w:szCs w:val="22"/>
              </w:rPr>
              <w:t xml:space="preserve">Barrière </w:t>
            </w:r>
            <w:proofErr w:type="spellStart"/>
            <w:r w:rsidRPr="00A62004">
              <w:rPr>
                <w:rFonts w:ascii="Arial" w:hAnsi="Arial"/>
                <w:spacing w:val="-4"/>
                <w:sz w:val="22"/>
                <w:szCs w:val="22"/>
              </w:rPr>
              <w:t>fonction</w:t>
            </w:r>
            <w:r w:rsidR="00A62004">
              <w:rPr>
                <w:rFonts w:ascii="Arial" w:hAnsi="Arial"/>
                <w:spacing w:val="-4"/>
                <w:sz w:val="22"/>
                <w:szCs w:val="22"/>
              </w:rPr>
              <w:t>-</w:t>
            </w:r>
            <w:r w:rsidRPr="00A62004">
              <w:rPr>
                <w:rFonts w:ascii="Arial" w:hAnsi="Arial"/>
                <w:spacing w:val="-4"/>
                <w:sz w:val="22"/>
                <w:szCs w:val="22"/>
              </w:rPr>
              <w:t>nelle</w:t>
            </w:r>
            <w:proofErr w:type="spellEnd"/>
            <w:r w:rsidRPr="00A62004">
              <w:rPr>
                <w:rFonts w:ascii="Arial" w:hAnsi="Arial"/>
                <w:spacing w:val="-4"/>
                <w:sz w:val="22"/>
                <w:szCs w:val="22"/>
              </w:rPr>
              <w:t xml:space="preserve"> </w:t>
            </w:r>
          </w:p>
        </w:tc>
        <w:tc>
          <w:tcPr>
            <w:tcW w:w="1436" w:type="dxa"/>
          </w:tcPr>
          <w:p w14:paraId="3A8E99F1" w14:textId="6B2C6427" w:rsidR="006B7BFE" w:rsidRPr="00A62004" w:rsidRDefault="006B7BFE" w:rsidP="000F1682">
            <w:pPr>
              <w:pStyle w:val="Default"/>
              <w:rPr>
                <w:rFonts w:ascii="Arial" w:hAnsi="Arial" w:cs="Arial"/>
                <w:spacing w:val="-4"/>
                <w:sz w:val="22"/>
                <w:szCs w:val="22"/>
              </w:rPr>
            </w:pPr>
            <w:r w:rsidRPr="00A62004">
              <w:rPr>
                <w:rFonts w:ascii="Arial" w:hAnsi="Arial"/>
                <w:spacing w:val="-4"/>
                <w:sz w:val="22"/>
                <w:szCs w:val="22"/>
              </w:rPr>
              <w:t>Article 6a, paragraphes</w:t>
            </w:r>
            <w:r w:rsidR="00012CFE" w:rsidRPr="00A62004">
              <w:rPr>
                <w:rFonts w:ascii="Arial" w:hAnsi="Arial"/>
                <w:spacing w:val="-4"/>
                <w:sz w:val="22"/>
                <w:szCs w:val="22"/>
              </w:rPr>
              <w:t> </w:t>
            </w:r>
            <w:r w:rsidRPr="00A62004">
              <w:rPr>
                <w:rFonts w:ascii="Arial" w:hAnsi="Arial"/>
                <w:spacing w:val="-4"/>
                <w:sz w:val="22"/>
                <w:szCs w:val="22"/>
              </w:rPr>
              <w:t xml:space="preserve">1 et 4 </w:t>
            </w:r>
          </w:p>
        </w:tc>
        <w:tc>
          <w:tcPr>
            <w:tcW w:w="1304" w:type="dxa"/>
          </w:tcPr>
          <w:p w14:paraId="0BB48AAC" w14:textId="77777777" w:rsidR="006B7BFE" w:rsidRPr="00A62004" w:rsidRDefault="006B7BFE" w:rsidP="002F4768">
            <w:pPr>
              <w:pStyle w:val="Default"/>
              <w:rPr>
                <w:rFonts w:ascii="Arial" w:hAnsi="Arial" w:cs="Arial"/>
                <w:spacing w:val="-4"/>
                <w:sz w:val="22"/>
                <w:szCs w:val="22"/>
              </w:rPr>
            </w:pPr>
            <w:r w:rsidRPr="00A62004">
              <w:rPr>
                <w:rFonts w:ascii="Arial" w:hAnsi="Arial"/>
                <w:spacing w:val="-4"/>
                <w:sz w:val="22"/>
                <w:szCs w:val="22"/>
              </w:rPr>
              <w:t xml:space="preserve">60 000 </w:t>
            </w:r>
          </w:p>
        </w:tc>
        <w:tc>
          <w:tcPr>
            <w:tcW w:w="1275" w:type="dxa"/>
          </w:tcPr>
          <w:p w14:paraId="28388CFA" w14:textId="77777777" w:rsidR="006B7BFE" w:rsidRPr="00A62004" w:rsidRDefault="00A4031B" w:rsidP="006B7BFE">
            <w:pPr>
              <w:pStyle w:val="Default"/>
              <w:rPr>
                <w:rFonts w:ascii="Arial" w:hAnsi="Arial" w:cs="Arial"/>
                <w:spacing w:val="-4"/>
                <w:sz w:val="22"/>
                <w:szCs w:val="22"/>
              </w:rPr>
            </w:pPr>
            <w:r w:rsidRPr="00A62004">
              <w:rPr>
                <w:rFonts w:ascii="Arial" w:hAnsi="Arial"/>
                <w:spacing w:val="-4"/>
                <w:sz w:val="22"/>
                <w:szCs w:val="22"/>
              </w:rPr>
              <w:t>60,50</w:t>
            </w:r>
          </w:p>
        </w:tc>
        <w:tc>
          <w:tcPr>
            <w:tcW w:w="1277" w:type="dxa"/>
          </w:tcPr>
          <w:p w14:paraId="1C8517E8" w14:textId="77777777" w:rsidR="006B7BFE" w:rsidRPr="00A62004" w:rsidRDefault="00A4031B" w:rsidP="002F4768">
            <w:pPr>
              <w:pStyle w:val="Default"/>
              <w:rPr>
                <w:rFonts w:ascii="Arial" w:hAnsi="Arial" w:cs="Arial"/>
                <w:spacing w:val="-4"/>
                <w:sz w:val="22"/>
                <w:szCs w:val="22"/>
              </w:rPr>
            </w:pPr>
            <w:r w:rsidRPr="00A62004">
              <w:rPr>
                <w:rFonts w:ascii="Arial" w:hAnsi="Arial"/>
                <w:spacing w:val="-4"/>
                <w:sz w:val="22"/>
                <w:szCs w:val="22"/>
              </w:rPr>
              <w:t xml:space="preserve">3 630 000 </w:t>
            </w:r>
          </w:p>
        </w:tc>
        <w:tc>
          <w:tcPr>
            <w:tcW w:w="1417" w:type="dxa"/>
          </w:tcPr>
          <w:p w14:paraId="38F2E4E4" w14:textId="77777777" w:rsidR="006B7BFE" w:rsidRPr="00A62004" w:rsidRDefault="006B7BFE" w:rsidP="002F4768">
            <w:pPr>
              <w:pStyle w:val="Default"/>
              <w:rPr>
                <w:rFonts w:ascii="Arial" w:hAnsi="Arial" w:cs="Arial"/>
                <w:spacing w:val="-4"/>
                <w:sz w:val="22"/>
                <w:szCs w:val="22"/>
              </w:rPr>
            </w:pPr>
            <w:r w:rsidRPr="00A62004">
              <w:rPr>
                <w:rFonts w:ascii="Arial" w:hAnsi="Arial"/>
                <w:spacing w:val="-4"/>
                <w:sz w:val="22"/>
                <w:szCs w:val="22"/>
              </w:rPr>
              <w:t xml:space="preserve">5 650 000 </w:t>
            </w:r>
          </w:p>
        </w:tc>
        <w:tc>
          <w:tcPr>
            <w:tcW w:w="1418" w:type="dxa"/>
            <w:shd w:val="clear" w:color="auto" w:fill="BFBFBF" w:themeFill="background1" w:themeFillShade="BF"/>
          </w:tcPr>
          <w:p w14:paraId="5943CEDA" w14:textId="77777777" w:rsidR="006B7BFE" w:rsidRPr="00A62004" w:rsidRDefault="002F4768" w:rsidP="002F4768">
            <w:pPr>
              <w:pStyle w:val="Default"/>
              <w:rPr>
                <w:rFonts w:ascii="Arial" w:hAnsi="Arial" w:cs="Arial"/>
                <w:spacing w:val="-4"/>
                <w:sz w:val="22"/>
                <w:szCs w:val="22"/>
              </w:rPr>
            </w:pPr>
            <w:r w:rsidRPr="00A62004">
              <w:rPr>
                <w:rFonts w:ascii="Arial" w:hAnsi="Arial"/>
                <w:b/>
                <w:bCs/>
                <w:spacing w:val="-4"/>
                <w:sz w:val="22"/>
                <w:szCs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2060DD29"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b) Charges d</w:t>
      </w:r>
      <w:r w:rsidR="00012CFE">
        <w:t>’</w:t>
      </w:r>
      <w:r>
        <w:t xml:space="preserve">exécution annuelles </w:t>
      </w:r>
    </w:p>
    <w:p w14:paraId="5CB6CCB6" w14:textId="521BA6B6" w:rsidR="006B7BFE" w:rsidRPr="00D43FA1" w:rsidRDefault="006B7BFE" w:rsidP="0086292F">
      <w:pPr>
        <w:pStyle w:val="Text"/>
        <w:keepNext/>
        <w:keepLines/>
        <w:spacing w:before="0" w:after="0"/>
        <w:jc w:val="left"/>
      </w:pPr>
    </w:p>
    <w:p w14:paraId="318EDF1F" w14:textId="3EC78AF5" w:rsidR="00D43FA1" w:rsidRPr="00A62004" w:rsidRDefault="006B7BFE" w:rsidP="0086292F">
      <w:pPr>
        <w:pStyle w:val="Text"/>
        <w:keepNext/>
        <w:keepLines/>
        <w:spacing w:before="0" w:after="0"/>
        <w:rPr>
          <w:i/>
          <w:iCs/>
          <w:spacing w:val="-4"/>
        </w:rPr>
      </w:pPr>
      <w:r w:rsidRPr="00A62004">
        <w:rPr>
          <w:i/>
          <w:iCs/>
          <w:spacing w:val="-4"/>
        </w:rPr>
        <w:t>Les charges d</w:t>
      </w:r>
      <w:r w:rsidR="00012CFE" w:rsidRPr="00A62004">
        <w:rPr>
          <w:i/>
          <w:iCs/>
          <w:spacing w:val="-4"/>
        </w:rPr>
        <w:t>’</w:t>
      </w:r>
      <w:r w:rsidRPr="00A62004">
        <w:rPr>
          <w:i/>
          <w:iCs/>
          <w:spacing w:val="-4"/>
        </w:rPr>
        <w:t>exécution annuelles comprennent les frais de personnel et de matériel pour le contrôle périodique et les frais supplémentaires dus à la solution d</w:t>
      </w:r>
      <w:r w:rsidR="00012CFE" w:rsidRPr="00A62004">
        <w:rPr>
          <w:i/>
          <w:iCs/>
          <w:spacing w:val="-4"/>
        </w:rPr>
        <w:t>’</w:t>
      </w:r>
      <w:r w:rsidRPr="00A62004">
        <w:rPr>
          <w:i/>
          <w:iCs/>
          <w:spacing w:val="-4"/>
        </w:rPr>
        <w:t>emballage conforme à la réglementation conformément à l’article</w:t>
      </w:r>
      <w:r w:rsidR="00012CFE" w:rsidRPr="00A62004">
        <w:rPr>
          <w:i/>
          <w:iCs/>
          <w:spacing w:val="-4"/>
        </w:rPr>
        <w:t> </w:t>
      </w:r>
      <w:r w:rsidRPr="00A62004">
        <w:rPr>
          <w:i/>
          <w:iCs/>
          <w:spacing w:val="-4"/>
        </w:rPr>
        <w:t>6a. Le contrôle périodique des denrées alimentaires et des solutions d</w:t>
      </w:r>
      <w:r w:rsidR="00012CFE" w:rsidRPr="00A62004">
        <w:rPr>
          <w:i/>
          <w:iCs/>
          <w:spacing w:val="-4"/>
        </w:rPr>
        <w:t>’</w:t>
      </w:r>
      <w:r w:rsidRPr="00A62004">
        <w:rPr>
          <w:i/>
          <w:iCs/>
          <w:spacing w:val="-4"/>
        </w:rPr>
        <w:t>emballage compren</w:t>
      </w:r>
      <w:r w:rsidR="00012CFE" w:rsidRPr="00A62004">
        <w:rPr>
          <w:i/>
          <w:iCs/>
          <w:spacing w:val="-4"/>
        </w:rPr>
        <w:t>d</w:t>
      </w:r>
      <w:r w:rsidRPr="00A62004">
        <w:rPr>
          <w:i/>
          <w:iCs/>
          <w:spacing w:val="-4"/>
        </w:rPr>
        <w:t xml:space="preserve"> l</w:t>
      </w:r>
      <w:r w:rsidR="00012CFE" w:rsidRPr="00A62004">
        <w:rPr>
          <w:i/>
          <w:iCs/>
          <w:spacing w:val="-4"/>
        </w:rPr>
        <w:t>’</w:t>
      </w:r>
      <w:r w:rsidRPr="00A62004">
        <w:rPr>
          <w:i/>
          <w:iCs/>
          <w:spacing w:val="-4"/>
        </w:rPr>
        <w:t>échantillonnage, l</w:t>
      </w:r>
      <w:r w:rsidR="00012CFE" w:rsidRPr="00A62004">
        <w:rPr>
          <w:i/>
          <w:iCs/>
          <w:spacing w:val="-4"/>
        </w:rPr>
        <w:t>’</w:t>
      </w:r>
      <w:r w:rsidRPr="00A62004">
        <w:rPr>
          <w:i/>
          <w:iCs/>
          <w:spacing w:val="-4"/>
        </w:rPr>
        <w:t>analyse et l</w:t>
      </w:r>
      <w:r w:rsidR="00012CFE" w:rsidRPr="00A62004">
        <w:rPr>
          <w:i/>
          <w:iCs/>
          <w:spacing w:val="-4"/>
        </w:rPr>
        <w:t>’</w:t>
      </w:r>
      <w:r w:rsidRPr="00A62004">
        <w:rPr>
          <w:i/>
          <w:iCs/>
          <w:spacing w:val="-4"/>
        </w:rPr>
        <w:t xml:space="preserve">évaluation.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rPr>
          <w:i/>
          <w:iCs/>
        </w:rPr>
        <w:t>Nombre de cas</w:t>
      </w:r>
      <w:r>
        <w:t xml:space="preserve"> </w:t>
      </w:r>
      <w:r>
        <w:rPr>
          <w:color w:val="000000"/>
        </w:rPr>
        <w:t xml:space="preserve">(= produits </w:t>
      </w:r>
      <w:proofErr w:type="gramStart"/>
      <w:r>
        <w:rPr>
          <w:color w:val="000000"/>
        </w:rPr>
        <w:t>concernés:</w:t>
      </w:r>
      <w:proofErr w:type="gramEnd"/>
      <w:r>
        <w:rPr>
          <w:color w:val="000000"/>
        </w:rPr>
        <w:t xml:space="preserve"> aliments plus biens destinés à entrer en contact avec des denrées alimentaires qui entrent en contact avec ceux-ci) </w:t>
      </w:r>
    </w:p>
    <w:p w14:paraId="6EA56C3D" w14:textId="77777777" w:rsidR="00D43FA1" w:rsidRPr="00D43FA1" w:rsidRDefault="00D43FA1" w:rsidP="00D43FA1">
      <w:pPr>
        <w:pStyle w:val="Text"/>
        <w:spacing w:before="0" w:after="0"/>
        <w:ind w:left="360"/>
        <w:rPr>
          <w:u w:val="single"/>
        </w:rPr>
      </w:pPr>
    </w:p>
    <w:p w14:paraId="5F264B2C" w14:textId="4E80571D" w:rsidR="006B7BFE" w:rsidRPr="00D43FA1" w:rsidRDefault="006B7BFE" w:rsidP="00A62004">
      <w:pPr>
        <w:pStyle w:val="Text"/>
        <w:keepLines/>
        <w:spacing w:before="0" w:after="0"/>
      </w:pPr>
      <w:r>
        <w:lastRenderedPageBreak/>
        <w:t xml:space="preserve">Le nombre total de produits soumis au décret est calculé en fonction du nombre de cas pour les charges de transformation </w:t>
      </w:r>
      <w:proofErr w:type="gramStart"/>
      <w:r>
        <w:t>exceptionnelles:</w:t>
      </w:r>
      <w:proofErr w:type="gramEnd"/>
      <w:r>
        <w:t xml:space="preserve"> 10 000 produits sont concernés de manière générale, l</w:t>
      </w:r>
      <w:r w:rsidR="00012CFE">
        <w:t>’</w:t>
      </w:r>
      <w:r>
        <w:t>emballage doit être transformé pour 5 000</w:t>
      </w:r>
      <w:r w:rsidR="00012CFE">
        <w:t> </w:t>
      </w:r>
      <w:r>
        <w:t>produits. La conformité du nouvel emballage de ces 5 000</w:t>
      </w:r>
      <w:r w:rsidR="00012CFE">
        <w:t> </w:t>
      </w:r>
      <w:r>
        <w:t xml:space="preserve">produits sera </w:t>
      </w:r>
      <w:proofErr w:type="gramStart"/>
      <w:r>
        <w:t>vérifiée</w:t>
      </w:r>
      <w:proofErr w:type="gramEnd"/>
      <w:r>
        <w:t xml:space="preserve"> annuellement. Selon les entreprises interrogées, cette charge doit également être supportée pour les produits qui ne doivent pas être transformés. On suppose que le contrôle correspond à environ un tiers des charges pour les produits transformés.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iCs/>
        </w:rPr>
        <w:t>Charges de personnel</w:t>
      </w:r>
    </w:p>
    <w:p w14:paraId="0FD42608" w14:textId="77777777" w:rsidR="006B7BFE" w:rsidRPr="00D43FA1" w:rsidRDefault="006B7BFE" w:rsidP="0070360F">
      <w:pPr>
        <w:pStyle w:val="Text"/>
        <w:keepNext/>
        <w:keepLines/>
        <w:spacing w:before="0" w:after="0"/>
        <w:rPr>
          <w:i/>
          <w:iCs/>
          <w:u w:val="single"/>
        </w:rPr>
      </w:pPr>
    </w:p>
    <w:p w14:paraId="58C3C95C" w14:textId="2A2899C3" w:rsidR="006B7BFE" w:rsidRPr="00D43FA1" w:rsidRDefault="00E71594" w:rsidP="009140F6">
      <w:pPr>
        <w:pStyle w:val="Text"/>
        <w:spacing w:before="0" w:after="0"/>
      </w:pPr>
      <w:r>
        <w:t>Les charges d</w:t>
      </w:r>
      <w:r w:rsidR="00012CFE">
        <w:t>’</w:t>
      </w:r>
      <w:r>
        <w:t xml:space="preserve">exécution annuelles résultent des frais de personnel pour les tâches dans le domaine des contrôles périodiques des denrées alimentaires et des biens destinés à entrer en contact avec des denrées alimentaires qui y sont associés (généralement des emballages) (préparation et suivi des tests de </w:t>
      </w:r>
      <w:proofErr w:type="gramStart"/>
      <w:r>
        <w:t>laboratoire;</w:t>
      </w:r>
      <w:proofErr w:type="gramEnd"/>
      <w:r>
        <w:t xml:space="preserve"> les analyses elles-mêmes sont principalement réalisées en externe). Les frais totaux pour tous les produits concernés d</w:t>
      </w:r>
      <w:r w:rsidR="00012CFE">
        <w:t>’</w:t>
      </w:r>
      <w:r>
        <w:t>une entreprise ont été demandés et ces frais totaux ont été attribués au nombre de produits de l</w:t>
      </w:r>
      <w:r w:rsidR="00012CFE">
        <w:t>’</w:t>
      </w:r>
      <w:r>
        <w:t>entreprise entrant dans le champ d</w:t>
      </w:r>
      <w:r w:rsidR="00012CFE">
        <w:t>’</w:t>
      </w:r>
      <w:r>
        <w:t xml:space="preserve">application du décret. </w:t>
      </w:r>
    </w:p>
    <w:p w14:paraId="6A10C10F" w14:textId="4D02EE76" w:rsidR="006B7BFE" w:rsidRPr="00D43FA1" w:rsidRDefault="006B7BFE" w:rsidP="009140F6">
      <w:pPr>
        <w:pStyle w:val="Text"/>
        <w:spacing w:before="0" w:after="0"/>
        <w:rPr>
          <w:vertAlign w:val="superscript"/>
        </w:rPr>
      </w:pPr>
      <w:r>
        <w:t xml:space="preserve">Sur la base des entretiens, contrôler les aliments et les biens destinés à entrer en contact avec des denrées alimentaires qui y sont associés pourrait prendre annuellement </w:t>
      </w:r>
      <w:r>
        <w:rPr>
          <w:b/>
          <w:bCs/>
        </w:rPr>
        <w:t>trois heures par produit</w:t>
      </w:r>
      <w:r>
        <w:t>. En plus de la recherche des MOAH, cela inclut également des travaux préparatoires tels que l</w:t>
      </w:r>
      <w:r w:rsidR="00012CFE">
        <w:t>’</w:t>
      </w:r>
      <w:r>
        <w:t>échantillonnage. Le taux horaire est fixé à 60,50</w:t>
      </w:r>
      <w:r w:rsidR="00012CFE">
        <w:t> </w:t>
      </w:r>
      <w:r>
        <w:t>euros/heure.</w:t>
      </w:r>
      <w:r>
        <w:rPr>
          <w:vertAlign w:val="superscript"/>
        </w:rPr>
        <w:t>3</w:t>
      </w:r>
    </w:p>
    <w:p w14:paraId="1FCB5935" w14:textId="47DA23A9" w:rsidR="006B7BFE" w:rsidRPr="00D43FA1" w:rsidRDefault="006B7BFE" w:rsidP="009140F6">
      <w:pPr>
        <w:pStyle w:val="Text"/>
        <w:spacing w:before="0" w:after="0"/>
        <w:rPr>
          <w:vertAlign w:val="superscript"/>
        </w:rPr>
      </w:pPr>
      <w:r>
        <w:t>Sur la base des entretiens, les produits non transformés (50</w:t>
      </w:r>
      <w:r w:rsidR="00012CFE">
        <w:t> </w:t>
      </w:r>
      <w:r>
        <w:t>% du nombre total, soit 5 000</w:t>
      </w:r>
      <w:r w:rsidR="00012CFE">
        <w:t> </w:t>
      </w:r>
      <w:r>
        <w:t xml:space="preserve">produits) sont contrôlés de manière moins intensive. Le temps annuel requis correspond en conséquence à </w:t>
      </w:r>
      <w:r>
        <w:rPr>
          <w:b/>
          <w:bCs/>
        </w:rPr>
        <w:t>une heure par produit</w:t>
      </w:r>
      <w:r>
        <w:t>. Le taux horaire est fixé à 60,50</w:t>
      </w:r>
      <w:r w:rsidR="00012CFE">
        <w:t> </w:t>
      </w:r>
      <w:r>
        <w:t>euros/heure.</w:t>
      </w:r>
      <w:r>
        <w:rPr>
          <w:vertAlign w:val="superscript"/>
        </w:rPr>
        <w:t xml:space="preserve">3 </w:t>
      </w:r>
    </w:p>
    <w:p w14:paraId="572A0A4A" w14:textId="348B2495" w:rsidR="006B7BFE" w:rsidRPr="00D43FA1" w:rsidRDefault="006B7BFE" w:rsidP="009140F6">
      <w:pPr>
        <w:pStyle w:val="Text"/>
        <w:spacing w:before="0" w:after="0"/>
      </w:pPr>
      <w:r>
        <w:t xml:space="preserve">Les frais de personnel annuels sont donc les </w:t>
      </w:r>
      <w:proofErr w:type="gramStart"/>
      <w:r>
        <w:t>suivants:</w:t>
      </w:r>
      <w:proofErr w:type="gramEnd"/>
      <w:r>
        <w:t xml:space="preserve"> 3</w:t>
      </w:r>
      <w:r w:rsidR="00012CFE">
        <w:t> </w:t>
      </w:r>
      <w:r>
        <w:t>heures de contrôle x 60,50</w:t>
      </w:r>
      <w:r w:rsidR="00012CFE">
        <w:t> </w:t>
      </w:r>
      <w:r>
        <w:t>euros de taux horaire x 5 000 produits + 1</w:t>
      </w:r>
      <w:r w:rsidR="00012CFE">
        <w:t> </w:t>
      </w:r>
      <w:r>
        <w:t>heure de contrôle x 60,50</w:t>
      </w:r>
      <w:r w:rsidR="00012CFE">
        <w:t> </w:t>
      </w:r>
      <w:r>
        <w:t>euros de taux horaire x 5 000</w:t>
      </w:r>
      <w:r w:rsidR="00012CFE">
        <w:t> </w:t>
      </w:r>
      <w:r>
        <w:t>produits = 1 210 000</w:t>
      </w:r>
      <w:r w:rsidR="00012CFE">
        <w:t> </w:t>
      </w:r>
      <w:r>
        <w:t xml:space="preserve">euros.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iCs/>
        </w:rPr>
        <w:t xml:space="preserve">Frais de matériel </w:t>
      </w:r>
    </w:p>
    <w:p w14:paraId="1E71B5C0" w14:textId="77777777" w:rsidR="006B7BFE" w:rsidRPr="00D43FA1" w:rsidRDefault="006B7BFE" w:rsidP="0070360F">
      <w:pPr>
        <w:pStyle w:val="Text"/>
        <w:keepNext/>
        <w:keepLines/>
        <w:spacing w:before="0" w:after="0"/>
        <w:rPr>
          <w:i/>
          <w:iCs/>
          <w:u w:val="single"/>
        </w:rPr>
      </w:pPr>
    </w:p>
    <w:p w14:paraId="0B563A15" w14:textId="6AE3B301" w:rsidR="006B7BFE" w:rsidRPr="00A62004" w:rsidRDefault="006B7BFE" w:rsidP="009140F6">
      <w:pPr>
        <w:pStyle w:val="Text"/>
        <w:spacing w:before="0" w:after="0"/>
        <w:rPr>
          <w:spacing w:val="-4"/>
        </w:rPr>
      </w:pPr>
      <w:r w:rsidRPr="00A62004">
        <w:rPr>
          <w:spacing w:val="-4"/>
        </w:rPr>
        <w:t>Les frais de matériel sont constitués des coûts du contrôle périodique des aliments et des biens destinés à entrer en contact avec des denrées alimentaires qui y sont associés (généralement des emballages) et des frais supplémentaires pour les emballages à transformer. Les frais proviennent de la nomination de laboratoires externes pour les examens. Peu d</w:t>
      </w:r>
      <w:r w:rsidR="00012CFE" w:rsidRPr="00A62004">
        <w:rPr>
          <w:spacing w:val="-4"/>
        </w:rPr>
        <w:t>’</w:t>
      </w:r>
      <w:r w:rsidRPr="00A62004">
        <w:rPr>
          <w:spacing w:val="-4"/>
        </w:rPr>
        <w:t>entreprises effectuent elles-mêmes les analyses dans leur ensemble. Les frais pour tous les produits concernés d</w:t>
      </w:r>
      <w:r w:rsidR="00012CFE" w:rsidRPr="00A62004">
        <w:rPr>
          <w:spacing w:val="-4"/>
        </w:rPr>
        <w:t>’</w:t>
      </w:r>
      <w:r w:rsidRPr="00A62004">
        <w:rPr>
          <w:spacing w:val="-4"/>
        </w:rPr>
        <w:t>une entreprise ont été demandés et ces frais totaux ont été attribués au nombre de produits de l</w:t>
      </w:r>
      <w:r w:rsidR="00012CFE" w:rsidRPr="00A62004">
        <w:rPr>
          <w:spacing w:val="-4"/>
        </w:rPr>
        <w:t>’</w:t>
      </w:r>
      <w:r w:rsidRPr="00A62004">
        <w:rPr>
          <w:spacing w:val="-4"/>
        </w:rPr>
        <w:t>entreprise entrant dans le champ d</w:t>
      </w:r>
      <w:r w:rsidR="00012CFE" w:rsidRPr="00A62004">
        <w:rPr>
          <w:spacing w:val="-4"/>
        </w:rPr>
        <w:t>’</w:t>
      </w:r>
      <w:r w:rsidRPr="00A62004">
        <w:rPr>
          <w:spacing w:val="-4"/>
        </w:rPr>
        <w:t xml:space="preserve">application du décret. </w:t>
      </w:r>
    </w:p>
    <w:p w14:paraId="05FEEC02" w14:textId="0380DB0A" w:rsidR="006B7BFE" w:rsidRPr="00D43FA1" w:rsidRDefault="006B7BFE" w:rsidP="009140F6">
      <w:pPr>
        <w:pStyle w:val="Text"/>
        <w:spacing w:before="0" w:after="0"/>
      </w:pPr>
      <w:r>
        <w:t xml:space="preserve">Sur la base des entretiens, il a été possible de déterminer que les coûts annuels de contrôle des aliments et des biens destinés à entrer en contact avec des denrées alimentaires et des articles s’élèveraient à environ </w:t>
      </w:r>
      <w:r>
        <w:rPr>
          <w:b/>
          <w:bCs/>
        </w:rPr>
        <w:t>290</w:t>
      </w:r>
      <w:r w:rsidR="00012CFE">
        <w:rPr>
          <w:b/>
          <w:bCs/>
        </w:rPr>
        <w:t> </w:t>
      </w:r>
      <w:r>
        <w:rPr>
          <w:b/>
          <w:bCs/>
        </w:rPr>
        <w:t>euros par produit</w:t>
      </w:r>
      <w:r>
        <w:t xml:space="preserve">. 5 000 produits sont concernés par ces frais de matériel. Pour les contrôles moins intensifs des aliments à ne pas transformer, environ </w:t>
      </w:r>
      <w:r>
        <w:rPr>
          <w:b/>
          <w:bCs/>
        </w:rPr>
        <w:t>100</w:t>
      </w:r>
      <w:r w:rsidR="00012CFE">
        <w:rPr>
          <w:b/>
          <w:bCs/>
        </w:rPr>
        <w:t> </w:t>
      </w:r>
      <w:r>
        <w:rPr>
          <w:b/>
          <w:bCs/>
        </w:rPr>
        <w:t xml:space="preserve">euros par produit </w:t>
      </w:r>
      <w:r>
        <w:t>ont été déterminés pour 5 000</w:t>
      </w:r>
      <w:r w:rsidR="00012CFE">
        <w:t> </w:t>
      </w:r>
      <w:r>
        <w:t xml:space="preserve">produits. </w:t>
      </w:r>
    </w:p>
    <w:p w14:paraId="1FB0BAEE" w14:textId="54443FB6" w:rsidR="006B7BFE" w:rsidRPr="00D43FA1" w:rsidRDefault="006B7BFE" w:rsidP="009140F6">
      <w:pPr>
        <w:pStyle w:val="Text"/>
        <w:spacing w:before="0" w:after="0"/>
      </w:pPr>
      <w:r>
        <w:t>Les frais supplémentaires de matériel d</w:t>
      </w:r>
      <w:r w:rsidR="00012CFE">
        <w:t>’</w:t>
      </w:r>
      <w:r>
        <w:t>emballage pour les 5 000</w:t>
      </w:r>
      <w:r w:rsidR="00012CFE">
        <w:t> </w:t>
      </w:r>
      <w:r>
        <w:t>produits à transformer s</w:t>
      </w:r>
      <w:r w:rsidR="00012CFE">
        <w:t>’</w:t>
      </w:r>
      <w:r>
        <w:t xml:space="preserve">élèvent à environ </w:t>
      </w:r>
      <w:r>
        <w:rPr>
          <w:b/>
          <w:bCs/>
        </w:rPr>
        <w:t>1 000</w:t>
      </w:r>
      <w:r w:rsidR="00012CFE">
        <w:rPr>
          <w:b/>
          <w:bCs/>
        </w:rPr>
        <w:t> </w:t>
      </w:r>
      <w:r>
        <w:rPr>
          <w:b/>
          <w:bCs/>
        </w:rPr>
        <w:t>euros par produit</w:t>
      </w:r>
      <w:r>
        <w:t xml:space="preserve">. </w:t>
      </w:r>
    </w:p>
    <w:p w14:paraId="5A000AC2" w14:textId="435D4222" w:rsidR="006B7BFE" w:rsidRPr="00D43FA1" w:rsidRDefault="006B7BFE" w:rsidP="009140F6">
      <w:pPr>
        <w:pStyle w:val="Text"/>
        <w:spacing w:before="0" w:after="0"/>
      </w:pPr>
      <w:r>
        <w:t xml:space="preserve">Les frais de matériel annuels sont donc les </w:t>
      </w:r>
      <w:proofErr w:type="gramStart"/>
      <w:r>
        <w:t>suivants:</w:t>
      </w:r>
      <w:proofErr w:type="gramEnd"/>
      <w:r>
        <w:t xml:space="preserve"> 290</w:t>
      </w:r>
      <w:r w:rsidR="00012CFE">
        <w:t> </w:t>
      </w:r>
      <w:r>
        <w:t>euros de frais de contrôle x 5 000</w:t>
      </w:r>
      <w:r w:rsidR="00012CFE">
        <w:t> </w:t>
      </w:r>
      <w:r>
        <w:t>produits + 100</w:t>
      </w:r>
      <w:r w:rsidR="00012CFE">
        <w:t> </w:t>
      </w:r>
      <w:r>
        <w:t>euros de frais de contrôle x 5 000</w:t>
      </w:r>
      <w:r w:rsidR="00012CFE">
        <w:t> </w:t>
      </w:r>
      <w:r>
        <w:t>produits + 1 000</w:t>
      </w:r>
      <w:r w:rsidR="00012CFE">
        <w:t> </w:t>
      </w:r>
      <w:r>
        <w:t>euros de frais de matériel x 5 000</w:t>
      </w:r>
      <w:r w:rsidR="00012CFE">
        <w:t> </w:t>
      </w:r>
      <w:r>
        <w:t>produits = 6 950 000</w:t>
      </w:r>
      <w:r w:rsidR="00012CFE">
        <w:t> </w:t>
      </w:r>
      <w:r>
        <w:t xml:space="preserve">euros.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bCs/>
        </w:rPr>
        <w:lastRenderedPageBreak/>
        <w:t>Tableau </w:t>
      </w:r>
      <w:proofErr w:type="gramStart"/>
      <w:r>
        <w:rPr>
          <w:b/>
          <w:bCs/>
        </w:rPr>
        <w:t>3:</w:t>
      </w:r>
      <w:proofErr w:type="gramEnd"/>
      <w:r>
        <w:rPr>
          <w:b/>
          <w:bCs/>
        </w:rPr>
        <w:t xml:space="preserve"> Aperçu des charges d’exécution courantes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446"/>
      </w:tblGrid>
      <w:tr w:rsidR="006B7BFE" w:rsidRPr="00D43FA1" w14:paraId="1A7C22AA" w14:textId="77777777" w:rsidTr="00A62004">
        <w:tc>
          <w:tcPr>
            <w:tcW w:w="2660" w:type="dxa"/>
            <w:gridSpan w:val="2"/>
          </w:tcPr>
          <w:p w14:paraId="4EBDEFBC" w14:textId="603EE879"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Spécification/Obligation d’information (IP) </w:t>
            </w:r>
          </w:p>
          <w:p w14:paraId="67A2E6B2" w14:textId="77777777" w:rsidR="006B7BFE" w:rsidRPr="00D43FA1" w:rsidRDefault="006B7BFE" w:rsidP="0070360F">
            <w:pPr>
              <w:pStyle w:val="Default"/>
              <w:keepNext/>
              <w:keepLines/>
              <w:rPr>
                <w:rFonts w:ascii="Arial" w:hAnsi="Arial" w:cs="Arial"/>
                <w:b/>
                <w:sz w:val="22"/>
                <w:szCs w:val="22"/>
              </w:rPr>
            </w:pPr>
          </w:p>
        </w:tc>
        <w:tc>
          <w:tcPr>
            <w:tcW w:w="1276" w:type="dxa"/>
          </w:tcPr>
          <w:p w14:paraId="06CC8623" w14:textId="779C4C74"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Temps requis </w:t>
            </w:r>
            <w:proofErr w:type="spellStart"/>
            <w:r>
              <w:rPr>
                <w:rFonts w:ascii="Arial" w:hAnsi="Arial"/>
                <w:b/>
                <w:iCs/>
                <w:sz w:val="22"/>
                <w:szCs w:val="22"/>
              </w:rPr>
              <w:t>annuel</w:t>
            </w:r>
            <w:r w:rsidR="00A62004">
              <w:rPr>
                <w:rFonts w:ascii="Arial" w:hAnsi="Arial"/>
                <w:b/>
                <w:iCs/>
                <w:sz w:val="22"/>
                <w:szCs w:val="22"/>
              </w:rPr>
              <w:t>-</w:t>
            </w:r>
            <w:r>
              <w:rPr>
                <w:rFonts w:ascii="Arial" w:hAnsi="Arial"/>
                <w:b/>
                <w:iCs/>
                <w:sz w:val="22"/>
                <w:szCs w:val="22"/>
              </w:rPr>
              <w:t>lement</w:t>
            </w:r>
            <w:proofErr w:type="spellEnd"/>
            <w:r>
              <w:rPr>
                <w:rFonts w:ascii="Arial" w:hAnsi="Arial"/>
                <w:b/>
                <w:iCs/>
                <w:sz w:val="22"/>
                <w:szCs w:val="22"/>
              </w:rPr>
              <w:t xml:space="preserve"> en heures </w:t>
            </w:r>
          </w:p>
        </w:tc>
        <w:tc>
          <w:tcPr>
            <w:tcW w:w="1275" w:type="dxa"/>
          </w:tcPr>
          <w:p w14:paraId="6C38D040" w14:textId="63516781"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Taux horaire en euros/h </w:t>
            </w:r>
          </w:p>
        </w:tc>
        <w:tc>
          <w:tcPr>
            <w:tcW w:w="1276" w:type="dxa"/>
          </w:tcPr>
          <w:p w14:paraId="759A246A" w14:textId="299BA053"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Frais de personnel annuels en euros </w:t>
            </w:r>
          </w:p>
        </w:tc>
        <w:tc>
          <w:tcPr>
            <w:tcW w:w="1276" w:type="dxa"/>
          </w:tcPr>
          <w:p w14:paraId="3BAD02CC" w14:textId="52624B6B" w:rsidR="006B7BFE" w:rsidRPr="00D43FA1" w:rsidRDefault="006B7BFE" w:rsidP="0070360F">
            <w:pPr>
              <w:pStyle w:val="Default"/>
              <w:keepNext/>
              <w:keepLines/>
              <w:rPr>
                <w:rFonts w:ascii="Arial" w:hAnsi="Arial" w:cs="Arial"/>
                <w:b/>
                <w:sz w:val="22"/>
                <w:szCs w:val="22"/>
              </w:rPr>
            </w:pPr>
            <w:r>
              <w:rPr>
                <w:rFonts w:ascii="Arial" w:hAnsi="Arial"/>
                <w:b/>
                <w:iCs/>
                <w:sz w:val="22"/>
                <w:szCs w:val="22"/>
              </w:rPr>
              <w:t xml:space="preserve">Frais de matériel annuels en euros </w:t>
            </w:r>
          </w:p>
        </w:tc>
        <w:tc>
          <w:tcPr>
            <w:tcW w:w="1446" w:type="dxa"/>
          </w:tcPr>
          <w:p w14:paraId="7EA852C4" w14:textId="1FF43BB6" w:rsidR="006B7BFE" w:rsidRPr="00D43FA1" w:rsidRDefault="006B7BFE" w:rsidP="0070360F">
            <w:pPr>
              <w:pStyle w:val="Default"/>
              <w:keepNext/>
              <w:keepLines/>
              <w:rPr>
                <w:rFonts w:ascii="Arial" w:hAnsi="Arial" w:cs="Arial"/>
                <w:b/>
                <w:sz w:val="22"/>
                <w:szCs w:val="22"/>
              </w:rPr>
            </w:pPr>
            <w:r>
              <w:rPr>
                <w:rFonts w:ascii="Arial" w:hAnsi="Arial"/>
                <w:b/>
                <w:bCs/>
                <w:iCs/>
                <w:sz w:val="22"/>
                <w:szCs w:val="22"/>
              </w:rPr>
              <w:t xml:space="preserve">Charges d’exécution annuelles en euros </w:t>
            </w:r>
          </w:p>
        </w:tc>
      </w:tr>
      <w:tr w:rsidR="006B7BFE" w:rsidRPr="00D43FA1" w14:paraId="17404952" w14:textId="77777777" w:rsidTr="00A62004">
        <w:tc>
          <w:tcPr>
            <w:tcW w:w="1366" w:type="dxa"/>
          </w:tcPr>
          <w:p w14:paraId="274A982B" w14:textId="77777777" w:rsidR="006B7BFE" w:rsidRPr="00D43FA1" w:rsidRDefault="006B7BFE" w:rsidP="006B7BFE">
            <w:pPr>
              <w:pStyle w:val="Default"/>
              <w:rPr>
                <w:rFonts w:ascii="Arial" w:hAnsi="Arial" w:cs="Arial"/>
                <w:sz w:val="22"/>
                <w:szCs w:val="22"/>
              </w:rPr>
            </w:pPr>
            <w:r>
              <w:rPr>
                <w:rFonts w:ascii="Arial" w:hAnsi="Arial"/>
                <w:sz w:val="22"/>
                <w:szCs w:val="22"/>
              </w:rPr>
              <w:t xml:space="preserve">Barrière fonctionnelle </w:t>
            </w:r>
          </w:p>
        </w:tc>
        <w:tc>
          <w:tcPr>
            <w:tcW w:w="1294" w:type="dxa"/>
          </w:tcPr>
          <w:p w14:paraId="73BC7D3D" w14:textId="3FEC614C" w:rsidR="006B7BFE" w:rsidRPr="00D43FA1" w:rsidRDefault="006B7BFE" w:rsidP="000F1682">
            <w:pPr>
              <w:pStyle w:val="Default"/>
              <w:rPr>
                <w:rFonts w:ascii="Arial" w:hAnsi="Arial" w:cs="Arial"/>
                <w:sz w:val="22"/>
                <w:szCs w:val="22"/>
              </w:rPr>
            </w:pPr>
            <w:r>
              <w:rPr>
                <w:rFonts w:ascii="Arial" w:hAnsi="Arial"/>
                <w:sz w:val="22"/>
                <w:szCs w:val="22"/>
              </w:rPr>
              <w:t>Article 6a, paragraphes</w:t>
            </w:r>
            <w:r w:rsidR="00012CFE">
              <w:rPr>
                <w:rFonts w:ascii="Arial" w:hAnsi="Arial"/>
                <w:sz w:val="22"/>
                <w:szCs w:val="22"/>
              </w:rPr>
              <w:t> </w:t>
            </w:r>
            <w:r>
              <w:rPr>
                <w:rFonts w:ascii="Arial" w:hAnsi="Arial"/>
                <w:sz w:val="22"/>
                <w:szCs w:val="22"/>
              </w:rPr>
              <w:t xml:space="preserve">1 et 4 </w:t>
            </w:r>
          </w:p>
        </w:tc>
        <w:tc>
          <w:tcPr>
            <w:tcW w:w="1276" w:type="dxa"/>
          </w:tcPr>
          <w:p w14:paraId="211D8246"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20 000 </w:t>
            </w:r>
          </w:p>
        </w:tc>
        <w:tc>
          <w:tcPr>
            <w:tcW w:w="1275" w:type="dxa"/>
          </w:tcPr>
          <w:p w14:paraId="041B8DAD" w14:textId="77777777" w:rsidR="006B7BFE" w:rsidRPr="00D43FA1" w:rsidRDefault="00A4031B" w:rsidP="006B7BFE">
            <w:pPr>
              <w:pStyle w:val="Default"/>
              <w:rPr>
                <w:rFonts w:ascii="Arial" w:hAnsi="Arial" w:cs="Arial"/>
                <w:sz w:val="22"/>
                <w:szCs w:val="22"/>
              </w:rPr>
            </w:pPr>
            <w:r>
              <w:rPr>
                <w:rFonts w:ascii="Arial" w:hAnsi="Arial"/>
                <w:sz w:val="22"/>
                <w:szCs w:val="22"/>
              </w:rPr>
              <w:t>60,50</w:t>
            </w:r>
          </w:p>
        </w:tc>
        <w:tc>
          <w:tcPr>
            <w:tcW w:w="1276" w:type="dxa"/>
          </w:tcPr>
          <w:p w14:paraId="3016DBF2" w14:textId="77777777" w:rsidR="006B7BFE" w:rsidRPr="00D43FA1" w:rsidRDefault="00A4031B" w:rsidP="002F4768">
            <w:pPr>
              <w:pStyle w:val="Default"/>
              <w:rPr>
                <w:rFonts w:ascii="Arial" w:hAnsi="Arial" w:cs="Arial"/>
                <w:sz w:val="22"/>
                <w:szCs w:val="22"/>
              </w:rPr>
            </w:pPr>
            <w:r>
              <w:rPr>
                <w:rFonts w:ascii="Arial" w:hAnsi="Arial"/>
                <w:sz w:val="22"/>
                <w:szCs w:val="22"/>
              </w:rPr>
              <w:t xml:space="preserve">1 210 000 </w:t>
            </w:r>
          </w:p>
        </w:tc>
        <w:tc>
          <w:tcPr>
            <w:tcW w:w="1276" w:type="dxa"/>
          </w:tcPr>
          <w:p w14:paraId="7800B24B" w14:textId="77777777" w:rsidR="006B7BFE" w:rsidRPr="00D43FA1" w:rsidRDefault="006B7BFE" w:rsidP="002F4768">
            <w:pPr>
              <w:pStyle w:val="Default"/>
              <w:rPr>
                <w:rFonts w:ascii="Arial" w:hAnsi="Arial" w:cs="Arial"/>
                <w:sz w:val="22"/>
                <w:szCs w:val="22"/>
              </w:rPr>
            </w:pPr>
            <w:r>
              <w:rPr>
                <w:rFonts w:ascii="Arial" w:hAnsi="Arial"/>
                <w:sz w:val="22"/>
                <w:szCs w:val="22"/>
              </w:rPr>
              <w:t xml:space="preserve">6 950 000 </w:t>
            </w:r>
          </w:p>
        </w:tc>
        <w:tc>
          <w:tcPr>
            <w:tcW w:w="1446" w:type="dxa"/>
            <w:shd w:val="clear" w:color="auto" w:fill="BFBFBF" w:themeFill="background1" w:themeFillShade="BF"/>
          </w:tcPr>
          <w:p w14:paraId="4DC4F037" w14:textId="77777777" w:rsidR="006B7BFE" w:rsidRPr="00D43FA1" w:rsidRDefault="002F4768" w:rsidP="002F4768">
            <w:pPr>
              <w:pStyle w:val="Default"/>
              <w:rPr>
                <w:rFonts w:ascii="Arial" w:hAnsi="Arial" w:cs="Arial"/>
                <w:sz w:val="22"/>
                <w:szCs w:val="22"/>
              </w:rPr>
            </w:pPr>
            <w:r>
              <w:rPr>
                <w:rFonts w:ascii="Arial" w:hAnsi="Arial"/>
                <w:b/>
                <w:bCs/>
                <w:sz w:val="22"/>
                <w:szCs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bCs/>
          <w:u w:val="single"/>
        </w:rPr>
        <w:t xml:space="preserve">Déclaration écrite ou électronique sur la renonciation à des barrières fonctionnelles selon l’article 6a, paragraphe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Charges de transformation exceptionnelles </w:t>
      </w:r>
    </w:p>
    <w:p w14:paraId="6355E48C" w14:textId="77777777" w:rsidR="006B7BFE" w:rsidRPr="00D43FA1" w:rsidRDefault="006B7BFE" w:rsidP="009140F6">
      <w:pPr>
        <w:pStyle w:val="Text"/>
        <w:spacing w:before="0" w:after="0"/>
      </w:pPr>
    </w:p>
    <w:p w14:paraId="712DAED7" w14:textId="6113F80A" w:rsidR="006B7BFE" w:rsidRPr="00D43FA1" w:rsidRDefault="006B7BFE" w:rsidP="009140F6">
      <w:pPr>
        <w:pStyle w:val="Text"/>
        <w:spacing w:before="0" w:after="0"/>
      </w:pPr>
      <w:r>
        <w:t>Il n</w:t>
      </w:r>
      <w:r w:rsidR="00012CFE">
        <w:t>’</w:t>
      </w:r>
      <w:r>
        <w:t xml:space="preserve">y a pas de charges de transformation exceptionnelles. </w:t>
      </w:r>
    </w:p>
    <w:p w14:paraId="00996219" w14:textId="77777777" w:rsidR="006B7BFE" w:rsidRPr="00D43FA1" w:rsidRDefault="006B7BFE" w:rsidP="009140F6">
      <w:pPr>
        <w:pStyle w:val="Text"/>
        <w:spacing w:before="0" w:after="0"/>
      </w:pPr>
    </w:p>
    <w:p w14:paraId="17551374" w14:textId="10F1CDE1" w:rsidR="006B7BFE" w:rsidRPr="00D43FA1" w:rsidRDefault="006B7BFE" w:rsidP="0070360F">
      <w:pPr>
        <w:pStyle w:val="Text"/>
        <w:keepNext/>
        <w:keepLines/>
        <w:spacing w:before="0" w:after="0"/>
      </w:pPr>
      <w:r>
        <w:t>b) Charges d</w:t>
      </w:r>
      <w:r w:rsidR="00012CFE">
        <w:t>’</w:t>
      </w:r>
      <w:r>
        <w:t xml:space="preserve">exécution annuelles </w:t>
      </w:r>
    </w:p>
    <w:p w14:paraId="35D80FBA" w14:textId="77777777" w:rsidR="006B7BFE" w:rsidRPr="00D43FA1" w:rsidRDefault="006B7BFE" w:rsidP="0070360F">
      <w:pPr>
        <w:pStyle w:val="Text"/>
        <w:keepNext/>
        <w:keepLines/>
        <w:spacing w:before="0" w:after="0"/>
      </w:pPr>
    </w:p>
    <w:p w14:paraId="3CE01598" w14:textId="224A65B2" w:rsidR="006B7BFE" w:rsidRPr="00D43FA1" w:rsidRDefault="006B7BFE" w:rsidP="009140F6">
      <w:pPr>
        <w:pStyle w:val="Text"/>
        <w:spacing w:before="0" w:after="0"/>
      </w:pPr>
      <w:r>
        <w:t>Les informations supplémentaires requises, c</w:t>
      </w:r>
      <w:r w:rsidR="00012CFE">
        <w:t>’</w:t>
      </w:r>
      <w:r>
        <w:t>est-à-dire le contenu d</w:t>
      </w:r>
      <w:r w:rsidR="00012CFE">
        <w:t>’</w:t>
      </w:r>
      <w:r>
        <w:t>une déclaration de renonciation, font déjà l’objet de discussion entre les fabricants d</w:t>
      </w:r>
      <w:r w:rsidR="00012CFE">
        <w:t>’</w:t>
      </w:r>
      <w:r>
        <w:t>emballages et les fabricants de produits alimentaires dans le cadre des accords sur les matériaux d</w:t>
      </w:r>
      <w:r w:rsidR="00012CFE">
        <w:t>’</w:t>
      </w:r>
      <w:r>
        <w:t xml:space="preserve">emballage. Les charges d’exécution supplémentaires qui en résultent sont mineures. </w:t>
      </w:r>
    </w:p>
    <w:p w14:paraId="7BA9413B" w14:textId="77777777" w:rsidR="006B7BFE" w:rsidRPr="00D43FA1" w:rsidRDefault="006B7BFE" w:rsidP="009140F6">
      <w:pPr>
        <w:pStyle w:val="Text"/>
        <w:spacing w:before="0" w:after="0"/>
      </w:pPr>
    </w:p>
    <w:p w14:paraId="27386C8C" w14:textId="6AF344EE" w:rsidR="006B7BFE" w:rsidRPr="00D43FA1" w:rsidRDefault="006B7BFE" w:rsidP="0070360F">
      <w:pPr>
        <w:pStyle w:val="Text"/>
        <w:keepNext/>
        <w:keepLines/>
        <w:spacing w:before="0" w:after="0"/>
        <w:rPr>
          <w:b/>
          <w:bCs/>
          <w:u w:val="single"/>
        </w:rPr>
      </w:pPr>
      <w:r>
        <w:rPr>
          <w:b/>
          <w:bCs/>
          <w:u w:val="single"/>
        </w:rPr>
        <w:t>Obligation de fournir la preuve que tout transfert de MOAH est exclu conformément à l’article</w:t>
      </w:r>
      <w:r w:rsidR="00012CFE">
        <w:rPr>
          <w:b/>
          <w:bCs/>
          <w:u w:val="single"/>
        </w:rPr>
        <w:t> </w:t>
      </w:r>
      <w:r>
        <w:rPr>
          <w:b/>
          <w:bCs/>
          <w:u w:val="single"/>
        </w:rPr>
        <w:t>6a, paragraphes</w:t>
      </w:r>
      <w:r w:rsidR="00012CFE">
        <w:rPr>
          <w:b/>
          <w:bCs/>
          <w:u w:val="single"/>
        </w:rPr>
        <w:t> </w:t>
      </w:r>
      <w:r>
        <w:rPr>
          <w:b/>
          <w:bCs/>
          <w:u w:val="single"/>
        </w:rPr>
        <w:t>1, 2, 4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Charges de transformation exceptionnelles </w:t>
      </w:r>
    </w:p>
    <w:p w14:paraId="05D46EC8" w14:textId="77777777" w:rsidR="006B7BFE" w:rsidRPr="00D43FA1" w:rsidRDefault="006B7BFE" w:rsidP="009140F6">
      <w:pPr>
        <w:pStyle w:val="Text"/>
        <w:spacing w:before="0" w:after="0"/>
      </w:pPr>
    </w:p>
    <w:p w14:paraId="41AA9133" w14:textId="05FBF3D9" w:rsidR="006B7BFE" w:rsidRPr="00D43FA1" w:rsidRDefault="006B7BFE" w:rsidP="009140F6">
      <w:pPr>
        <w:pStyle w:val="Text"/>
        <w:spacing w:before="0" w:after="0"/>
      </w:pPr>
      <w:r>
        <w:t>Il n</w:t>
      </w:r>
      <w:r w:rsidR="00012CFE">
        <w:t>’</w:t>
      </w:r>
      <w:r>
        <w:t xml:space="preserve">y a pas de charges de transformation exceptionnelles. </w:t>
      </w:r>
    </w:p>
    <w:p w14:paraId="47912140" w14:textId="77777777" w:rsidR="006B7BFE" w:rsidRPr="00D43FA1" w:rsidRDefault="006B7BFE" w:rsidP="009140F6">
      <w:pPr>
        <w:pStyle w:val="Text"/>
        <w:spacing w:before="0" w:after="0"/>
      </w:pPr>
    </w:p>
    <w:p w14:paraId="25B57848" w14:textId="31C43A3F" w:rsidR="006B7BFE" w:rsidRPr="00D43FA1" w:rsidRDefault="006B7BFE" w:rsidP="0070360F">
      <w:pPr>
        <w:pStyle w:val="Text"/>
        <w:keepNext/>
        <w:keepLines/>
        <w:spacing w:before="0" w:after="0"/>
      </w:pPr>
      <w:r>
        <w:t>b) Charges d</w:t>
      </w:r>
      <w:r w:rsidR="00012CFE">
        <w:t>’</w:t>
      </w:r>
      <w:r>
        <w:t xml:space="preserve">exécution annuelles </w:t>
      </w:r>
    </w:p>
    <w:p w14:paraId="3DD42870" w14:textId="77777777" w:rsidR="006B7BFE" w:rsidRPr="00D43FA1" w:rsidRDefault="006B7BFE" w:rsidP="0070360F">
      <w:pPr>
        <w:pStyle w:val="Text"/>
        <w:keepNext/>
        <w:keepLines/>
        <w:spacing w:before="0" w:after="0"/>
      </w:pPr>
    </w:p>
    <w:p w14:paraId="0F203911" w14:textId="422F8E30" w:rsidR="00013F7F" w:rsidRPr="00D43FA1" w:rsidRDefault="006B7BFE" w:rsidP="00557D18">
      <w:pPr>
        <w:pStyle w:val="Text"/>
        <w:spacing w:before="0" w:after="0"/>
      </w:pPr>
      <w:r>
        <w:t>Dans le règlement (CE) n° 2023/2006 de la Commission du 22</w:t>
      </w:r>
      <w:r w:rsidR="00012CFE">
        <w:t> </w:t>
      </w:r>
      <w:r>
        <w:t>décembre</w:t>
      </w:r>
      <w:r w:rsidR="00012CFE">
        <w:t> </w:t>
      </w:r>
      <w:r>
        <w:t>2006 relatif aux bonnes pratiques de fabrication des matériaux et objets destinés à entrer en contact avec des denrées alimentaires (JO L</w:t>
      </w:r>
      <w:r w:rsidR="00012CFE">
        <w:t> </w:t>
      </w:r>
      <w:r>
        <w:t>384 du 29.12.2006, p.</w:t>
      </w:r>
      <w:r w:rsidR="00012CFE">
        <w:t> </w:t>
      </w:r>
      <w:r>
        <w:t>75) (dit règlement GMP), une exigence de documentation générale pour les biens destinés à entrer en contact avec des denrées alimentaires est déjà ancrée. De plus, le contrôle initial et les contrôles périodiques des aliments et des emballages alimentaires produisent déjà des documents pouvant servir de preuve. Les charges d’exécution supplémentaires qui en résultent sont mineures.</w:t>
      </w:r>
    </w:p>
    <w:p w14:paraId="6239F5A0" w14:textId="77777777" w:rsidR="00013F7F" w:rsidRPr="00D43FA1" w:rsidRDefault="00013F7F" w:rsidP="00013F7F">
      <w:pPr>
        <w:pStyle w:val="Text"/>
        <w:spacing w:before="0" w:after="0"/>
        <w:jc w:val="left"/>
      </w:pPr>
    </w:p>
    <w:p w14:paraId="24214F93" w14:textId="72F751BA" w:rsidR="00425BF3" w:rsidRPr="00D43FA1" w:rsidRDefault="00425BF3" w:rsidP="00557D18">
      <w:pPr>
        <w:pStyle w:val="Text"/>
        <w:spacing w:before="0" w:after="0"/>
      </w:pPr>
      <w:r>
        <w:t>Les dispositions du règlement s</w:t>
      </w:r>
      <w:r w:rsidR="00012CFE">
        <w:t>’</w:t>
      </w:r>
      <w:r>
        <w:t>appliquent également aux petites et moyennes entreprises (PME). Des exceptions spéciales pour les PME ne sont pas possibles pour des raisons de protection de la santé des consommateurs. Cependant, le décret prévoit généralement des exceptions pour l</w:t>
      </w:r>
      <w:r w:rsidR="00012CFE">
        <w:t>’</w:t>
      </w:r>
      <w:r>
        <w:t>utilisation d</w:t>
      </w:r>
      <w:r w:rsidR="00012CFE">
        <w:t>’</w:t>
      </w:r>
      <w:r>
        <w:t>une barrière fonctionnelle, à condition que les conditions nécessaires à cet effet soient remplies.</w:t>
      </w:r>
    </w:p>
    <w:p w14:paraId="4C839333" w14:textId="77777777" w:rsidR="00325F70" w:rsidRPr="00D43FA1" w:rsidRDefault="00325F70" w:rsidP="00013F7F">
      <w:pPr>
        <w:pStyle w:val="Text"/>
        <w:spacing w:before="0" w:after="0"/>
        <w:jc w:val="left"/>
      </w:pPr>
    </w:p>
    <w:p w14:paraId="2CF68D80" w14:textId="52898B94" w:rsidR="003F6BDA" w:rsidRPr="00D43FA1" w:rsidRDefault="00091B75" w:rsidP="00557D18">
      <w:pPr>
        <w:pStyle w:val="Text"/>
        <w:spacing w:before="0" w:after="0"/>
      </w:pPr>
      <w:r>
        <w:t>Les charges d</w:t>
      </w:r>
      <w:r w:rsidR="00012CFE">
        <w:t>’</w:t>
      </w:r>
      <w:r>
        <w:t>exécution exceptionnelles supplémentaires déclenchées par le projet pour le secteur économique sont soumises à la règle du one in, one out. Une compensation ne peut pas être réalisée dans la présente réglementation. Les charges d’exécution sont donc compensées par un autre projet réglementaire.</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Charges d’exécution pour les citoyens</w:t>
      </w:r>
    </w:p>
    <w:p w14:paraId="49145E90" w14:textId="77777777" w:rsidR="004779CD" w:rsidRPr="00D43FA1" w:rsidRDefault="004779CD" w:rsidP="0070360F">
      <w:pPr>
        <w:pStyle w:val="Text"/>
        <w:keepNext/>
        <w:keepLines/>
        <w:spacing w:before="0" w:after="0"/>
      </w:pPr>
    </w:p>
    <w:p w14:paraId="61EA37FE" w14:textId="568D3351" w:rsidR="00D43FA1" w:rsidRDefault="00612652" w:rsidP="003F6BDA">
      <w:pPr>
        <w:pStyle w:val="Text"/>
        <w:spacing w:before="0" w:after="0"/>
      </w:pPr>
      <w:r>
        <w:t>Le décret n</w:t>
      </w:r>
      <w:r w:rsidR="00012CFE">
        <w:t>’</w:t>
      </w:r>
      <w:r>
        <w:t>entraîne aucun coût d</w:t>
      </w:r>
      <w:r w:rsidR="00012CFE">
        <w:t>’</w:t>
      </w:r>
      <w:r>
        <w:t>exécution pour les citoyens.</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lastRenderedPageBreak/>
        <w:t>Autres coûts</w:t>
      </w:r>
    </w:p>
    <w:p w14:paraId="4A6DA429" w14:textId="0D8F3C9B" w:rsidR="000F4A0B" w:rsidRPr="00D43FA1" w:rsidRDefault="00CB5E99">
      <w:pPr>
        <w:pStyle w:val="Text"/>
      </w:pPr>
      <w:r>
        <w:t xml:space="preserve">Des incidences sur les prix unitaires ne peuvent pas être totalement </w:t>
      </w:r>
      <w:proofErr w:type="gramStart"/>
      <w:r>
        <w:t>exclues;</w:t>
      </w:r>
      <w:proofErr w:type="gramEnd"/>
      <w:r>
        <w:t xml:space="preserve"> des répercussions sur le niveau des prix en général et notamment sur le niveau des prix à la consommation ne sont toutefois pas attendues.</w:t>
      </w:r>
    </w:p>
    <w:p w14:paraId="6B3FA7B6" w14:textId="77777777" w:rsidR="000F4A0B" w:rsidRPr="00D43FA1" w:rsidRDefault="000F4A0B" w:rsidP="000F4A0B">
      <w:pPr>
        <w:pStyle w:val="berschriftarabischBegrndung"/>
      </w:pPr>
      <w:r>
        <w:t>Autre impact de la loi</w:t>
      </w:r>
    </w:p>
    <w:p w14:paraId="0411E3C3" w14:textId="6A28ABC5" w:rsidR="000F4A0B" w:rsidRPr="00D43FA1" w:rsidRDefault="000F4A0B" w:rsidP="000F4A0B">
      <w:pPr>
        <w:pStyle w:val="Text"/>
      </w:pPr>
      <w:r>
        <w:t>Le décret ne contient aucune mesure ayant un impact spécifique sur les conditions de vie des femmes ou des hommes. La protection de la santé des femmes et des hommes est prise en compte sur une base égalitaire. Aucune incidence ne devrait donc apparaître en termes d</w:t>
      </w:r>
      <w:r w:rsidR="00012CFE">
        <w:t>’</w:t>
      </w:r>
      <w:r>
        <w:t xml:space="preserve">égalité entre les femmes et les hommes. </w:t>
      </w:r>
    </w:p>
    <w:p w14:paraId="3D5B6005" w14:textId="77777777" w:rsidR="000F4A0B" w:rsidRPr="00D43FA1" w:rsidRDefault="000F4A0B" w:rsidP="000F4A0B">
      <w:pPr>
        <w:pStyle w:val="berschriftrmischBegrndung"/>
      </w:pPr>
      <w:r>
        <w:t>Limitation dans le temps et évaluation</w:t>
      </w:r>
    </w:p>
    <w:p w14:paraId="713DB2AE" w14:textId="39D0B88F" w:rsidR="00BE6637" w:rsidRPr="00D43FA1" w:rsidRDefault="006504FE" w:rsidP="000F4A0B">
      <w:pPr>
        <w:pStyle w:val="Text"/>
      </w:pPr>
      <w:r>
        <w:t>La réglementation n</w:t>
      </w:r>
      <w:r w:rsidR="00012CFE">
        <w:t>’</w:t>
      </w:r>
      <w:r>
        <w:t xml:space="preserve">est pas limitée dans le temps, car la protection des consommateurs doit être assurée sur le long terme. </w:t>
      </w:r>
    </w:p>
    <w:p w14:paraId="757F71C9" w14:textId="01566F6B" w:rsidR="000F4A0B" w:rsidRPr="00A62004" w:rsidRDefault="00BE6637" w:rsidP="000F4A0B">
      <w:pPr>
        <w:pStyle w:val="Text"/>
        <w:rPr>
          <w:spacing w:val="-4"/>
          <w:highlight w:val="yellow"/>
        </w:rPr>
      </w:pPr>
      <w:r w:rsidRPr="00A62004">
        <w:rPr>
          <w:spacing w:val="-4"/>
        </w:rPr>
        <w:t>Mais il est prévu d</w:t>
      </w:r>
      <w:r w:rsidR="00012CFE" w:rsidRPr="00A62004">
        <w:rPr>
          <w:spacing w:val="-4"/>
        </w:rPr>
        <w:t>’</w:t>
      </w:r>
      <w:r w:rsidRPr="00A62004">
        <w:rPr>
          <w:spacing w:val="-4"/>
        </w:rPr>
        <w:t>évaluer les effets du présent décret cinq ans après l</w:t>
      </w:r>
      <w:r w:rsidR="00012CFE" w:rsidRPr="00A62004">
        <w:rPr>
          <w:spacing w:val="-4"/>
        </w:rPr>
        <w:t>’</w:t>
      </w:r>
      <w:r w:rsidRPr="00A62004">
        <w:rPr>
          <w:spacing w:val="-4"/>
        </w:rPr>
        <w:t>applicabilité des dispositions. Cela a pour but de vérifier si l</w:t>
      </w:r>
      <w:r w:rsidR="00012CFE" w:rsidRPr="00A62004">
        <w:rPr>
          <w:spacing w:val="-4"/>
        </w:rPr>
        <w:t>’</w:t>
      </w:r>
      <w:r w:rsidRPr="00A62004">
        <w:rPr>
          <w:spacing w:val="-4"/>
        </w:rPr>
        <w:t>objectif du décret a été atteint, c</w:t>
      </w:r>
      <w:r w:rsidR="00012CFE" w:rsidRPr="00A62004">
        <w:rPr>
          <w:spacing w:val="-4"/>
        </w:rPr>
        <w:t>’</w:t>
      </w:r>
      <w:r w:rsidRPr="00A62004">
        <w:rPr>
          <w:spacing w:val="-4"/>
        </w:rPr>
        <w:t>est-à-dire la minimisation de l</w:t>
      </w:r>
      <w:r w:rsidR="00012CFE" w:rsidRPr="00A62004">
        <w:rPr>
          <w:spacing w:val="-4"/>
        </w:rPr>
        <w:t>’</w:t>
      </w:r>
      <w:r w:rsidRPr="00A62004">
        <w:rPr>
          <w:spacing w:val="-4"/>
        </w:rPr>
        <w:t>exposition des consommateurs aux MOAH des biens destinés à entrer en contact avec des denrées alimentaires réglementées par le décret par l</w:t>
      </w:r>
      <w:r w:rsidR="00012CFE" w:rsidRPr="00A62004">
        <w:rPr>
          <w:spacing w:val="-4"/>
        </w:rPr>
        <w:t>’</w:t>
      </w:r>
      <w:r w:rsidRPr="00A62004">
        <w:rPr>
          <w:spacing w:val="-4"/>
        </w:rPr>
        <w:t>utilisation de barrières fonctionnelles ou d</w:t>
      </w:r>
      <w:r w:rsidR="00012CFE" w:rsidRPr="00A62004">
        <w:rPr>
          <w:spacing w:val="-4"/>
        </w:rPr>
        <w:t>’</w:t>
      </w:r>
      <w:r w:rsidRPr="00A62004">
        <w:rPr>
          <w:spacing w:val="-4"/>
        </w:rPr>
        <w:t>autres mesures appropriées pour éviter une transition de MOAH (limite de détection de 0,5</w:t>
      </w:r>
      <w:r w:rsidR="00012CFE" w:rsidRPr="00A62004">
        <w:rPr>
          <w:spacing w:val="-4"/>
        </w:rPr>
        <w:t> </w:t>
      </w:r>
      <w:r w:rsidRPr="00A62004">
        <w:rPr>
          <w:spacing w:val="-4"/>
        </w:rPr>
        <w:t>milligramme de MOAH par kilogramme d</w:t>
      </w:r>
      <w:r w:rsidR="00012CFE" w:rsidRPr="00A62004">
        <w:rPr>
          <w:spacing w:val="-4"/>
        </w:rPr>
        <w:t>’</w:t>
      </w:r>
      <w:r w:rsidRPr="00A62004">
        <w:rPr>
          <w:spacing w:val="-4"/>
        </w:rPr>
        <w:t>aliment ou 0,15</w:t>
      </w:r>
      <w:r w:rsidR="00012CFE" w:rsidRPr="00A62004">
        <w:rPr>
          <w:spacing w:val="-4"/>
        </w:rPr>
        <w:t> </w:t>
      </w:r>
      <w:r w:rsidRPr="00A62004">
        <w:rPr>
          <w:spacing w:val="-4"/>
        </w:rPr>
        <w:t>milligramme MOAH par kilogramme de simulant alimentaire). Les données nécessaires devraient être disponibles sur la base des résultats des contrôles effectués par les autorités de contrôle des denrées alimentaires et des travaux de conformité des entreprises concernées. En outre, l’impact réel sur les coûts, par exemple, les coûts de développement, de transformation et de contrôle analytique des biens destinés à entrer en contact avec des denrées alimentaires et de l’aliment concerné, doivent être inclus au regard de l</w:t>
      </w:r>
      <w:r w:rsidR="00012CFE" w:rsidRPr="00A62004">
        <w:rPr>
          <w:spacing w:val="-4"/>
        </w:rPr>
        <w:t>’</w:t>
      </w:r>
      <w:r w:rsidRPr="00A62004">
        <w:rPr>
          <w:spacing w:val="-4"/>
        </w:rPr>
        <w:t>objectif réglementaire et, le cas échéant, des effets secondaires éventuels. De plus, les évolutions relatives à l</w:t>
      </w:r>
      <w:r w:rsidR="00012CFE" w:rsidRPr="00A62004">
        <w:rPr>
          <w:spacing w:val="-4"/>
        </w:rPr>
        <w:t>’</w:t>
      </w:r>
      <w:r w:rsidRPr="00A62004">
        <w:rPr>
          <w:spacing w:val="-4"/>
        </w:rPr>
        <w:t>analyse, en particulier les limites de détection des MOAH doivent être pris</w:t>
      </w:r>
      <w:r w:rsidR="00012CFE" w:rsidRPr="00A62004">
        <w:rPr>
          <w:spacing w:val="-4"/>
        </w:rPr>
        <w:t>es</w:t>
      </w:r>
      <w:r w:rsidRPr="00A62004">
        <w:rPr>
          <w:spacing w:val="-4"/>
        </w:rPr>
        <w:t xml:space="preserve"> en compte. </w:t>
      </w:r>
    </w:p>
    <w:p w14:paraId="353D2149" w14:textId="77777777" w:rsidR="006444D5" w:rsidRPr="00D43FA1" w:rsidRDefault="006444D5" w:rsidP="0070360F">
      <w:pPr>
        <w:pStyle w:val="BegrndungBesondererTeil"/>
        <w:keepLines/>
      </w:pPr>
      <w:r>
        <w:t>B. Partie spécifique</w:t>
      </w:r>
    </w:p>
    <w:p w14:paraId="0532AB57" w14:textId="77777777" w:rsidR="00CB5E99" w:rsidRPr="00D43FA1" w:rsidRDefault="00CB5E99" w:rsidP="0070360F">
      <w:pPr>
        <w:pStyle w:val="Text"/>
        <w:keepNext/>
        <w:keepLines/>
        <w:rPr>
          <w:b/>
        </w:rPr>
      </w:pPr>
      <w:r>
        <w:rPr>
          <w:b/>
        </w:rPr>
        <w:t>Concernant l’article premier</w:t>
      </w:r>
    </w:p>
    <w:p w14:paraId="03E3D677" w14:textId="77777777" w:rsidR="00CB5E99" w:rsidRPr="00D43FA1" w:rsidRDefault="00CB5E99" w:rsidP="0070360F">
      <w:pPr>
        <w:pStyle w:val="Text"/>
        <w:keepNext/>
        <w:keepLines/>
        <w:rPr>
          <w:u w:val="single"/>
        </w:rPr>
      </w:pPr>
      <w:r>
        <w:rPr>
          <w:u w:val="single"/>
        </w:rPr>
        <w:t>Concernant le point 1</w:t>
      </w:r>
    </w:p>
    <w:p w14:paraId="56A74D00" w14:textId="72169C7A" w:rsidR="00CB5E99" w:rsidRPr="00D43FA1" w:rsidRDefault="00CB5E99" w:rsidP="00CB5E99">
      <w:pPr>
        <w:pStyle w:val="Text"/>
      </w:pPr>
      <w:r>
        <w:t>Avec le point</w:t>
      </w:r>
      <w:r w:rsidR="00012CFE">
        <w:t> </w:t>
      </w:r>
      <w:r>
        <w:t>1, les définitions des vieux papiers, des hydrocarbures d</w:t>
      </w:r>
      <w:r w:rsidR="00012CFE">
        <w:t>’</w:t>
      </w:r>
      <w:r>
        <w:t xml:space="preserve">huile minérale aromatique (MOAH), des barrières fonctionnelles et des </w:t>
      </w:r>
      <w:proofErr w:type="spellStart"/>
      <w:r>
        <w:t>simulants</w:t>
      </w:r>
      <w:proofErr w:type="spellEnd"/>
      <w:r>
        <w:t xml:space="preserve"> alimentaires sont insérées en ce qui concerne le contenu réglementaire de ce décret. </w:t>
      </w:r>
    </w:p>
    <w:p w14:paraId="507A1117" w14:textId="77777777" w:rsidR="00012CFE" w:rsidRDefault="00031FDC" w:rsidP="00CB5E99">
      <w:pPr>
        <w:pStyle w:val="Text"/>
      </w:pPr>
      <w:r>
        <w:t>Dans le cadre de la définition de la barrière fonctionnelle, une différenciation est opérée en ce qui concerne les différentes formes. Une barrière fonctionnelle peut être reliée en permanence au bien destiné à entrer en contact avec des denrées alimentaires, par exemple sous la forme d</w:t>
      </w:r>
      <w:r w:rsidR="00012CFE">
        <w:t>’</w:t>
      </w:r>
      <w:r>
        <w:t xml:space="preserve">un revêtement </w:t>
      </w:r>
      <w:r w:rsidR="00012CFE">
        <w:t>[</w:t>
      </w:r>
      <w:r>
        <w:t>article 2, point 9,</w:t>
      </w:r>
    </w:p>
    <w:p w14:paraId="6B41D48F" w14:textId="144665A6" w:rsidR="002535AD" w:rsidRPr="00D43FA1" w:rsidRDefault="00031FDC" w:rsidP="00A62004">
      <w:pPr>
        <w:pStyle w:val="Text"/>
        <w:keepLines/>
      </w:pPr>
      <w:r>
        <w:lastRenderedPageBreak/>
        <w:t xml:space="preserve"> </w:t>
      </w:r>
      <w:proofErr w:type="gramStart"/>
      <w:r>
        <w:t>a</w:t>
      </w:r>
      <w:proofErr w:type="gramEnd"/>
      <w:r>
        <w:t>)</w:t>
      </w:r>
      <w:r w:rsidR="00012CFE">
        <w:t>]</w:t>
      </w:r>
      <w:r>
        <w:t>, ou elle peut exister séparément, par exemple sous la forme d</w:t>
      </w:r>
      <w:r w:rsidR="00012CFE">
        <w:t>’</w:t>
      </w:r>
      <w:r>
        <w:t xml:space="preserve">un sac intermédiaire </w:t>
      </w:r>
      <w:r w:rsidR="00012CFE">
        <w:t>[</w:t>
      </w:r>
      <w:r>
        <w:t>article 2, point 9, b)</w:t>
      </w:r>
      <w:r w:rsidR="00192C26">
        <w:t>]</w:t>
      </w:r>
      <w:r>
        <w:t>. Selon le type de bien en contact avec des denrées alimentaires, d</w:t>
      </w:r>
      <w:r w:rsidR="00012CFE">
        <w:t>’</w:t>
      </w:r>
      <w:r>
        <w:t>aliment, des conditions d</w:t>
      </w:r>
      <w:r w:rsidR="00012CFE">
        <w:t>’</w:t>
      </w:r>
      <w:r>
        <w:t>utilisation et de la période d</w:t>
      </w:r>
      <w:r w:rsidR="00012CFE">
        <w:t>’</w:t>
      </w:r>
      <w:r>
        <w:t>utilisation du bien en contact avec des denrées alimentaires, l</w:t>
      </w:r>
      <w:r w:rsidR="00012CFE">
        <w:t>’</w:t>
      </w:r>
      <w:r>
        <w:t xml:space="preserve">aluminium ou divers plastiques (par exemple le PET, les polyacrylates, les </w:t>
      </w:r>
      <w:proofErr w:type="spellStart"/>
      <w:r>
        <w:t>polyacétates</w:t>
      </w:r>
      <w:proofErr w:type="spellEnd"/>
      <w:r>
        <w:t xml:space="preserve">, les polyamides) conviennent, par exemple, comme matériau pour le revêtement sur le papier, le carton-pâte ou le carton ou comme matériau pour un sac intérieur supplémentaire. </w:t>
      </w:r>
    </w:p>
    <w:p w14:paraId="578470CD" w14:textId="77777777" w:rsidR="00CB5E99" w:rsidRPr="00D43FA1" w:rsidRDefault="00CB5E99" w:rsidP="0070360F">
      <w:pPr>
        <w:pStyle w:val="Text"/>
        <w:keepNext/>
        <w:keepLines/>
        <w:rPr>
          <w:u w:val="single"/>
        </w:rPr>
      </w:pPr>
      <w:r>
        <w:rPr>
          <w:u w:val="single"/>
        </w:rPr>
        <w:t>Concernant le point 2</w:t>
      </w:r>
    </w:p>
    <w:p w14:paraId="0EE8563F" w14:textId="41881C88" w:rsidR="00492084" w:rsidRPr="00D43FA1" w:rsidRDefault="00CB5E99" w:rsidP="00CB5E99">
      <w:pPr>
        <w:pStyle w:val="Text"/>
      </w:pPr>
      <w:r>
        <w:t>Le point</w:t>
      </w:r>
      <w:r w:rsidR="00012CFE">
        <w:t> </w:t>
      </w:r>
      <w:r>
        <w:t xml:space="preserve">2 détermine les réglementations spécifiques pour les biens destinés à entrer en contact avec des denrées alimentaires en papier, carton-pâte ou carton fabriqués à partir de vieux papiers. </w:t>
      </w:r>
    </w:p>
    <w:p w14:paraId="02416656" w14:textId="7FA6DB25" w:rsidR="00492084" w:rsidRPr="00D43FA1" w:rsidRDefault="00492084" w:rsidP="00123317">
      <w:pPr>
        <w:pStyle w:val="Text"/>
      </w:pPr>
      <w:r>
        <w:t>Les paragraphes</w:t>
      </w:r>
      <w:r w:rsidR="00012CFE">
        <w:t> </w:t>
      </w:r>
      <w:r>
        <w:t>1 et 2 de l’article</w:t>
      </w:r>
      <w:r w:rsidR="00012CFE">
        <w:t> </w:t>
      </w:r>
      <w:r>
        <w:t>6a contiennent des exigences spécifiques destinées à l</w:t>
      </w:r>
      <w:r w:rsidR="00012CFE">
        <w:t>’</w:t>
      </w:r>
      <w:r>
        <w:t>exploitant de biens destinés à entrer en contact avec des denrées alimentaires (fabricant, personne procédant à la commercialisation). Si l</w:t>
      </w:r>
      <w:r w:rsidR="00012CFE">
        <w:t>’</w:t>
      </w:r>
      <w:r>
        <w:t>exploitant du secteur alimentaire souhaite prendre ses propres précautions qui s</w:t>
      </w:r>
      <w:r w:rsidR="00012CFE">
        <w:t>’</w:t>
      </w:r>
      <w:r>
        <w:t>écartent de cette règle, les exigences des paragraphes</w:t>
      </w:r>
      <w:r w:rsidR="00012CFE">
        <w:t> </w:t>
      </w:r>
      <w:r>
        <w:t>3 et 4 qui lui sont adressées ainsi qu’à l</w:t>
      </w:r>
      <w:r w:rsidR="00012CFE">
        <w:t>’</w:t>
      </w:r>
      <w:r>
        <w:t>exploitant de biens destinés à entrer en contact avec des denrées alimentaires s</w:t>
      </w:r>
      <w:r w:rsidR="00012CFE">
        <w:t>’</w:t>
      </w:r>
      <w:r>
        <w:t>appliquent. Le paragraphe</w:t>
      </w:r>
      <w:r w:rsidR="00012CFE">
        <w:t> </w:t>
      </w:r>
      <w:r>
        <w:t>5 s</w:t>
      </w:r>
      <w:r w:rsidR="00012CFE">
        <w:t>’</w:t>
      </w:r>
      <w:r>
        <w:t>adresse à la fois à l</w:t>
      </w:r>
      <w:r w:rsidR="00012CFE">
        <w:t>’</w:t>
      </w:r>
      <w:r>
        <w:t>exploitant de biens destinés à entrer en contact avec des denrées alimentaires et à l</w:t>
      </w:r>
      <w:r w:rsidR="00012CFE">
        <w:t>’</w:t>
      </w:r>
      <w:r>
        <w:t>exploitant des denrées alimentaires.</w:t>
      </w:r>
    </w:p>
    <w:p w14:paraId="21FFB49B" w14:textId="2FCB17A1" w:rsidR="00123317" w:rsidRPr="00D43FA1" w:rsidRDefault="00CB5E99" w:rsidP="00123317">
      <w:pPr>
        <w:pStyle w:val="Text"/>
      </w:pPr>
      <w:r>
        <w:t>Selon l’article</w:t>
      </w:r>
      <w:r w:rsidR="00012CFE">
        <w:t> </w:t>
      </w:r>
      <w:r>
        <w:t>6a, paragraphe 1, les biens destinés à entrer en contact avec les aliments mentionnés ci-dessus doivent être équipés d</w:t>
      </w:r>
      <w:r w:rsidR="00012CFE">
        <w:t>’</w:t>
      </w:r>
      <w:r>
        <w:t>une barrière fonctionnelle pour garantir qu’un transfert de MOAH aux aliments n’a pas lieu. Les fabricants et personnes procédant à la commercialisation de biens destinés à entrer en contact avec des denrées alimentaires utiliseront généralement une barrière fonctionnelle selon l’article</w:t>
      </w:r>
      <w:r w:rsidR="00012CFE">
        <w:t> </w:t>
      </w:r>
      <w:r>
        <w:t>2, point</w:t>
      </w:r>
      <w:r w:rsidR="00012CFE">
        <w:t> </w:t>
      </w:r>
      <w:r>
        <w:t xml:space="preserve">9, </w:t>
      </w:r>
      <w:r w:rsidR="00192C26">
        <w:t>a)</w:t>
      </w:r>
      <w:r>
        <w:t>, à savoir une couche ou un revêtement fermement attaché au bien destiné à entrer en contact avec des denrées alimentaires. Si une mesure du transfert à l</w:t>
      </w:r>
      <w:r w:rsidR="00012CFE">
        <w:t>’</w:t>
      </w:r>
      <w:r>
        <w:t>aliment est effectuée, il est légalement présupposé qu</w:t>
      </w:r>
      <w:r w:rsidR="00012CFE">
        <w:t>’</w:t>
      </w:r>
      <w:r>
        <w:t>il n</w:t>
      </w:r>
      <w:r w:rsidR="00012CFE">
        <w:t>’</w:t>
      </w:r>
      <w:r>
        <w:t>y a pas de transfert jusqu</w:t>
      </w:r>
      <w:r w:rsidR="00012CFE">
        <w:t>’</w:t>
      </w:r>
      <w:r>
        <w:t>à une limite de détection de 0,5</w:t>
      </w:r>
      <w:r w:rsidR="00012CFE">
        <w:t> </w:t>
      </w:r>
      <w:r>
        <w:t>milligramme de MOAH par kilogramme d</w:t>
      </w:r>
      <w:r w:rsidR="00012CFE">
        <w:t>’</w:t>
      </w:r>
      <w:r>
        <w:t>aliment. Si la fonctionnalité de la barrière est déterminée à l</w:t>
      </w:r>
      <w:r w:rsidR="00012CFE">
        <w:t>’</w:t>
      </w:r>
      <w:r>
        <w:t xml:space="preserve">aide de </w:t>
      </w:r>
      <w:proofErr w:type="spellStart"/>
      <w:r>
        <w:t>simulants</w:t>
      </w:r>
      <w:proofErr w:type="spellEnd"/>
      <w:r>
        <w:t xml:space="preserve"> alimentaires appropriés, une limite de détection correspondante de 0,15</w:t>
      </w:r>
      <w:r w:rsidR="00012CFE">
        <w:t> </w:t>
      </w:r>
      <w:r>
        <w:t>milligramme de MOAH par kilogramme de simulant alimentaire s</w:t>
      </w:r>
      <w:r w:rsidR="00012CFE">
        <w:t>’</w:t>
      </w:r>
      <w:r>
        <w:t>applique.</w:t>
      </w:r>
    </w:p>
    <w:p w14:paraId="69C05D19" w14:textId="1D34B788" w:rsidR="006F0E66" w:rsidRPr="00D43FA1" w:rsidRDefault="00123317" w:rsidP="0070360F">
      <w:pPr>
        <w:pStyle w:val="Text"/>
        <w:keepNext/>
        <w:keepLines/>
      </w:pPr>
      <w:r>
        <w:lastRenderedPageBreak/>
        <w:t>L</w:t>
      </w:r>
      <w:r w:rsidR="00012CFE">
        <w:t>’</w:t>
      </w:r>
      <w:r>
        <w:t>analyse de l</w:t>
      </w:r>
      <w:r w:rsidR="00012CFE">
        <w:t>’</w:t>
      </w:r>
      <w:r>
        <w:t>huile minérale dans les aliments et l</w:t>
      </w:r>
      <w:r w:rsidR="00012CFE">
        <w:t>’</w:t>
      </w:r>
      <w:r>
        <w:t>analyse de la proportion provenant du produit alimentaire sont exigeantes, mais de grands progrès ont été accomplis ces dernières années. Une limite de détection ciblée à long terme de 0,15</w:t>
      </w:r>
      <w:r w:rsidR="00012CFE">
        <w:t> </w:t>
      </w:r>
      <w:r>
        <w:t>milligramme par kilogramme d</w:t>
      </w:r>
      <w:r w:rsidR="00012CFE">
        <w:t>’</w:t>
      </w:r>
      <w:r>
        <w:t>aliment pour le transfert de MOAH à partir de biens destinés à entrer en contact avec des denrées alimentaires ne peut actuellement pas être atteinte dans tous les aliments. Elle est fortement influencée par la matrice alimentaire respective. La limite de détection prévue de 0,5</w:t>
      </w:r>
      <w:r w:rsidR="00012CFE">
        <w:t> </w:t>
      </w:r>
      <w:r>
        <w:t>milligramme de MOAH par kilogramme d</w:t>
      </w:r>
      <w:r w:rsidR="00012CFE">
        <w:t>’</w:t>
      </w:r>
      <w:r>
        <w:t xml:space="preserve">aliment pour le transfert à </w:t>
      </w:r>
      <w:r w:rsidR="00012CFE">
        <w:t>pa</w:t>
      </w:r>
      <w:r>
        <w:t xml:space="preserve">rtir des biens destinés à entrer en contact avec des denrées alimentaires peut dans la pratique actuellement être déterminée analytiquement dans les aliments. Si, en revanche, des </w:t>
      </w:r>
      <w:proofErr w:type="spellStart"/>
      <w:r>
        <w:t>simulants</w:t>
      </w:r>
      <w:proofErr w:type="spellEnd"/>
      <w:r>
        <w:t xml:space="preserve"> alimentaires (généralement du poly (2,6-diphényl-p-phénylène oxyde)) sont utilisés pour vérifier si la barrière est fonctionnelle de telle sorte qu’un transfert de MOAH n’a pas lieu, une limite de détection de 0,15</w:t>
      </w:r>
      <w:r w:rsidR="00012CFE">
        <w:t> </w:t>
      </w:r>
      <w:r>
        <w:t>milligramme de MOAH par kilogramme de simulant alimentaire doit être appliquée. Ceci est notamment aussi motivé par le fait que les effets de la matrice alimentaire qui se produisent avec les MOAH ne s</w:t>
      </w:r>
      <w:r w:rsidR="00012CFE">
        <w:t>’</w:t>
      </w:r>
      <w:r>
        <w:t>appliquent pas, et donc que la détection de MOAH peut avoir lieu de manière beaucoup plus sensible dans la pratique. En ce qui concerne les méthodes conventionnelles et les méthodes d</w:t>
      </w:r>
      <w:r w:rsidR="00012CFE">
        <w:t>’</w:t>
      </w:r>
      <w:r>
        <w:t>analyse actuellement principalement utilisées, il est fait référence aux publications suivantes de l</w:t>
      </w:r>
      <w:r w:rsidR="00012CFE">
        <w:t>’</w:t>
      </w:r>
      <w:r>
        <w:t>Institut fédéral pour l</w:t>
      </w:r>
      <w:r w:rsidR="00012CFE">
        <w:t>’</w:t>
      </w:r>
      <w:r>
        <w:t xml:space="preserve">évaluation des </w:t>
      </w:r>
      <w:proofErr w:type="gramStart"/>
      <w:r>
        <w:t>risques:</w:t>
      </w:r>
      <w:proofErr w:type="gramEnd"/>
      <w:r>
        <w:t xml:space="preserve"> </w:t>
      </w:r>
    </w:p>
    <w:p w14:paraId="13C0812B" w14:textId="696D718B" w:rsidR="006F0E66" w:rsidRPr="00D43FA1" w:rsidRDefault="00123317" w:rsidP="00A62004">
      <w:pPr>
        <w:pStyle w:val="Text"/>
        <w:keepLines/>
        <w:numPr>
          <w:ilvl w:val="0"/>
          <w:numId w:val="7"/>
        </w:numPr>
        <w:ind w:left="714" w:hanging="357"/>
      </w:pPr>
      <w:r>
        <w:t>«Détermination des hydrocarbures à partir d</w:t>
      </w:r>
      <w:r w:rsidR="00012CFE">
        <w:t>’</w:t>
      </w:r>
      <w:r>
        <w:t>huiles minérales (MOSH et MOAH) ou de plastiques (POSH, PAO) dans les matériaux d</w:t>
      </w:r>
      <w:r w:rsidR="00012CFE">
        <w:t>’</w:t>
      </w:r>
      <w:r>
        <w:t xml:space="preserve">emballage et les aliments secs par extraction en phase solide et GC-FID» (disponible sur: </w:t>
      </w:r>
      <w:hyperlink r:id="rId8" w:history="1">
        <w:r>
          <w:t>http://</w:t>
        </w:r>
      </w:hyperlink>
      <w:hyperlink r:id="rId9" w:history="1">
        <w:r>
          <w:t>www.bfr.bund.de/cm/343/best rung-von-kohlenwasserstoffen-aus-mineraloel-oder-kunststoffen.pdf</w:t>
        </w:r>
      </w:hyperlink>
      <w:r>
        <w:t xml:space="preserve">; Mise à jour: </w:t>
      </w:r>
      <w:r>
        <w:rPr>
          <w:b/>
          <w:bCs/>
          <w:i/>
          <w:u w:val="single"/>
        </w:rPr>
        <w:t>Insérer XX.YY.2020</w:t>
      </w:r>
      <w:r>
        <w:t>);</w:t>
      </w:r>
    </w:p>
    <w:p w14:paraId="5B28167A" w14:textId="715180FB" w:rsidR="00123317" w:rsidRPr="00D43FA1" w:rsidRDefault="00123317" w:rsidP="009777BB">
      <w:pPr>
        <w:pStyle w:val="Text"/>
        <w:numPr>
          <w:ilvl w:val="0"/>
          <w:numId w:val="7"/>
        </w:numPr>
      </w:pPr>
      <w:r>
        <w:t xml:space="preserve">«Mesure des hydrocarbures d’huiles minérales dans les aliments et les matériaux d’emballage», recueil du </w:t>
      </w:r>
      <w:proofErr w:type="spellStart"/>
      <w:r>
        <w:t>BfR</w:t>
      </w:r>
      <w:proofErr w:type="spellEnd"/>
      <w:r>
        <w:t xml:space="preserve"> et du Laboratoire cantonal de Zurich (disponible sur: </w:t>
      </w:r>
      <w:hyperlink r:id="rId10" w:history="1">
        <w:r>
          <w:t>http://www.bfr.bund.de/cm/343/message-von-mineraloel-kohlenwasserstoffen-in-lebensmittel-und-verpackungsverbindungen.pdf</w:t>
        </w:r>
      </w:hyperlink>
      <w:r>
        <w:t xml:space="preserve">; Mise à jour </w:t>
      </w:r>
      <w:r>
        <w:rPr>
          <w:b/>
          <w:bCs/>
          <w:i/>
          <w:u w:val="single"/>
        </w:rPr>
        <w:t>Insérer XX.YY.2020</w:t>
      </w:r>
      <w:r>
        <w:t>).</w:t>
      </w:r>
      <w:r>
        <w:rPr>
          <w:bCs/>
          <w:u w:val="single"/>
        </w:rPr>
        <w:t xml:space="preserve"> </w:t>
      </w:r>
    </w:p>
    <w:p w14:paraId="2BF32794" w14:textId="4028E9E7" w:rsidR="00123317" w:rsidRPr="00A62004" w:rsidRDefault="00123317" w:rsidP="00123317">
      <w:pPr>
        <w:pStyle w:val="Text"/>
        <w:rPr>
          <w:spacing w:val="-4"/>
        </w:rPr>
      </w:pPr>
      <w:r w:rsidRPr="00A62004">
        <w:rPr>
          <w:spacing w:val="-4"/>
        </w:rPr>
        <w:t>Les exigences relatives à l</w:t>
      </w:r>
      <w:r w:rsidR="00012CFE" w:rsidRPr="00A62004">
        <w:rPr>
          <w:spacing w:val="-4"/>
        </w:rPr>
        <w:t>’</w:t>
      </w:r>
      <w:r w:rsidRPr="00A62004">
        <w:rPr>
          <w:spacing w:val="-4"/>
        </w:rPr>
        <w:t>utilisation d</w:t>
      </w:r>
      <w:r w:rsidR="00012CFE" w:rsidRPr="00A62004">
        <w:rPr>
          <w:spacing w:val="-4"/>
        </w:rPr>
        <w:t>’</w:t>
      </w:r>
      <w:r w:rsidRPr="00A62004">
        <w:rPr>
          <w:spacing w:val="-4"/>
        </w:rPr>
        <w:t>une barrière fonctionnelle ne s</w:t>
      </w:r>
      <w:r w:rsidR="00012CFE" w:rsidRPr="00A62004">
        <w:rPr>
          <w:spacing w:val="-4"/>
        </w:rPr>
        <w:t>’</w:t>
      </w:r>
      <w:r w:rsidRPr="00A62004">
        <w:rPr>
          <w:spacing w:val="-4"/>
        </w:rPr>
        <w:t>appliquent qu</w:t>
      </w:r>
      <w:r w:rsidR="00012CFE" w:rsidRPr="00A62004">
        <w:rPr>
          <w:spacing w:val="-4"/>
        </w:rPr>
        <w:t>’</w:t>
      </w:r>
      <w:r w:rsidRPr="00A62004">
        <w:rPr>
          <w:spacing w:val="-4"/>
        </w:rPr>
        <w:t>aux matériaux et objets en papier, carton-pâte ou carton qui ont été fabriqués à partir de vieux papiers qui entrent dans le champ d</w:t>
      </w:r>
      <w:r w:rsidR="00012CFE" w:rsidRPr="00A62004">
        <w:rPr>
          <w:spacing w:val="-4"/>
        </w:rPr>
        <w:t>’</w:t>
      </w:r>
      <w:r w:rsidRPr="00A62004">
        <w:rPr>
          <w:spacing w:val="-4"/>
        </w:rPr>
        <w:t>application de l</w:t>
      </w:r>
      <w:r w:rsidR="00012CFE" w:rsidRPr="00A62004">
        <w:rPr>
          <w:spacing w:val="-4"/>
        </w:rPr>
        <w:t>’</w:t>
      </w:r>
      <w:r w:rsidRPr="00A62004">
        <w:rPr>
          <w:spacing w:val="-4"/>
        </w:rPr>
        <w:t>article</w:t>
      </w:r>
      <w:r w:rsidR="00012CFE" w:rsidRPr="00A62004">
        <w:rPr>
          <w:spacing w:val="-4"/>
        </w:rPr>
        <w:t> </w:t>
      </w:r>
      <w:r w:rsidRPr="00A62004">
        <w:rPr>
          <w:spacing w:val="-4"/>
        </w:rPr>
        <w:t>1, paragraphe</w:t>
      </w:r>
      <w:r w:rsidR="00012CFE" w:rsidRPr="00A62004">
        <w:rPr>
          <w:spacing w:val="-4"/>
        </w:rPr>
        <w:t> </w:t>
      </w:r>
      <w:r w:rsidRPr="00A62004">
        <w:rPr>
          <w:spacing w:val="-4"/>
        </w:rPr>
        <w:t>2, du règlement (CE) n° 1935</w:t>
      </w:r>
      <w:r w:rsidR="00012CFE" w:rsidRPr="00A62004">
        <w:rPr>
          <w:spacing w:val="-4"/>
        </w:rPr>
        <w:t>/</w:t>
      </w:r>
      <w:r w:rsidRPr="00A62004">
        <w:rPr>
          <w:spacing w:val="-4"/>
        </w:rPr>
        <w:t>2004 sur les matériaux et objets destinés à entrer en contact avec des denrées alimentaires et abrogeant les directives 80/590/CEE et 89/109/CEE. L</w:t>
      </w:r>
      <w:r w:rsidR="00012CFE" w:rsidRPr="00A62004">
        <w:rPr>
          <w:spacing w:val="-4"/>
        </w:rPr>
        <w:t>’</w:t>
      </w:r>
      <w:r w:rsidRPr="00A62004">
        <w:rPr>
          <w:spacing w:val="-4"/>
        </w:rPr>
        <w:t>applicabilité, par exemple, aux cartons de transport et de déplacement n</w:t>
      </w:r>
      <w:r w:rsidR="00012CFE" w:rsidRPr="00A62004">
        <w:rPr>
          <w:spacing w:val="-4"/>
        </w:rPr>
        <w:t>’</w:t>
      </w:r>
      <w:r w:rsidRPr="00A62004">
        <w:rPr>
          <w:spacing w:val="-4"/>
        </w:rPr>
        <w:t>est donnée que si, dans le cas spécifique, il s’agit de biens destinés à entrer en contact avec des denrées alimentaires. Une application multiple et chevauchante d</w:t>
      </w:r>
      <w:r w:rsidR="00012CFE" w:rsidRPr="00A62004">
        <w:rPr>
          <w:spacing w:val="-4"/>
        </w:rPr>
        <w:t>’</w:t>
      </w:r>
      <w:r w:rsidRPr="00A62004">
        <w:rPr>
          <w:spacing w:val="-4"/>
        </w:rPr>
        <w:t>une barrière fonctionnelle tout au long de la chaîne d</w:t>
      </w:r>
      <w:r w:rsidR="00012CFE" w:rsidRPr="00A62004">
        <w:rPr>
          <w:spacing w:val="-4"/>
        </w:rPr>
        <w:t>’</w:t>
      </w:r>
      <w:r w:rsidRPr="00A62004">
        <w:rPr>
          <w:spacing w:val="-4"/>
        </w:rPr>
        <w:t>approvisionnement n</w:t>
      </w:r>
      <w:r w:rsidR="00012CFE" w:rsidRPr="00A62004">
        <w:rPr>
          <w:spacing w:val="-4"/>
        </w:rPr>
        <w:t>’</w:t>
      </w:r>
      <w:r w:rsidRPr="00A62004">
        <w:rPr>
          <w:spacing w:val="-4"/>
        </w:rPr>
        <w:t>est généralement pas nécessaire. Par exemple, dans le cas des cartons de transport et de déplacement - à condition qu</w:t>
      </w:r>
      <w:r w:rsidR="00012CFE" w:rsidRPr="00A62004">
        <w:rPr>
          <w:spacing w:val="-4"/>
        </w:rPr>
        <w:t>’</w:t>
      </w:r>
      <w:r w:rsidRPr="00A62004">
        <w:rPr>
          <w:spacing w:val="-4"/>
        </w:rPr>
        <w:t>il s</w:t>
      </w:r>
      <w:r w:rsidR="00012CFE" w:rsidRPr="00A62004">
        <w:rPr>
          <w:spacing w:val="-4"/>
        </w:rPr>
        <w:t>’</w:t>
      </w:r>
      <w:r w:rsidRPr="00A62004">
        <w:rPr>
          <w:spacing w:val="-4"/>
        </w:rPr>
        <w:t>agisse de biens destinés à entrer en contact avec des denrées alimentaires dans un cas spécifique - aucune barrière fonctionnelle n</w:t>
      </w:r>
      <w:r w:rsidR="00012CFE" w:rsidRPr="00A62004">
        <w:rPr>
          <w:spacing w:val="-4"/>
        </w:rPr>
        <w:t>’</w:t>
      </w:r>
      <w:r w:rsidRPr="00A62004">
        <w:rPr>
          <w:spacing w:val="-4"/>
        </w:rPr>
        <w:t>est nécessaire si la conception de l</w:t>
      </w:r>
      <w:r w:rsidR="00012CFE" w:rsidRPr="00A62004">
        <w:rPr>
          <w:spacing w:val="-4"/>
        </w:rPr>
        <w:t>’</w:t>
      </w:r>
      <w:r w:rsidRPr="00A62004">
        <w:rPr>
          <w:spacing w:val="-4"/>
        </w:rPr>
        <w:t>emballage proprement dit ou du système d</w:t>
      </w:r>
      <w:r w:rsidR="00012CFE" w:rsidRPr="00A62004">
        <w:rPr>
          <w:spacing w:val="-4"/>
        </w:rPr>
        <w:t>’</w:t>
      </w:r>
      <w:r w:rsidRPr="00A62004">
        <w:rPr>
          <w:spacing w:val="-4"/>
        </w:rPr>
        <w:t>emballage de l</w:t>
      </w:r>
      <w:r w:rsidR="00012CFE" w:rsidRPr="00A62004">
        <w:rPr>
          <w:spacing w:val="-4"/>
        </w:rPr>
        <w:t>’</w:t>
      </w:r>
      <w:r w:rsidRPr="00A62004">
        <w:rPr>
          <w:spacing w:val="-4"/>
        </w:rPr>
        <w:t>aliment lui-même (par exemple, emballage primaire ou secondaire) garantit qu</w:t>
      </w:r>
      <w:r w:rsidR="00012CFE" w:rsidRPr="00A62004">
        <w:rPr>
          <w:spacing w:val="-4"/>
        </w:rPr>
        <w:t>’</w:t>
      </w:r>
      <w:r w:rsidRPr="00A62004">
        <w:rPr>
          <w:spacing w:val="-4"/>
        </w:rPr>
        <w:t>il n</w:t>
      </w:r>
      <w:r w:rsidR="00012CFE" w:rsidRPr="00A62004">
        <w:rPr>
          <w:spacing w:val="-4"/>
        </w:rPr>
        <w:t>’</w:t>
      </w:r>
      <w:r w:rsidRPr="00A62004">
        <w:rPr>
          <w:spacing w:val="-4"/>
        </w:rPr>
        <w:t>y a pas de transfert de MOAH à l</w:t>
      </w:r>
      <w:r w:rsidR="00012CFE" w:rsidRPr="00A62004">
        <w:rPr>
          <w:spacing w:val="-4"/>
        </w:rPr>
        <w:t>’</w:t>
      </w:r>
      <w:r w:rsidRPr="00A62004">
        <w:rPr>
          <w:spacing w:val="-4"/>
        </w:rPr>
        <w:t>aliment. De même, comme c</w:t>
      </w:r>
      <w:r w:rsidR="00012CFE" w:rsidRPr="00A62004">
        <w:rPr>
          <w:spacing w:val="-4"/>
        </w:rPr>
        <w:t>’</w:t>
      </w:r>
      <w:r w:rsidRPr="00A62004">
        <w:rPr>
          <w:spacing w:val="-4"/>
        </w:rPr>
        <w:t>est généralement le cas pour les biens destinés à entrer en contact avec des denrées alimentaires, une communication adéquate au sein de la chaîne d</w:t>
      </w:r>
      <w:r w:rsidR="00012CFE" w:rsidRPr="00A62004">
        <w:rPr>
          <w:spacing w:val="-4"/>
        </w:rPr>
        <w:t>’</w:t>
      </w:r>
      <w:r w:rsidRPr="00A62004">
        <w:rPr>
          <w:spacing w:val="-4"/>
        </w:rPr>
        <w:t xml:space="preserve">approvisionnement est essentielle. </w:t>
      </w:r>
    </w:p>
    <w:p w14:paraId="2A4229C4" w14:textId="4298380A" w:rsidR="00123317" w:rsidRPr="00D43FA1" w:rsidRDefault="00123317" w:rsidP="00CB5E99">
      <w:pPr>
        <w:pStyle w:val="Text"/>
      </w:pPr>
      <w:r>
        <w:t>La limite de détection de 0,5</w:t>
      </w:r>
      <w:r w:rsidR="00012CFE">
        <w:t> </w:t>
      </w:r>
      <w:r>
        <w:t>milligramme de MOAH par kilogramme d</w:t>
      </w:r>
      <w:r w:rsidR="00012CFE">
        <w:t>’</w:t>
      </w:r>
      <w:r>
        <w:t xml:space="preserve">aliment stipulée dans le présent décret en lien avec la barrière fonctionnelle ne concerne que le transfert de MOAH à </w:t>
      </w:r>
      <w:r w:rsidR="00012CFE">
        <w:t>pa</w:t>
      </w:r>
      <w:r>
        <w:t>rtir des biens destinés à entrer en contact avec des denrées alimentaires couvertes par le champ d</w:t>
      </w:r>
      <w:r w:rsidR="00012CFE">
        <w:t>’</w:t>
      </w:r>
      <w:r>
        <w:t xml:space="preserve">application du présent décret aux aliments et ne représente pas une quantité maximale générale de MOAH dans les aliments. </w:t>
      </w:r>
    </w:p>
    <w:p w14:paraId="4749053E" w14:textId="22B0CA2D" w:rsidR="00C42AD4" w:rsidRPr="00D43FA1" w:rsidRDefault="00000EDE" w:rsidP="00A62004">
      <w:pPr>
        <w:pStyle w:val="Text"/>
        <w:keepLines/>
      </w:pPr>
      <w:r>
        <w:lastRenderedPageBreak/>
        <w:t>Le paragraphe</w:t>
      </w:r>
      <w:r w:rsidR="00012CFE">
        <w:t> </w:t>
      </w:r>
      <w:r>
        <w:t>2 prévoit des exceptions à l’obligation des biens destinés à entrer en contact avec des denrées alimentaires en question d’être équipés d’une barrière fonctionnelle par l</w:t>
      </w:r>
      <w:r w:rsidR="00012CFE">
        <w:t>’</w:t>
      </w:r>
      <w:r>
        <w:t>exploitant de biens destinés à entrer en contact avec des denrées alimentaires: S</w:t>
      </w:r>
      <w:r w:rsidR="00012CFE">
        <w:t>’</w:t>
      </w:r>
      <w:r>
        <w:t>il existe des exigences spéciales qui empêchent le transfert de MOAH aux aliments, ou si d</w:t>
      </w:r>
      <w:r w:rsidR="00012CFE">
        <w:t>’</w:t>
      </w:r>
      <w:r>
        <w:t>autres mesures garantissent que le transfert de MOAH à partir du bien destiné à entrer en contact avec des denrées alimentaires n</w:t>
      </w:r>
      <w:r w:rsidR="00012CFE">
        <w:t>’</w:t>
      </w:r>
      <w:r>
        <w:t>est pas détectable avec une limite de détection de 0,5</w:t>
      </w:r>
      <w:r w:rsidR="00012CFE">
        <w:t> </w:t>
      </w:r>
      <w:r>
        <w:t>milligramme de MOAH par kilogramme d</w:t>
      </w:r>
      <w:r w:rsidR="00012CFE">
        <w:t>’</w:t>
      </w:r>
      <w:r>
        <w:t>aliment (ou 0,15</w:t>
      </w:r>
      <w:r w:rsidR="00012CFE">
        <w:t> </w:t>
      </w:r>
      <w:r>
        <w:t>milligramme de MOAH par kilogramme de simulant alimentaire), il n</w:t>
      </w:r>
      <w:r w:rsidR="00012CFE">
        <w:t>’</w:t>
      </w:r>
      <w:r>
        <w:t>y a pas d</w:t>
      </w:r>
      <w:r w:rsidR="00012CFE">
        <w:t>’</w:t>
      </w:r>
      <w:r>
        <w:t>obligation d</w:t>
      </w:r>
      <w:r w:rsidR="00012CFE">
        <w:t>’</w:t>
      </w:r>
      <w:r>
        <w:t>utiliser une barrière fonctionnelle. Le premier énoncé peut être le cas, par exemple, si la teneur en MOAH dans le papier, le carton-pâte ou le carton lui-même est si faible qu’un transfert aux denrées alimentaires au-dessus de la limite de détection ne peut pas avoir lieu. Le second point, à savoir d’autres mesures appropriées au sens du point</w:t>
      </w:r>
      <w:r w:rsidR="00012CFE">
        <w:t> </w:t>
      </w:r>
      <w:r>
        <w:t>2, peut par exemple être des mesures sur le bien en contact avec des denrées alimentaires, telles que l</w:t>
      </w:r>
      <w:r w:rsidR="00012CFE">
        <w:t>’</w:t>
      </w:r>
      <w:r>
        <w:t>incorporation d</w:t>
      </w:r>
      <w:r w:rsidR="00012CFE">
        <w:t>’</w:t>
      </w:r>
      <w:r>
        <w:t>adsorbeurs (charbon actif ou similaire) dans le papier, le carton-pâte ou le carton, qui empêchent le transfert de MOAH à l</w:t>
      </w:r>
      <w:r w:rsidR="00012CFE">
        <w:t>’</w:t>
      </w:r>
      <w:r>
        <w:t xml:space="preserve">aliment. </w:t>
      </w:r>
    </w:p>
    <w:p w14:paraId="575AE879" w14:textId="06B716E9" w:rsidR="00873463" w:rsidRPr="00D43FA1" w:rsidRDefault="00B849CA" w:rsidP="00CB5E99">
      <w:pPr>
        <w:pStyle w:val="Text"/>
      </w:pPr>
      <w:r>
        <w:t>Conformément à l’article 6a, paragraphe 3, en dérogation à l’article 6a, paragraphe 1, compte tenu du paragraphe</w:t>
      </w:r>
      <w:r w:rsidR="00012CFE">
        <w:t> </w:t>
      </w:r>
      <w:r>
        <w:t>4, les biens destinés à entrer en contact avec des denrées alimentaires peuvent être fabriqués et mis sur le marché sans barrière fonctionnelle solidement liée au bien destiné à entrer en contact avec des denrées alimentaires. Cependant, cela n</w:t>
      </w:r>
      <w:r w:rsidR="00012CFE">
        <w:t>’</w:t>
      </w:r>
      <w:r>
        <w:t>est permis que si l</w:t>
      </w:r>
      <w:r w:rsidR="00012CFE">
        <w:t>’</w:t>
      </w:r>
      <w:r>
        <w:t>exploitant du secteur alimentaire déclare par écrit ou par voie électronique au fabricant ou à la personne procédant à la commercialisation de ce bien en contact avec des denrées alimentaires qu</w:t>
      </w:r>
      <w:r w:rsidR="00012CFE">
        <w:t>’</w:t>
      </w:r>
      <w:r>
        <w:t>il renonce à une barrière fonctionnelle avant la livraison d’un tel bien. Cette déclaration doit être conservée par le fabricant ou la personne procédant à la commercialisation du bien en contact avec des denrées alimentaires afin de pouvoir prouver à l</w:t>
      </w:r>
      <w:r w:rsidR="00012CFE">
        <w:t>’</w:t>
      </w:r>
      <w:r>
        <w:t>autorité compétente qu</w:t>
      </w:r>
      <w:r w:rsidR="00012CFE">
        <w:t>’</w:t>
      </w:r>
      <w:r>
        <w:t>il était autorisé à déroger à la réglementation de l’article 6a, paragraphe 1, phrase</w:t>
      </w:r>
      <w:r w:rsidR="00012CFE">
        <w:t> </w:t>
      </w:r>
      <w:r>
        <w:t>1 en raison de la renonciation de l</w:t>
      </w:r>
      <w:r w:rsidR="00012CFE">
        <w:t>’</w:t>
      </w:r>
      <w:r>
        <w:t xml:space="preserve">exploitant du secteur alimentaire. </w:t>
      </w:r>
    </w:p>
    <w:p w14:paraId="559558B3" w14:textId="534D2008" w:rsidR="00595A3F" w:rsidRPr="00D43FA1" w:rsidRDefault="00595A3F" w:rsidP="00CB5E99">
      <w:pPr>
        <w:pStyle w:val="Text"/>
      </w:pPr>
      <w:r>
        <w:t>La réglementation de l’article 6a, paragraphe 3 couvre les exploitants du secteur alimentaire qui, dans leur domaine de responsabilité, mettent en contact direct ou indirect des biens fabriqués à partir de vieux papiers avec des denrées alimentaires, c</w:t>
      </w:r>
      <w:r w:rsidR="00012CFE">
        <w:t>’</w:t>
      </w:r>
      <w:r>
        <w:t>est-à-dire emballent ou emballent des aliments, ou mettent des aliments pour la première fois en contact avec un bien en contact avec des denrées alimentaires. Cependant, l</w:t>
      </w:r>
      <w:r w:rsidR="00012CFE">
        <w:t>’</w:t>
      </w:r>
      <w:r>
        <w:t>obligation prévue à l</w:t>
      </w:r>
      <w:r w:rsidR="00012CFE">
        <w:t>’</w:t>
      </w:r>
      <w:r>
        <w:t>article</w:t>
      </w:r>
      <w:r w:rsidR="00012CFE">
        <w:t> </w:t>
      </w:r>
      <w:r>
        <w:t>6a, paragraphe</w:t>
      </w:r>
      <w:r w:rsidR="00012CFE">
        <w:t> </w:t>
      </w:r>
      <w:r>
        <w:t>3, ne s</w:t>
      </w:r>
      <w:r w:rsidR="00012CFE">
        <w:t>’</w:t>
      </w:r>
      <w:r>
        <w:t>applique pas, par exemple, aux exploitants du secteur alimentaire qui n</w:t>
      </w:r>
      <w:r w:rsidR="00012CFE">
        <w:t>’</w:t>
      </w:r>
      <w:r>
        <w:t>achètent que des denrées alimentaires déjà emballées (également d</w:t>
      </w:r>
      <w:r w:rsidR="00012CFE">
        <w:t>’</w:t>
      </w:r>
      <w:r>
        <w:t>un autre État membre de l</w:t>
      </w:r>
      <w:r w:rsidR="00012CFE">
        <w:t>’</w:t>
      </w:r>
      <w:r>
        <w:t>UE ou d</w:t>
      </w:r>
      <w:r w:rsidR="00012CFE">
        <w:t>’</w:t>
      </w:r>
      <w:r>
        <w:t>un pays tiers) et pour lesquels le processus d</w:t>
      </w:r>
      <w:r w:rsidR="00012CFE">
        <w:t>’</w:t>
      </w:r>
      <w:r>
        <w:t>emballage échappe à leur contrôle. Dans ce cas, cependant, l</w:t>
      </w:r>
      <w:r w:rsidR="00012CFE">
        <w:t>’</w:t>
      </w:r>
      <w:r>
        <w:t>exploitant du secteur alimentaire doit s</w:t>
      </w:r>
      <w:r w:rsidR="00012CFE">
        <w:t>’</w:t>
      </w:r>
      <w:r>
        <w:t>assurer, dans le cadre de son devoir général de diligence, que les produits en question satisfont aux exigences relatives au transfert non autorisé de MOAH.</w:t>
      </w:r>
    </w:p>
    <w:p w14:paraId="5D78B6B3" w14:textId="1D564692" w:rsidR="00882CE4" w:rsidRPr="00A62004" w:rsidRDefault="00031FDC" w:rsidP="00CB5E99">
      <w:pPr>
        <w:pStyle w:val="Text"/>
        <w:rPr>
          <w:spacing w:val="-4"/>
        </w:rPr>
      </w:pPr>
      <w:r w:rsidRPr="00A62004">
        <w:rPr>
          <w:spacing w:val="-4"/>
        </w:rPr>
        <w:t>Dans les cas de l’article 6a, paragraphe 3, l</w:t>
      </w:r>
      <w:r w:rsidR="00012CFE" w:rsidRPr="00A62004">
        <w:rPr>
          <w:spacing w:val="-4"/>
        </w:rPr>
        <w:t>’</w:t>
      </w:r>
      <w:r w:rsidRPr="00A62004">
        <w:rPr>
          <w:spacing w:val="-4"/>
        </w:rPr>
        <w:t>exploitant du secteur alimentaire lui-même doit prendre les mesures appropriées conformément à l’article 6a, paragraphe 4 pour exclure un transfert de MOAH du bien en contact avec des denrées alimentaires aux aliments. Ainsi, l</w:t>
      </w:r>
      <w:r w:rsidR="00012CFE" w:rsidRPr="00A62004">
        <w:rPr>
          <w:spacing w:val="-4"/>
        </w:rPr>
        <w:t>’</w:t>
      </w:r>
      <w:r w:rsidRPr="00A62004">
        <w:rPr>
          <w:spacing w:val="-4"/>
        </w:rPr>
        <w:t>exploitant du secteur alimentaire peut, dans le cadre du remplissage de l’aliment, utiliser, par exemple un sac intermédiaire ou similaire à titre de barrière fonctionnelle (voir article 2, point 9, b). Les exigences relatives à la limite de détection s</w:t>
      </w:r>
      <w:r w:rsidR="00012CFE" w:rsidRPr="00A62004">
        <w:rPr>
          <w:spacing w:val="-4"/>
        </w:rPr>
        <w:t>’</w:t>
      </w:r>
      <w:r w:rsidRPr="00A62004">
        <w:rPr>
          <w:spacing w:val="-4"/>
        </w:rPr>
        <w:t xml:space="preserve">appliquent en conséquence. </w:t>
      </w:r>
    </w:p>
    <w:p w14:paraId="7B05CB8A" w14:textId="1F26DB30" w:rsidR="00CB5E99" w:rsidRPr="00A62004" w:rsidRDefault="00CB5E99" w:rsidP="00CB5E99">
      <w:pPr>
        <w:pStyle w:val="Text"/>
        <w:rPr>
          <w:spacing w:val="-4"/>
        </w:rPr>
      </w:pPr>
      <w:r w:rsidRPr="00A62004">
        <w:rPr>
          <w:spacing w:val="-4"/>
        </w:rPr>
        <w:t>Cependant, l</w:t>
      </w:r>
      <w:r w:rsidR="00012CFE" w:rsidRPr="00A62004">
        <w:rPr>
          <w:spacing w:val="-4"/>
        </w:rPr>
        <w:t>’</w:t>
      </w:r>
      <w:r w:rsidRPr="00A62004">
        <w:rPr>
          <w:spacing w:val="-4"/>
        </w:rPr>
        <w:t>utilisation d</w:t>
      </w:r>
      <w:r w:rsidR="00012CFE" w:rsidRPr="00A62004">
        <w:rPr>
          <w:spacing w:val="-4"/>
        </w:rPr>
        <w:t>’</w:t>
      </w:r>
      <w:r w:rsidRPr="00A62004">
        <w:rPr>
          <w:spacing w:val="-4"/>
        </w:rPr>
        <w:t>une barrière fonctionnelle n</w:t>
      </w:r>
      <w:r w:rsidR="00012CFE" w:rsidRPr="00A62004">
        <w:rPr>
          <w:spacing w:val="-4"/>
        </w:rPr>
        <w:t>’</w:t>
      </w:r>
      <w:r w:rsidRPr="00A62004">
        <w:rPr>
          <w:spacing w:val="-4"/>
        </w:rPr>
        <w:t>est pas le seul moyen de garantir qu</w:t>
      </w:r>
      <w:r w:rsidR="00012CFE" w:rsidRPr="00A62004">
        <w:rPr>
          <w:spacing w:val="-4"/>
        </w:rPr>
        <w:t>’</w:t>
      </w:r>
      <w:r w:rsidRPr="00A62004">
        <w:rPr>
          <w:spacing w:val="-4"/>
        </w:rPr>
        <w:t>aucun transfert de MOAH du bien en contact avec les aliments vers les aliments n</w:t>
      </w:r>
      <w:r w:rsidR="00012CFE" w:rsidRPr="00A62004">
        <w:rPr>
          <w:spacing w:val="-4"/>
        </w:rPr>
        <w:t>’</w:t>
      </w:r>
      <w:r w:rsidRPr="00A62004">
        <w:rPr>
          <w:spacing w:val="-4"/>
        </w:rPr>
        <w:t>a lieu ou qu’un tel transfert n</w:t>
      </w:r>
      <w:r w:rsidR="00012CFE" w:rsidRPr="00A62004">
        <w:rPr>
          <w:spacing w:val="-4"/>
        </w:rPr>
        <w:t>’</w:t>
      </w:r>
      <w:r w:rsidRPr="00A62004">
        <w:rPr>
          <w:spacing w:val="-4"/>
        </w:rPr>
        <w:t>est pas détectable. En particulier, il n</w:t>
      </w:r>
      <w:r w:rsidR="00012CFE" w:rsidRPr="00A62004">
        <w:rPr>
          <w:spacing w:val="-4"/>
        </w:rPr>
        <w:t>’</w:t>
      </w:r>
      <w:r w:rsidRPr="00A62004">
        <w:rPr>
          <w:spacing w:val="-4"/>
        </w:rPr>
        <w:t>y a aucune obligation de prendre des mesures appropriées si, en raison de la nature de l</w:t>
      </w:r>
      <w:r w:rsidR="00012CFE" w:rsidRPr="00A62004">
        <w:rPr>
          <w:spacing w:val="-4"/>
        </w:rPr>
        <w:t>’</w:t>
      </w:r>
      <w:r w:rsidRPr="00A62004">
        <w:rPr>
          <w:spacing w:val="-4"/>
        </w:rPr>
        <w:t>aliment (par exemple, le sel de table) ou des conditions d</w:t>
      </w:r>
      <w:r w:rsidR="00012CFE" w:rsidRPr="00A62004">
        <w:rPr>
          <w:spacing w:val="-4"/>
        </w:rPr>
        <w:t>’</w:t>
      </w:r>
      <w:r w:rsidRPr="00A62004">
        <w:rPr>
          <w:spacing w:val="-4"/>
        </w:rPr>
        <w:t>utilisation (par exemple dans le cas d</w:t>
      </w:r>
      <w:r w:rsidR="00012CFE" w:rsidRPr="00A62004">
        <w:rPr>
          <w:spacing w:val="-4"/>
        </w:rPr>
        <w:t>’</w:t>
      </w:r>
      <w:r w:rsidRPr="00A62004">
        <w:rPr>
          <w:spacing w:val="-4"/>
        </w:rPr>
        <w:t>aliments surgelés ou de contact à court terme avec des aliments secs), une transition de MOAH à l</w:t>
      </w:r>
      <w:r w:rsidR="00012CFE" w:rsidRPr="00A62004">
        <w:rPr>
          <w:spacing w:val="-4"/>
        </w:rPr>
        <w:t>’</w:t>
      </w:r>
      <w:r w:rsidRPr="00A62004">
        <w:rPr>
          <w:spacing w:val="-4"/>
        </w:rPr>
        <w:t>aliment n</w:t>
      </w:r>
      <w:r w:rsidR="00012CFE" w:rsidRPr="00A62004">
        <w:rPr>
          <w:spacing w:val="-4"/>
        </w:rPr>
        <w:t>’</w:t>
      </w:r>
      <w:r w:rsidRPr="00A62004">
        <w:rPr>
          <w:spacing w:val="-4"/>
        </w:rPr>
        <w:t>a pas lieu ou n</w:t>
      </w:r>
      <w:r w:rsidR="00012CFE" w:rsidRPr="00A62004">
        <w:rPr>
          <w:spacing w:val="-4"/>
        </w:rPr>
        <w:t>’</w:t>
      </w:r>
      <w:r w:rsidRPr="00A62004">
        <w:rPr>
          <w:spacing w:val="-4"/>
        </w:rPr>
        <w:t xml:space="preserve">est pas au-dessus de la limite de détection et est donc considérée comme indétectable. </w:t>
      </w:r>
    </w:p>
    <w:p w14:paraId="285E5728" w14:textId="1EABBF74" w:rsidR="00CB5E99" w:rsidRPr="0086292F" w:rsidRDefault="00CB5E99" w:rsidP="009C1BE7">
      <w:pPr>
        <w:pStyle w:val="Text"/>
      </w:pPr>
      <w:r>
        <w:lastRenderedPageBreak/>
        <w:t>Dans le cadre de la réglementation générale sur les biens destinés à entrer en contact avec des denrées alimentaires, l</w:t>
      </w:r>
      <w:r w:rsidR="00012CFE">
        <w:t>’</w:t>
      </w:r>
      <w:r>
        <w:t>entrepreneur responsable respectif, par exemple le fabricant, la personne procédant à la commercialisation ou le conditionneur de denrées alimentaires - dans l</w:t>
      </w:r>
      <w:r w:rsidR="00012CFE">
        <w:t>’</w:t>
      </w:r>
      <w:r>
        <w:t>accomplissement de son devoir de diligence, à savoir que les biens destinés à entrer en contact avec des denrées alimentaires dans sa zone de responsabilité ou qui y sont utilisés satisfont aux exigences applicables. Référence est faite, par exemple, à l</w:t>
      </w:r>
      <w:r w:rsidR="00012CFE">
        <w:t>’</w:t>
      </w:r>
      <w:r>
        <w:t>article</w:t>
      </w:r>
      <w:r w:rsidR="00012CFE">
        <w:t> </w:t>
      </w:r>
      <w:r>
        <w:t>30, point</w:t>
      </w:r>
      <w:r w:rsidR="00012CFE">
        <w:t> </w:t>
      </w:r>
      <w:r>
        <w:t>3 du Code des denrées alimentaires, des biens de consommation et des aliments pour animaux (LFGB) et au règlement (CE) n° 2023/2006. Le règlement (CE) n°</w:t>
      </w:r>
      <w:r w:rsidR="00012CFE">
        <w:t> </w:t>
      </w:r>
      <w:r>
        <w:t>2023/2006 exige notamment de répondre à certaines obligations de documentation. En ce qui concerne le présent décret, cela est pertinent pour la question de la barrière à utiliser ou pour l</w:t>
      </w:r>
      <w:r w:rsidR="00012CFE">
        <w:t>’</w:t>
      </w:r>
      <w:r>
        <w:t>application de l</w:t>
      </w:r>
      <w:r w:rsidR="00012CFE">
        <w:t>’</w:t>
      </w:r>
      <w:r>
        <w:t>exemption, car les documents établis dans le cadre de ces obligations peuvent également servir de preuve que la barrière est adaptée à la fonctionnalité requise pour l</w:t>
      </w:r>
      <w:r w:rsidR="00012CFE">
        <w:t>’</w:t>
      </w:r>
      <w:r>
        <w:t>objectif visé en ce qui concerne le MOAH ou qu’une transition de MOAH du bien en contact avec des denrées alimentaires ne peut pas être détecté</w:t>
      </w:r>
      <w:r w:rsidR="00012CFE">
        <w:t>e</w:t>
      </w:r>
      <w:r>
        <w:t>, c</w:t>
      </w:r>
      <w:r w:rsidR="00012CFE">
        <w:t>’</w:t>
      </w:r>
      <w:r>
        <w:t>est-à-dire ne dépasse pas la limite de détection, si aucune barrière fonctionnelle n</w:t>
      </w:r>
      <w:r w:rsidR="00012CFE">
        <w:t>’</w:t>
      </w:r>
      <w:r>
        <w:t>est utilisée.</w:t>
      </w:r>
    </w:p>
    <w:p w14:paraId="46427445" w14:textId="2682AAB7" w:rsidR="00C66E2D" w:rsidRPr="0086292F" w:rsidRDefault="00D701EB" w:rsidP="00CB5E99">
      <w:pPr>
        <w:pStyle w:val="Text"/>
        <w:rPr>
          <w:szCs w:val="24"/>
        </w:rPr>
      </w:pPr>
      <w:r>
        <w:t>Le fabricant ou la personne procédant à la commercialisation du bien en contact avec des denrées alimentaires ainsi que l</w:t>
      </w:r>
      <w:r w:rsidR="00012CFE">
        <w:t>’</w:t>
      </w:r>
      <w:r>
        <w:t>exploitant du secteur alimentaire sont tenus d</w:t>
      </w:r>
      <w:r w:rsidR="00012CFE">
        <w:t>’</w:t>
      </w:r>
      <w:r>
        <w:t>expliquer à l</w:t>
      </w:r>
      <w:r w:rsidR="00012CFE">
        <w:t>’</w:t>
      </w:r>
      <w:r>
        <w:t>autorité compétente sur la base de quelles conditions ou circonstances ils s’appuient sur une exception. L’article 6a, paragraphe 5 contient également une obligation des fabricants ou des personnes procédant à la commercialisation des biens destinés à entrer en contact avec des denrées alimentaires, ainsi que des exploitants du secteur alimentaire responsables qui précise les spécifications susmentionnées, de fournir des documents prouvant de quelle manière la personne responsable respective garantit qu</w:t>
      </w:r>
      <w:r w:rsidR="00012CFE">
        <w:t>’</w:t>
      </w:r>
      <w:r>
        <w:t>il n</w:t>
      </w:r>
      <w:r w:rsidR="00012CFE">
        <w:t>’</w:t>
      </w:r>
      <w:r>
        <w:t xml:space="preserve">y a pas de transfert de MOAH aux aliments. </w:t>
      </w:r>
    </w:p>
    <w:p w14:paraId="7E7353A1" w14:textId="3B7EE123" w:rsidR="00E36DB1" w:rsidRPr="00EF18F7" w:rsidRDefault="005211EE" w:rsidP="00CB5E99">
      <w:pPr>
        <w:pStyle w:val="Text"/>
        <w:rPr>
          <w:color w:val="231F20"/>
          <w:spacing w:val="-4"/>
          <w:szCs w:val="24"/>
        </w:rPr>
      </w:pPr>
      <w:r w:rsidRPr="00EF18F7">
        <w:rPr>
          <w:color w:val="231F20"/>
          <w:spacing w:val="-4"/>
          <w:szCs w:val="24"/>
        </w:rPr>
        <w:t>L’article 6a, paragraphe 6 contient des interdictions de commercialisation de denrées alimentaires afin de protéger les consommateurs contre d</w:t>
      </w:r>
      <w:r w:rsidR="00012CFE" w:rsidRPr="00EF18F7">
        <w:rPr>
          <w:color w:val="231F20"/>
          <w:spacing w:val="-4"/>
          <w:szCs w:val="24"/>
        </w:rPr>
        <w:t>’</w:t>
      </w:r>
      <w:r w:rsidRPr="00EF18F7">
        <w:rPr>
          <w:color w:val="231F20"/>
          <w:spacing w:val="-4"/>
          <w:szCs w:val="24"/>
        </w:rPr>
        <w:t>éventuels risques pour la santé causés par le transfert de MOAH des biens destinés à entrer en contact avec des denrées alimentaires. Les interdictions de commercialisation s</w:t>
      </w:r>
      <w:r w:rsidR="00012CFE" w:rsidRPr="00EF18F7">
        <w:rPr>
          <w:color w:val="231F20"/>
          <w:spacing w:val="-4"/>
          <w:szCs w:val="24"/>
        </w:rPr>
        <w:t>’</w:t>
      </w:r>
      <w:r w:rsidRPr="00EF18F7">
        <w:rPr>
          <w:color w:val="231F20"/>
          <w:spacing w:val="-4"/>
          <w:szCs w:val="24"/>
        </w:rPr>
        <w:t>appliquent aux denrées alimentaires qui ont été traitées avec des biens destinés à entrer en contact avec des denrées alimentaires qui ne sont pas conformes à l</w:t>
      </w:r>
      <w:r w:rsidR="00012CFE" w:rsidRPr="00EF18F7">
        <w:rPr>
          <w:color w:val="231F20"/>
          <w:spacing w:val="-4"/>
          <w:szCs w:val="24"/>
        </w:rPr>
        <w:t>’</w:t>
      </w:r>
      <w:r w:rsidRPr="00EF18F7">
        <w:rPr>
          <w:color w:val="231F20"/>
          <w:spacing w:val="-4"/>
          <w:szCs w:val="24"/>
        </w:rPr>
        <w:t>article</w:t>
      </w:r>
      <w:r w:rsidR="00012CFE" w:rsidRPr="00EF18F7">
        <w:rPr>
          <w:color w:val="231F20"/>
          <w:spacing w:val="-4"/>
          <w:szCs w:val="24"/>
        </w:rPr>
        <w:t> </w:t>
      </w:r>
      <w:r w:rsidRPr="00EF18F7">
        <w:rPr>
          <w:color w:val="231F20"/>
          <w:spacing w:val="-4"/>
          <w:szCs w:val="24"/>
        </w:rPr>
        <w:t>6a, paragraphe 1, phrase</w:t>
      </w:r>
      <w:r w:rsidR="00012CFE" w:rsidRPr="00EF18F7">
        <w:rPr>
          <w:color w:val="231F20"/>
          <w:spacing w:val="-4"/>
          <w:szCs w:val="24"/>
        </w:rPr>
        <w:t> </w:t>
      </w:r>
      <w:r w:rsidRPr="00EF18F7">
        <w:rPr>
          <w:color w:val="231F20"/>
          <w:spacing w:val="-4"/>
          <w:szCs w:val="24"/>
        </w:rPr>
        <w:t>1 ou à l</w:t>
      </w:r>
      <w:r w:rsidR="00012CFE" w:rsidRPr="00EF18F7">
        <w:rPr>
          <w:color w:val="231F20"/>
          <w:spacing w:val="-4"/>
          <w:szCs w:val="24"/>
        </w:rPr>
        <w:t>’</w:t>
      </w:r>
      <w:r w:rsidRPr="00EF18F7">
        <w:rPr>
          <w:color w:val="231F20"/>
          <w:spacing w:val="-4"/>
          <w:szCs w:val="24"/>
        </w:rPr>
        <w:t>article</w:t>
      </w:r>
      <w:r w:rsidR="00012CFE" w:rsidRPr="00EF18F7">
        <w:rPr>
          <w:color w:val="231F20"/>
          <w:spacing w:val="-4"/>
          <w:szCs w:val="24"/>
        </w:rPr>
        <w:t> </w:t>
      </w:r>
      <w:r w:rsidRPr="00EF18F7">
        <w:rPr>
          <w:color w:val="231F20"/>
          <w:spacing w:val="-4"/>
          <w:szCs w:val="24"/>
        </w:rPr>
        <w:t>6a, paragraphe 4, phrase</w:t>
      </w:r>
      <w:r w:rsidR="00012CFE" w:rsidRPr="00EF18F7">
        <w:rPr>
          <w:color w:val="231F20"/>
          <w:spacing w:val="-4"/>
          <w:szCs w:val="24"/>
        </w:rPr>
        <w:t> </w:t>
      </w:r>
      <w:r w:rsidRPr="00EF18F7">
        <w:rPr>
          <w:color w:val="231F20"/>
          <w:spacing w:val="-4"/>
          <w:szCs w:val="24"/>
        </w:rPr>
        <w:t>1 et sans que l</w:t>
      </w:r>
      <w:r w:rsidR="00012CFE" w:rsidRPr="00EF18F7">
        <w:rPr>
          <w:color w:val="231F20"/>
          <w:spacing w:val="-4"/>
          <w:szCs w:val="24"/>
        </w:rPr>
        <w:t>’</w:t>
      </w:r>
      <w:r w:rsidRPr="00EF18F7">
        <w:rPr>
          <w:color w:val="231F20"/>
          <w:spacing w:val="-4"/>
          <w:szCs w:val="24"/>
        </w:rPr>
        <w:t>une des exceptions pertinentes conformément à l</w:t>
      </w:r>
      <w:r w:rsidR="00012CFE" w:rsidRPr="00EF18F7">
        <w:rPr>
          <w:color w:val="231F20"/>
          <w:spacing w:val="-4"/>
          <w:szCs w:val="24"/>
        </w:rPr>
        <w:t>’</w:t>
      </w:r>
      <w:r w:rsidRPr="00EF18F7">
        <w:rPr>
          <w:color w:val="231F20"/>
          <w:spacing w:val="-4"/>
          <w:szCs w:val="24"/>
        </w:rPr>
        <w:t>article</w:t>
      </w:r>
      <w:r w:rsidR="00012CFE" w:rsidRPr="00EF18F7">
        <w:rPr>
          <w:color w:val="231F20"/>
          <w:spacing w:val="-4"/>
          <w:szCs w:val="24"/>
        </w:rPr>
        <w:t> </w:t>
      </w:r>
      <w:r w:rsidRPr="00EF18F7">
        <w:rPr>
          <w:color w:val="231F20"/>
          <w:spacing w:val="-4"/>
          <w:szCs w:val="24"/>
        </w:rPr>
        <w:t>6a, paragraphe</w:t>
      </w:r>
      <w:r w:rsidR="00012CFE" w:rsidRPr="00EF18F7">
        <w:rPr>
          <w:color w:val="231F20"/>
          <w:spacing w:val="-4"/>
          <w:szCs w:val="24"/>
        </w:rPr>
        <w:t> </w:t>
      </w:r>
      <w:r w:rsidRPr="00EF18F7">
        <w:rPr>
          <w:color w:val="231F20"/>
          <w:spacing w:val="-4"/>
          <w:szCs w:val="24"/>
        </w:rPr>
        <w:t>2 ou à l</w:t>
      </w:r>
      <w:r w:rsidR="00012CFE" w:rsidRPr="00EF18F7">
        <w:rPr>
          <w:color w:val="231F20"/>
          <w:spacing w:val="-4"/>
          <w:szCs w:val="24"/>
        </w:rPr>
        <w:t>’</w:t>
      </w:r>
      <w:r w:rsidRPr="00EF18F7">
        <w:rPr>
          <w:color w:val="231F20"/>
          <w:spacing w:val="-4"/>
          <w:szCs w:val="24"/>
        </w:rPr>
        <w:t>article</w:t>
      </w:r>
      <w:r w:rsidR="00012CFE" w:rsidRPr="00EF18F7">
        <w:rPr>
          <w:color w:val="231F20"/>
          <w:spacing w:val="-4"/>
          <w:szCs w:val="24"/>
        </w:rPr>
        <w:t> </w:t>
      </w:r>
      <w:r w:rsidRPr="00EF18F7">
        <w:rPr>
          <w:color w:val="231F20"/>
          <w:spacing w:val="-4"/>
          <w:szCs w:val="24"/>
        </w:rPr>
        <w:t>6a, paragraphe</w:t>
      </w:r>
      <w:r w:rsidR="00012CFE" w:rsidRPr="00EF18F7">
        <w:rPr>
          <w:color w:val="231F20"/>
          <w:spacing w:val="-4"/>
          <w:szCs w:val="24"/>
        </w:rPr>
        <w:t> </w:t>
      </w:r>
      <w:r w:rsidRPr="00EF18F7">
        <w:rPr>
          <w:color w:val="231F20"/>
          <w:spacing w:val="-4"/>
          <w:szCs w:val="24"/>
        </w:rPr>
        <w:t>4, phrase</w:t>
      </w:r>
      <w:r w:rsidR="00012CFE" w:rsidRPr="00EF18F7">
        <w:rPr>
          <w:color w:val="231F20"/>
          <w:spacing w:val="-4"/>
          <w:szCs w:val="24"/>
        </w:rPr>
        <w:t> </w:t>
      </w:r>
      <w:r w:rsidRPr="00EF18F7">
        <w:rPr>
          <w:color w:val="231F20"/>
          <w:spacing w:val="-4"/>
          <w:szCs w:val="24"/>
        </w:rPr>
        <w:t>3 s</w:t>
      </w:r>
      <w:r w:rsidR="00012CFE" w:rsidRPr="00EF18F7">
        <w:rPr>
          <w:color w:val="231F20"/>
          <w:spacing w:val="-4"/>
          <w:szCs w:val="24"/>
        </w:rPr>
        <w:t>’</w:t>
      </w:r>
      <w:r w:rsidRPr="00EF18F7">
        <w:rPr>
          <w:color w:val="231F20"/>
          <w:spacing w:val="-4"/>
          <w:szCs w:val="24"/>
        </w:rPr>
        <w:t>appliquent.</w:t>
      </w:r>
    </w:p>
    <w:p w14:paraId="295C3C27" w14:textId="77777777" w:rsidR="00893613" w:rsidRPr="00D43FA1" w:rsidRDefault="00893613" w:rsidP="0070360F">
      <w:pPr>
        <w:pStyle w:val="Text"/>
        <w:keepNext/>
        <w:keepLines/>
        <w:rPr>
          <w:szCs w:val="24"/>
          <w:u w:val="single"/>
        </w:rPr>
      </w:pPr>
      <w:r>
        <w:rPr>
          <w:szCs w:val="24"/>
          <w:u w:val="single"/>
        </w:rPr>
        <w:t>Concernant le point 3</w:t>
      </w:r>
    </w:p>
    <w:p w14:paraId="527C76F7" w14:textId="62CC9113" w:rsidR="00893613" w:rsidRPr="00D43FA1" w:rsidRDefault="00893613" w:rsidP="00893613">
      <w:pPr>
        <w:pStyle w:val="Text"/>
        <w:rPr>
          <w:szCs w:val="24"/>
        </w:rPr>
      </w:pPr>
      <w:r>
        <w:t>Le point</w:t>
      </w:r>
      <w:r w:rsidR="00012CFE">
        <w:t> </w:t>
      </w:r>
      <w:r>
        <w:t>3 réglemente l</w:t>
      </w:r>
      <w:r w:rsidR="00012CFE">
        <w:t>’</w:t>
      </w:r>
      <w:r>
        <w:t>interdiction d</w:t>
      </w:r>
      <w:r w:rsidR="00012CFE">
        <w:t>’</w:t>
      </w:r>
      <w:r>
        <w:t>utiliser des biens destinés à entrer en contact avec des denrées alimentaires qui ne satisfont pas aux exigences de l’article</w:t>
      </w:r>
      <w:r w:rsidR="00012CFE">
        <w:t> </w:t>
      </w:r>
      <w:r>
        <w:t>6a.</w:t>
      </w:r>
    </w:p>
    <w:p w14:paraId="0BECB08F" w14:textId="77777777" w:rsidR="00893613" w:rsidRPr="00D43FA1" w:rsidRDefault="00893613" w:rsidP="0070360F">
      <w:pPr>
        <w:pStyle w:val="Text"/>
        <w:keepNext/>
        <w:keepLines/>
        <w:rPr>
          <w:szCs w:val="24"/>
          <w:u w:val="single"/>
        </w:rPr>
      </w:pPr>
      <w:r>
        <w:rPr>
          <w:szCs w:val="24"/>
          <w:u w:val="single"/>
        </w:rPr>
        <w:t>Concernant le point 4</w:t>
      </w:r>
    </w:p>
    <w:p w14:paraId="123E14BA" w14:textId="14986C3B" w:rsidR="00D77D9F" w:rsidRPr="00D43FA1" w:rsidRDefault="00D77D9F" w:rsidP="00893613">
      <w:pPr>
        <w:pStyle w:val="Text"/>
        <w:rPr>
          <w:szCs w:val="24"/>
          <w:u w:val="single"/>
        </w:rPr>
      </w:pPr>
      <w:r>
        <w:t>Le point 4 règle l</w:t>
      </w:r>
      <w:r w:rsidR="00012CFE">
        <w:t>’</w:t>
      </w:r>
      <w:r>
        <w:t>encadrement des violations des dispositions de l</w:t>
      </w:r>
      <w:r w:rsidR="00012CFE">
        <w:t>’</w:t>
      </w:r>
      <w:r>
        <w:t>article 6a du décret sur les biens de consommation.</w:t>
      </w:r>
    </w:p>
    <w:p w14:paraId="72ADCE94" w14:textId="77777777" w:rsidR="00CB5E99" w:rsidRPr="00D43FA1" w:rsidRDefault="00D77D9F" w:rsidP="0070360F">
      <w:pPr>
        <w:pStyle w:val="Text"/>
        <w:keepNext/>
        <w:keepLines/>
        <w:rPr>
          <w:u w:val="single"/>
        </w:rPr>
      </w:pPr>
      <w:r>
        <w:rPr>
          <w:u w:val="single"/>
        </w:rPr>
        <w:t>Concernant le point 5</w:t>
      </w:r>
    </w:p>
    <w:p w14:paraId="10DAE7A6" w14:textId="32FD75BD" w:rsidR="00BC7160" w:rsidRPr="00D43FA1" w:rsidRDefault="00CB5E99" w:rsidP="00CB5E99">
      <w:pPr>
        <w:pStyle w:val="Text"/>
      </w:pPr>
      <w:r>
        <w:t>Le point</w:t>
      </w:r>
      <w:r w:rsidR="00012CFE">
        <w:t> </w:t>
      </w:r>
      <w:r>
        <w:t>5 stipule que les dispositions ne doivent être appliquées qu</w:t>
      </w:r>
      <w:r w:rsidR="00012CFE">
        <w:t>’</w:t>
      </w:r>
      <w:r>
        <w:t xml:space="preserve">après une période de transition de trois ans. </w:t>
      </w:r>
    </w:p>
    <w:p w14:paraId="38F583BA" w14:textId="07B727EB" w:rsidR="00CB5E99" w:rsidRPr="00D43FA1" w:rsidRDefault="00CB5E99" w:rsidP="00CB5E99">
      <w:pPr>
        <w:pStyle w:val="Text"/>
      </w:pPr>
      <w:r>
        <w:t>Le point</w:t>
      </w:r>
      <w:r w:rsidR="00012CFE">
        <w:t> </w:t>
      </w:r>
      <w:r>
        <w:t>5 stipule en outre que les biens destinés à entrer en contact avec des denrées alimentaires qui ont été fabriqués conformément à la réglementation applicable avant la date d</w:t>
      </w:r>
      <w:r w:rsidR="00012CFE">
        <w:t>’</w:t>
      </w:r>
      <w:r>
        <w:t>application du décret peuvent toujours être mis sur le marché et utilisés pendant deux ans supplémentaires après cette date.</w:t>
      </w:r>
    </w:p>
    <w:p w14:paraId="3DCB47CB" w14:textId="77777777" w:rsidR="00CB5E99" w:rsidRPr="00D43FA1" w:rsidRDefault="00CB5E99" w:rsidP="0070360F">
      <w:pPr>
        <w:pStyle w:val="Text"/>
        <w:keepNext/>
        <w:keepLines/>
        <w:rPr>
          <w:b/>
        </w:rPr>
      </w:pPr>
      <w:r>
        <w:rPr>
          <w:b/>
        </w:rPr>
        <w:lastRenderedPageBreak/>
        <w:t>Concernant l’article 2</w:t>
      </w:r>
    </w:p>
    <w:p w14:paraId="3A8E0CB1" w14:textId="7942E7FB" w:rsidR="00CB5E99" w:rsidRPr="00D43FA1" w:rsidRDefault="00CB5E99" w:rsidP="00CB5E99">
      <w:pPr>
        <w:pStyle w:val="Text"/>
      </w:pPr>
      <w:r>
        <w:t>L</w:t>
      </w:r>
      <w:r w:rsidR="00012CFE">
        <w:t>’</w:t>
      </w:r>
      <w:r>
        <w:t>article</w:t>
      </w:r>
      <w:r w:rsidR="00012CFE">
        <w:t> </w:t>
      </w:r>
      <w:r>
        <w:t>2 contient l</w:t>
      </w:r>
      <w:r w:rsidR="00012CFE">
        <w:t>’</w:t>
      </w:r>
      <w:r>
        <w:t>autorisation de publication du décret relatif aux biens de consommation.</w:t>
      </w:r>
    </w:p>
    <w:p w14:paraId="7689A2E3" w14:textId="77777777" w:rsidR="00CB5E99" w:rsidRPr="00D43FA1" w:rsidRDefault="00CB5E99" w:rsidP="0070360F">
      <w:pPr>
        <w:pStyle w:val="Text"/>
        <w:keepNext/>
        <w:keepLines/>
        <w:rPr>
          <w:b/>
        </w:rPr>
      </w:pPr>
      <w:r>
        <w:rPr>
          <w:b/>
        </w:rPr>
        <w:t>Concernant l’article 3</w:t>
      </w:r>
    </w:p>
    <w:p w14:paraId="193ACE56" w14:textId="601048E6" w:rsidR="00CB5E99" w:rsidRPr="0070360F" w:rsidRDefault="00CB5E99">
      <w:pPr>
        <w:pStyle w:val="Text"/>
      </w:pPr>
      <w:r>
        <w:t>L</w:t>
      </w:r>
      <w:r w:rsidR="00012CFE">
        <w:t>’</w:t>
      </w:r>
      <w:r>
        <w:t>article 3 définit l</w:t>
      </w:r>
      <w:r w:rsidR="00012CFE">
        <w:t>’</w:t>
      </w:r>
      <w:r>
        <w:t>entrée en vigueur du décret.</w:t>
      </w:r>
    </w:p>
    <w:sectPr w:rsidR="00CB5E99" w:rsidRPr="0070360F" w:rsidSect="00073F52">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7E9EA" w14:textId="77777777" w:rsidR="00520CB3" w:rsidRDefault="00520CB3">
      <w:pPr>
        <w:spacing w:before="0" w:after="0"/>
      </w:pPr>
      <w:r>
        <w:separator/>
      </w:r>
    </w:p>
  </w:endnote>
  <w:endnote w:type="continuationSeparator" w:id="0">
    <w:p w14:paraId="1150D02D" w14:textId="77777777" w:rsidR="00520CB3" w:rsidRDefault="00520C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6D900" w14:textId="77777777" w:rsidR="00012CFE" w:rsidRDefault="0001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2C1E" w14:textId="77777777" w:rsidR="00012CFE" w:rsidRDefault="00012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3CB1" w14:textId="77777777" w:rsidR="00012CFE" w:rsidRDefault="0001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85F72" w14:textId="77777777" w:rsidR="00520CB3" w:rsidRDefault="00520CB3">
      <w:pPr>
        <w:spacing w:before="0" w:after="0"/>
      </w:pPr>
      <w:r>
        <w:separator/>
      </w:r>
    </w:p>
  </w:footnote>
  <w:footnote w:type="continuationSeparator" w:id="0">
    <w:p w14:paraId="3B309F38" w14:textId="77777777" w:rsidR="00520CB3" w:rsidRDefault="00520CB3">
      <w:pPr>
        <w:spacing w:before="0" w:after="0"/>
      </w:pPr>
      <w:r>
        <w:continuationSeparator/>
      </w:r>
    </w:p>
  </w:footnote>
  <w:footnote w:id="1">
    <w:p w14:paraId="7B8D79B8" w14:textId="77777777" w:rsidR="00012CFE" w:rsidRPr="00A62004" w:rsidRDefault="00012CFE">
      <w:pPr>
        <w:pStyle w:val="FootnoteText"/>
        <w:rPr>
          <w:spacing w:val="-4"/>
        </w:rPr>
      </w:pPr>
      <w:r w:rsidRPr="00A62004">
        <w:rPr>
          <w:rStyle w:val="FootnoteReference"/>
          <w:spacing w:val="-4"/>
        </w:rPr>
        <w:t>*</w:t>
      </w:r>
      <w:r w:rsidRPr="00A62004">
        <w:rPr>
          <w:spacing w:val="-4"/>
        </w:rP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 w:id="2">
    <w:p w14:paraId="7D837383" w14:textId="2E6AA506" w:rsidR="00012CFE" w:rsidRDefault="00012CFE" w:rsidP="006B7BFE">
      <w:pPr>
        <w:pStyle w:val="FootnoteText"/>
        <w:jc w:val="left"/>
      </w:pPr>
      <w:r>
        <w:rPr>
          <w:rStyle w:val="FootnoteReference"/>
        </w:rPr>
        <w:footnoteRef/>
      </w:r>
      <w:r>
        <w:t xml:space="preserve"> </w:t>
      </w:r>
      <w:r>
        <w:tab/>
        <w:t>Office fédéral de la statistique (2012</w:t>
      </w:r>
      <w:proofErr w:type="gramStart"/>
      <w:r>
        <w:t>):</w:t>
      </w:r>
      <w:proofErr w:type="gramEnd"/>
      <w:r>
        <w:t xml:space="preserve"> Guide de détermination et de représentation des charges d’exécution dans les projets de règlements du gouvernement fédéral. </w:t>
      </w:r>
    </w:p>
  </w:footnote>
  <w:footnote w:id="3">
    <w:p w14:paraId="36F3698B" w14:textId="0F0795C6" w:rsidR="00012CFE" w:rsidRPr="0086292F" w:rsidRDefault="00012CFE" w:rsidP="002F54A3">
      <w:pPr>
        <w:pStyle w:val="FootnoteText"/>
      </w:pPr>
      <w:r>
        <w:rPr>
          <w:rStyle w:val="FootnoteReference"/>
        </w:rPr>
        <w:footnoteRef/>
      </w:r>
      <w:r>
        <w:t xml:space="preserve"> </w:t>
      </w:r>
      <w:r>
        <w:tab/>
        <w:t>Enquête sur la structure des coûts dans le domaine de la fabrication, des mines et des carrières de pierres et de terre (EVAS n ° 42251</w:t>
      </w:r>
      <w:proofErr w:type="gramStart"/>
      <w:r>
        <w:t>):</w:t>
      </w:r>
      <w:proofErr w:type="gramEnd"/>
      <w:r>
        <w:t xml:space="preserve"> salariés, chiffre d’affaires, valeur de production et valeur ajoutée des entreprises du secteur manufacturier, Allemagne 2015, secteurs économiques WZ08-10. </w:t>
      </w:r>
    </w:p>
  </w:footnote>
  <w:footnote w:id="4">
    <w:p w14:paraId="3324C433" w14:textId="55397FD2" w:rsidR="00012CFE" w:rsidRPr="00D47EE6" w:rsidRDefault="00012CFE" w:rsidP="002F54A3">
      <w:pPr>
        <w:pStyle w:val="Default"/>
        <w:ind w:left="720" w:hanging="720"/>
        <w:rPr>
          <w:rFonts w:ascii="Arial" w:hAnsi="Arial" w:cs="Arial"/>
          <w:sz w:val="18"/>
          <w:szCs w:val="18"/>
        </w:rPr>
      </w:pPr>
      <w:r>
        <w:rPr>
          <w:rStyle w:val="FootnoteReference"/>
          <w:rFonts w:ascii="Arial" w:hAnsi="Arial"/>
          <w:sz w:val="18"/>
          <w:szCs w:val="18"/>
        </w:rPr>
        <w:t>3</w:t>
      </w:r>
      <w:r>
        <w:t xml:space="preserve"> </w:t>
      </w:r>
      <w:r>
        <w:tab/>
      </w:r>
      <w:r>
        <w:rPr>
          <w:rFonts w:ascii="Arial" w:hAnsi="Arial"/>
          <w:sz w:val="18"/>
          <w:szCs w:val="18"/>
        </w:rPr>
        <w:t xml:space="preserve">Tableaux des coûts salariaux 2017 pour la mesure des charges d’exécution et d’administration de l’Office fédéral de la statistique, branche d’activité C10, entreprises d’au moins 250 salariés, niveau de qualification élevé. </w:t>
      </w:r>
    </w:p>
    <w:p w14:paraId="2487B60A" w14:textId="77777777" w:rsidR="00012CFE" w:rsidRDefault="00012C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1FEB" w14:textId="77777777" w:rsidR="00012CFE" w:rsidRDefault="0001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012CFE" w:rsidRPr="00073F52" w:rsidRDefault="00012CFE" w:rsidP="00073F52">
    <w:pPr>
      <w:pStyle w:val="Header"/>
    </w:pPr>
    <w:r>
      <w:tab/>
      <w:t xml:space="preserve">- </w:t>
    </w:r>
    <w:r>
      <w:fldChar w:fldCharType="begin"/>
    </w:r>
    <w:r>
      <w:instrText xml:space="preserve"> PAGE  \* MERGEFORMAT </w:instrText>
    </w:r>
    <w:r>
      <w:fldChar w:fldCharType="separate"/>
    </w:r>
    <w:r>
      <w:t>2</w:t>
    </w:r>
    <w:r>
      <w:fldChar w:fldCharType="end"/>
    </w:r>
    <w:r>
      <w:t xml:space="preserve"> -</w:t>
    </w:r>
    <w:r>
      <w:tab/>
    </w:r>
    <w:proofErr w:type="gramStart"/>
    <w:r>
      <w:rPr>
        <w:sz w:val="18"/>
      </w:rPr>
      <w:t>Version:</w:t>
    </w:r>
    <w:proofErr w:type="gramEnd"/>
    <w:r>
      <w:rPr>
        <w:sz w:val="18"/>
      </w:rPr>
      <w:t xml:space="preserve"> 14.8.2020 15:07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23CBB667" w:rsidR="00012CFE" w:rsidRPr="00073F52" w:rsidRDefault="00012CFE" w:rsidP="00073F52">
    <w:pPr>
      <w:pStyle w:val="Header"/>
    </w:pPr>
    <w:r>
      <w:tab/>
    </w:r>
    <w:r w:rsidR="00EF18F7">
      <w:fldChar w:fldCharType="begin"/>
    </w:r>
    <w:r w:rsidR="00EF18F7">
      <w:instrText xml:space="preserve"> DOCPROPERTY "Bearbeitungsstand" \* MERGEFORMAT </w:instrText>
    </w:r>
    <w:r w:rsidR="00EF18F7">
      <w:fldChar w:fldCharType="separate"/>
    </w:r>
    <w:proofErr w:type="spellStart"/>
    <w:proofErr w:type="gramStart"/>
    <w:r w:rsidRPr="00012CFE">
      <w:rPr>
        <w:sz w:val="18"/>
      </w:rPr>
      <w:t>Bearbeitungsstand</w:t>
    </w:r>
    <w:proofErr w:type="spellEnd"/>
    <w:r w:rsidRPr="00012CFE">
      <w:rPr>
        <w:sz w:val="18"/>
      </w:rPr>
      <w:t>:</w:t>
    </w:r>
    <w:proofErr w:type="gramEnd"/>
    <w:r w:rsidRPr="00012CFE">
      <w:rPr>
        <w:sz w:val="18"/>
      </w:rPr>
      <w:t xml:space="preserve"> 14.08.2020  15:07 </w:t>
    </w:r>
    <w:proofErr w:type="spellStart"/>
    <w:r w:rsidRPr="00012CFE">
      <w:rPr>
        <w:sz w:val="18"/>
      </w:rPr>
      <w:t>Uhr</w:t>
    </w:r>
    <w:proofErr w:type="spellEnd"/>
    <w:r w:rsidR="00EF18F7">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2CFE"/>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2C26"/>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0CB3"/>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2004"/>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18F7"/>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50</TotalTime>
  <Pages>21</Pages>
  <Words>8404</Words>
  <Characters>47904</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Bundesministerium der Justiz</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5</cp:revision>
  <cp:lastPrinted>2020-07-29T12:01:00Z</cp:lastPrinted>
  <dcterms:created xsi:type="dcterms:W3CDTF">2020-08-17T12:48:00Z</dcterms:created>
  <dcterms:modified xsi:type="dcterms:W3CDTF">2020-08-31T12:18:00Z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