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F0BB" w14:textId="78162EA5" w:rsidR="00AC25F9" w:rsidRPr="00AC25F9" w:rsidRDefault="00AC25F9" w:rsidP="00AC25F9">
      <w:p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19 de abril de 2021.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N.º 699.</w:t>
      </w:r>
    </w:p>
    <w:p w14:paraId="4BCC8A2D" w14:textId="5907DBA3" w:rsidR="004009A5" w:rsidRDefault="007C0D66" w:rsidP="008367FC">
      <w:pPr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Orden relativa a la normalización de los cigarrillos electrónicos y los envases de recarga con y sin nicotina</w:t>
      </w:r>
    </w:p>
    <w:p w14:paraId="58F87FE1" w14:textId="77777777" w:rsidR="00411B45" w:rsidRPr="00E9280B" w:rsidRDefault="00411B45" w:rsidP="008367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B5FC1" w14:textId="090141B9" w:rsidR="004009A5" w:rsidRPr="00E9280B" w:rsidRDefault="00AC25F9" w:rsidP="00AC25F9">
      <w:p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 conformidad con el artículo 9, apartado 2, y el artículo 33, apartado 2, de la Ley sobre los cigarrillos electrónicos, etc. (véase la Ley de consolidación n.º 580, de 26 de marzo de 2021), se establece lo siguiente:</w:t>
      </w:r>
    </w:p>
    <w:p w14:paraId="4453E575" w14:textId="4EDB3131" w:rsidR="008D5280" w:rsidRDefault="008D5280" w:rsidP="008D5280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Times New Roman" w:eastAsia="TimesNewRomanPSMT" w:hAnsi="Times New Roman" w:cs="Times New Roman"/>
        </w:rPr>
      </w:pPr>
      <w:r>
        <w:rPr>
          <w:sz w:val="24"/>
          <w:rFonts w:ascii="Times New Roman" w:hAnsi="Times New Roman"/>
        </w:rPr>
        <w:t xml:space="preserve">Capítulo 1</w:t>
      </w:r>
    </w:p>
    <w:p w14:paraId="49FAF3B3" w14:textId="77777777" w:rsidR="00F471C1" w:rsidRPr="008D5280" w:rsidRDefault="00F471C1" w:rsidP="008D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14:paraId="61968554" w14:textId="77777777" w:rsidR="008D5280" w:rsidRPr="008D5280" w:rsidRDefault="008D5280" w:rsidP="008D5280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rFonts w:ascii="Times New Roman" w:eastAsia="TimesNewRomanPSMT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Definiciones</w:t>
      </w:r>
    </w:p>
    <w:p w14:paraId="4FCE8EF5" w14:textId="424F1B01" w:rsidR="0004610C" w:rsidRPr="00E9280B" w:rsidRDefault="0004610C" w:rsidP="004009A5">
      <w:pPr>
        <w:rPr>
          <w:rFonts w:ascii="Times New Roman" w:hAnsi="Times New Roman" w:cs="Times New Roman"/>
          <w:b/>
          <w:sz w:val="24"/>
          <w:szCs w:val="24"/>
        </w:rPr>
      </w:pPr>
    </w:p>
    <w:p w14:paraId="03DE2CC2" w14:textId="77777777" w:rsidR="004009A5" w:rsidRPr="00E9280B" w:rsidRDefault="004009A5" w:rsidP="00BC5A51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Artículo 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 los efectos de la presente Orden, se aplicarán las definiciones siguientes:</w:t>
      </w:r>
      <w:r>
        <w:rPr>
          <w:sz w:val="24"/>
          <w:rFonts w:ascii="Times New Roman" w:hAnsi="Times New Roman"/>
        </w:rPr>
        <w:t xml:space="preserve"> </w:t>
      </w:r>
    </w:p>
    <w:p w14:paraId="5A787BCA" w14:textId="0C24838D" w:rsidR="001F6C1B" w:rsidRPr="001F6C1B" w:rsidRDefault="001F6C1B" w:rsidP="001F6C1B">
      <w:pPr>
        <w:numPr>
          <w:ilvl w:val="0"/>
          <w:numId w:val="1"/>
        </w:num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«nombre de la marca»: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nombre de un cigarrillo electrónico y de un envase de recarga con y sin nicotina pertenecientes a la misma categoría de producto;</w:t>
      </w:r>
    </w:p>
    <w:p w14:paraId="2501DE08" w14:textId="4AB7C8B3" w:rsidR="004009A5" w:rsidRDefault="00045A8E" w:rsidP="006606A3">
      <w:pPr>
        <w:numPr>
          <w:ilvl w:val="0"/>
          <w:numId w:val="1"/>
        </w:num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«nombre de la variedad»: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nombre utilizado para distinguir diferentes cigarrillos electrónicos y envases de recarga con y sin nicotina pertenecientes a la misma marca;</w:t>
      </w:r>
    </w:p>
    <w:p w14:paraId="53AF9D51" w14:textId="27C861E6" w:rsidR="004009A5" w:rsidRPr="004B7986" w:rsidRDefault="004009A5" w:rsidP="00BC5A5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Unidad de envasado: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el paquete individual más pequeño que se comercializa de un cigarrillo electrónico o de un envase de recarga con y sin nicotina.</w:t>
      </w:r>
    </w:p>
    <w:p w14:paraId="1333000C" w14:textId="05328CEE" w:rsidR="004009A5" w:rsidRPr="00E9280B" w:rsidRDefault="004009A5" w:rsidP="00C67E54">
      <w:pPr>
        <w:numPr>
          <w:ilvl w:val="0"/>
          <w:numId w:val="1"/>
        </w:num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Embalaje exterior: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cualquier embalaje en el que se comercializan cigarrillos electrónicos, envases de recarga con y sin nicotina o productos relacionados y que incluye una o más unidades de envasado.</w:t>
      </w:r>
    </w:p>
    <w:p w14:paraId="26959B1C" w14:textId="11E8DF07" w:rsidR="004009A5" w:rsidRDefault="004009A5" w:rsidP="00BC5A51">
      <w:pPr>
        <w:numPr>
          <w:ilvl w:val="0"/>
          <w:numId w:val="1"/>
        </w:num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«superficies exteriores»: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superficies que son visibles cuando una unidad de envasado está cerrada o el embalaje exterior no está roto;</w:t>
      </w:r>
    </w:p>
    <w:p w14:paraId="2DC0D946" w14:textId="04553C87" w:rsidR="002F55FE" w:rsidRPr="00E9280B" w:rsidRDefault="002F55FE" w:rsidP="002F55FE">
      <w:pPr>
        <w:numPr>
          <w:ilvl w:val="0"/>
          <w:numId w:val="1"/>
        </w:num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Superficies interiores: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superficies que no son visibles cuando el paquete individual está cerrado.</w:t>
      </w:r>
    </w:p>
    <w:p w14:paraId="5B5F7A19" w14:textId="7417C049" w:rsidR="004009A5" w:rsidRPr="00E605F6" w:rsidRDefault="004009A5" w:rsidP="00BC5A51">
      <w:pPr>
        <w:numPr>
          <w:ilvl w:val="0"/>
          <w:numId w:val="1"/>
        </w:num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Envoltorio: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material transparente e incoloro que incluye una o varias unidades de envasado;</w:t>
      </w:r>
    </w:p>
    <w:p w14:paraId="6FA7DAEA" w14:textId="1B69D6C1" w:rsidR="00113856" w:rsidRPr="00E9280B" w:rsidRDefault="00113856" w:rsidP="00BC5A51">
      <w:pPr>
        <w:numPr>
          <w:ilvl w:val="0"/>
          <w:numId w:val="1"/>
        </w:num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«sin revestimiento»: no barnizado, recubierto o tratado de manera que la superficie parezca que no sea mate;</w:t>
      </w:r>
    </w:p>
    <w:p w14:paraId="652F59A8" w14:textId="5DA7D4E2" w:rsidR="00D15F19" w:rsidRPr="00D15F19" w:rsidRDefault="004009A5" w:rsidP="00BC5A51">
      <w:pPr>
        <w:numPr>
          <w:ilvl w:val="0"/>
          <w:numId w:val="1"/>
        </w:num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Tira: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una tira de desgarre que puede utilizarse para abrir una unidad de envasado, un embalaje exterior y un envoltorio.</w:t>
      </w:r>
    </w:p>
    <w:p w14:paraId="0A7F9825" w14:textId="77777777" w:rsidR="004009A5" w:rsidRPr="00E9280B" w:rsidRDefault="004009A5" w:rsidP="004009A5">
      <w:pPr>
        <w:rPr>
          <w:rFonts w:ascii="Times New Roman" w:hAnsi="Times New Roman" w:cs="Times New Roman"/>
          <w:b/>
          <w:sz w:val="24"/>
          <w:szCs w:val="24"/>
        </w:rPr>
      </w:pPr>
    </w:p>
    <w:p w14:paraId="3E14C1E6" w14:textId="546B934D" w:rsidR="00B77AC1" w:rsidRDefault="004009A5" w:rsidP="00B77AC1">
      <w:pPr>
        <w:spacing w:after="0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Capítulo 2</w:t>
      </w:r>
    </w:p>
    <w:p w14:paraId="3DFEDA2C" w14:textId="77777777" w:rsidR="00B77AC1" w:rsidRPr="00E9280B" w:rsidRDefault="00B77AC1" w:rsidP="00B7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40C382" w14:textId="6048D063" w:rsidR="00761992" w:rsidRDefault="004009A5" w:rsidP="00696951">
      <w:pPr>
        <w:spacing w:after="0"/>
        <w:jc w:val="center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Requisitos de color y elementos de envasado en las unidades de envasado, los embalajes exteriores y los envoltorios de cigarrillos electrónicos y envases de recarga con y sin nicotina</w:t>
      </w:r>
    </w:p>
    <w:p w14:paraId="646F5515" w14:textId="77777777" w:rsidR="00D2737D" w:rsidRPr="00CB2283" w:rsidRDefault="00D2737D" w:rsidP="0069695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33D3811" w14:textId="77777777" w:rsidR="005F198D" w:rsidRDefault="004009A5" w:rsidP="001B2C2A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Artículo 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Las unidades de envasado de cigarrillos electrónicos y envases de recarga con y sin nicotina, así como los embalajes exteriores y los envoltorios, deberán tener un diseño normalizado de conformidad con los requisitos contenidos en la presente Orden y otras normativas que regulan el etiquetado, etc., de las unidades de envasado, los embalajes exteriores y los envoltorios de cigarrillos electrónicos y envases de recarga</w:t>
      </w:r>
      <w:r>
        <w:rPr>
          <w:sz w:val="24"/>
          <w:i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con y sin nicotina.</w:t>
      </w:r>
      <w:r>
        <w:rPr>
          <w:sz w:val="24"/>
          <w:rFonts w:ascii="Times New Roman" w:hAnsi="Times New Roman"/>
        </w:rPr>
        <w:t xml:space="preserve"> </w:t>
      </w:r>
    </w:p>
    <w:p w14:paraId="2BC14B3F" w14:textId="5178F680" w:rsidR="004009A5" w:rsidRDefault="004009A5" w:rsidP="001B2C2A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Apartado 2.</w:t>
      </w:r>
      <w:r>
        <w:rPr>
          <w:sz w:val="24"/>
          <w:i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Las unidades de envasado, los embalajes exteriores y los envoltorios solo podrán llevar el etiquetado, la información, etc., establecidos en la presente Orden y otras normativas.</w:t>
      </w:r>
    </w:p>
    <w:p w14:paraId="104CC662" w14:textId="02635057" w:rsidR="00C84352" w:rsidRDefault="00A46F51" w:rsidP="001B2C2A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Apartado 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El etiquetado, la información, etc., que se derive de otra normativa debe presentarse de manera que no dé la unidad de envasado o al embalaje exterior una expresión única, un efecto de sensibilización o que, de otro modo, se considere contrario al requisito de un diseño normalizado para todos los productos que contengan cigarrillos electrónicos o envases de recarga con y sin nicotina.</w:t>
      </w:r>
    </w:p>
    <w:p w14:paraId="31707007" w14:textId="5F7526D0" w:rsidR="004009A5" w:rsidRDefault="004009A5" w:rsidP="001B2C2A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Artículo 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Las superficies interiores y exteriores de las unidades de envasado y embalajes exteriores deben ser de color Pantone 448 C mate, blanco o gris plata y los embalajes exteriores deben ser de color Pantone 448 C mate.</w:t>
      </w:r>
    </w:p>
    <w:p w14:paraId="4186999B" w14:textId="492ED035" w:rsidR="004009A5" w:rsidRDefault="004009A5" w:rsidP="001B2C2A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Apartado 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Las tiras de las unidades de envasado o los embalajes exteriores de cigarrillos electrónicos y envases de recarga</w:t>
      </w:r>
      <w:r>
        <w:rPr>
          <w:sz w:val="24"/>
          <w:i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con y sin nicotina</w:t>
      </w:r>
      <w:r>
        <w:rPr>
          <w:sz w:val="24"/>
          <w:i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deben ser cuadradas, transparentes e incoloras.</w:t>
      </w:r>
    </w:p>
    <w:p w14:paraId="4878C31E" w14:textId="6FCCD909" w:rsidR="004009A5" w:rsidRPr="00C47D05" w:rsidRDefault="00281A50" w:rsidP="00C47D05">
      <w:pPr>
        <w:pStyle w:val="HTMLPreformatted"/>
        <w:rPr>
          <w:b/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Artículo 4.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Todos los elementos de </w:t>
      </w:r>
      <w:r>
        <w:rPr>
          <w:sz w:val="24"/>
          <w:color w:val="000000"/>
          <w:rFonts w:ascii="Times New Roman" w:hAnsi="Times New Roman"/>
        </w:rPr>
        <w:t xml:space="preserve">las unidades de envasado y los embalajes exteriores de</w:t>
      </w:r>
      <w:r>
        <w:rPr>
          <w:sz w:val="24"/>
          <w:rFonts w:ascii="Times New Roman" w:hAnsi="Times New Roman"/>
        </w:rPr>
        <w:t xml:space="preserve"> los cigarrillos electrónicos y los envases de recarga</w:t>
      </w:r>
      <w:r>
        <w:rPr>
          <w:sz w:val="24"/>
          <w:i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con y sin nicotina </w:t>
      </w:r>
      <w:r>
        <w:rPr>
          <w:sz w:val="24"/>
          <w:color w:val="000000"/>
          <w:rFonts w:ascii="Times New Roman" w:hAnsi="Times New Roman"/>
        </w:rPr>
        <w:t xml:space="preserve">deben ser insípidos, inodoros y silenciosos.</w:t>
      </w:r>
      <w:r>
        <w:rPr>
          <w:sz w:val="24"/>
          <w:color w:val="000000"/>
          <w:rFonts w:ascii="Times New Roman" w:hAnsi="Times New Roman"/>
        </w:rPr>
        <w:t xml:space="preserve"> </w:t>
      </w:r>
    </w:p>
    <w:p w14:paraId="5BE2343B" w14:textId="77777777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4E3025C6" w14:textId="0C11F9F5" w:rsidR="00B77AC1" w:rsidRDefault="004009A5" w:rsidP="00B77AC1">
      <w:pPr>
        <w:spacing w:after="0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Capítulo 3</w:t>
      </w:r>
    </w:p>
    <w:p w14:paraId="28AED404" w14:textId="77777777" w:rsidR="00B77AC1" w:rsidRPr="00E9280B" w:rsidRDefault="00B77AC1" w:rsidP="00B7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8D9E75" w14:textId="0F01AF47" w:rsidR="004009A5" w:rsidRPr="00EA73E1" w:rsidRDefault="004009A5" w:rsidP="00A24471">
      <w:pPr>
        <w:spacing w:line="240" w:lineRule="auto"/>
        <w:jc w:val="center"/>
        <w:rPr>
          <w:i/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Superficies, etc., de las unidades de envasado y los embalajes exteriores de cigarrillos electrónicos</w:t>
      </w:r>
      <w:r>
        <w:rPr>
          <w:sz w:val="24"/>
          <w:rFonts w:ascii="Times New Roman" w:hAnsi="Times New Roman"/>
        </w:rPr>
        <w:t xml:space="preserve"> y </w:t>
      </w:r>
      <w:r>
        <w:rPr>
          <w:sz w:val="24"/>
          <w:i/>
          <w:rFonts w:ascii="Times New Roman" w:hAnsi="Times New Roman"/>
        </w:rPr>
        <w:t xml:space="preserve">envases de recarga con y sin nicotina</w:t>
      </w:r>
    </w:p>
    <w:p w14:paraId="4104CD23" w14:textId="67B587E7" w:rsidR="004009A5" w:rsidRDefault="00D9738B" w:rsidP="00A24471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Artículo 5.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Las superficies serán planas y lisas, y no deberán presentar irregularidades como marcas, relieves, texturas, depresiones, elevaciones o cualquier otra forma o estructura.</w:t>
      </w:r>
    </w:p>
    <w:p w14:paraId="6FBB4A04" w14:textId="422F9E73" w:rsidR="00302CB7" w:rsidRPr="00302CB7" w:rsidRDefault="00302CB7" w:rsidP="00302CB7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Apartado 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Se excluyen ciertos elementos necesarios para plegar el material, sujetar el fondo y abrir y cerrar la unidad de envasado.</w:t>
      </w:r>
    </w:p>
    <w:p w14:paraId="27C6C170" w14:textId="6E0544E3" w:rsidR="00302CB7" w:rsidRPr="00302CB7" w:rsidRDefault="00302CB7" w:rsidP="00302CB7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Apartado 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Se excluyen ciertos elementos necesarios para plegar el material, sujetar el fondo y abrir y cerrar el embalaje exterior.</w:t>
      </w:r>
    </w:p>
    <w:p w14:paraId="526A8367" w14:textId="25CF63D5" w:rsidR="00320622" w:rsidRDefault="00302CB7" w:rsidP="00302CB7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Apartado 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Las excepciones previstas en el apartado 5, puntos 2 y 3, solo se aplicarán mientras la desigualdad no dé al envase una expresión única, un efecto de sensibilización o pueda considerarse contrario al requisito de un diseño normalizado, para todas las unidades de envasado y embalajes exteriores que contengan cigarrillos electrónicos y envases de recarga con y sin nicotina.</w:t>
      </w:r>
    </w:p>
    <w:p w14:paraId="703EA15C" w14:textId="56507F1D" w:rsidR="004009A5" w:rsidRPr="00857781" w:rsidRDefault="00D9738B" w:rsidP="00A24471">
      <w:pPr>
        <w:pStyle w:val="HTMLPreformatted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Artículo 6.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Las superficies, etc., de las unidades de envasado y los embalajes exteriores solo podrán aplicarse a los elementos establecidos por la ley.</w:t>
      </w:r>
      <w:r>
        <w:rPr>
          <w:sz w:val="24"/>
          <w:rFonts w:ascii="Times New Roman" w:hAnsi="Times New Roman"/>
        </w:rPr>
        <w:t xml:space="preserve"> </w:t>
      </w:r>
    </w:p>
    <w:p w14:paraId="6B65F25E" w14:textId="202F8760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410FFE07" w14:textId="77777777" w:rsidR="004009A5" w:rsidRPr="00E9280B" w:rsidRDefault="004009A5" w:rsidP="004009A5">
      <w:pPr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Capítulo 4</w:t>
      </w:r>
    </w:p>
    <w:p w14:paraId="664672ED" w14:textId="52382E40" w:rsidR="004009A5" w:rsidRPr="00711F3F" w:rsidRDefault="004009A5" w:rsidP="00711F3F">
      <w:pPr>
        <w:jc w:val="center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Envoltorios de las unidades de envasado y los embalajes exteriores de cigarrillos electrónicos y envases de recarga con y sin nicotina</w:t>
      </w:r>
    </w:p>
    <w:p w14:paraId="37B3D713" w14:textId="3FF211A7" w:rsidR="004009A5" w:rsidRPr="00E9280B" w:rsidRDefault="00D9738B" w:rsidP="0045177E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Artículo 7.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Las unidades de envasado y los embalajes exteriores deberán cubrirse con un envoltorio.</w:t>
      </w:r>
      <w:r>
        <w:rPr>
          <w:sz w:val="24"/>
          <w:rFonts w:ascii="Times New Roman" w:hAnsi="Times New Roman"/>
        </w:rPr>
        <w:t xml:space="preserve"> </w:t>
      </w:r>
    </w:p>
    <w:p w14:paraId="05EAEC40" w14:textId="2035B4E1" w:rsidR="004009A5" w:rsidRPr="00E9280B" w:rsidRDefault="004009A5" w:rsidP="0045177E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Apartado 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Los envoltorios serán planos y lisos, y no deberán presentar irregularidades como marcas, relieves, texturas, depresiones, elevaciones o cualquier otra forma o estructura.</w:t>
      </w:r>
    </w:p>
    <w:p w14:paraId="20760A2D" w14:textId="5A4A4A1B" w:rsidR="004009A5" w:rsidRPr="00E9280B" w:rsidRDefault="004009A5" w:rsidP="0045177E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Apartado 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La tira utilizada para abrir los envoltorios será transparente o de color negro.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Deberá tener una anchura no superior a 3 mm y ser paralela al borde superior del paquete.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La tira formará una línea recta continua transparente o negra de 15 mm de largo, como máximo, que indicará el extremo por el que comienza la tira.</w:t>
      </w:r>
    </w:p>
    <w:p w14:paraId="6CE42DE2" w14:textId="77387C15" w:rsidR="004009A5" w:rsidRDefault="004009A5" w:rsidP="0045177E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Apartado 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Una tira de color negro no deberá cubrir ni ocultar las advertencias sanitarias u otras marcas, etc., en virtud de una normativa distinta.</w:t>
      </w:r>
    </w:p>
    <w:p w14:paraId="08C116A4" w14:textId="262EE062" w:rsidR="004009A5" w:rsidRPr="00E9280B" w:rsidRDefault="004009A5" w:rsidP="0045177E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Apartado 5.</w:t>
      </w:r>
      <w:r>
        <w:rPr>
          <w:sz w:val="24"/>
          <w:i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Los envoltorios se aplicarán únicamente a los elementos necesarios para el proceso de producción y no alterarán la expresión normalizada.</w:t>
      </w:r>
    </w:p>
    <w:p w14:paraId="728E3577" w14:textId="77777777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54A616A8" w14:textId="77777777" w:rsidR="004009A5" w:rsidRPr="00E9280B" w:rsidRDefault="004009A5" w:rsidP="004009A5">
      <w:pPr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Capítulo 5</w:t>
      </w:r>
    </w:p>
    <w:p w14:paraId="02C011C3" w14:textId="16DDE974" w:rsidR="004009A5" w:rsidRDefault="004009A5" w:rsidP="004009A5">
      <w:pPr>
        <w:jc w:val="center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Etiquetado, etc., de las unidades de envasado y los embalajes exteriores de cigarrillos electrónicos y envases de recarga con y sin nicotina</w:t>
      </w:r>
    </w:p>
    <w:p w14:paraId="56E12829" w14:textId="4948007A" w:rsidR="004009A5" w:rsidRDefault="00D9738B" w:rsidP="0009506E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Artículo 8.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El etiquetado conforme a los criterios de la presente Orden no deberá ocultar, total o parcialmente, los textos, las advertencias u otro etiquetado, etc., establecidos en virtud de una normativa distinta.</w:t>
      </w:r>
    </w:p>
    <w:p w14:paraId="12BE8940" w14:textId="77777777" w:rsidR="0009506E" w:rsidRPr="00480CCA" w:rsidRDefault="0009506E" w:rsidP="0009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CC714" w14:textId="15A71CA1" w:rsidR="0009506E" w:rsidRPr="00E9280B" w:rsidRDefault="00D9738B" w:rsidP="0009506E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Artículo 9.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Las unidades de envasado y los embalajes exteriores pueden etiquetarse en dos lugares indicando el nombre de la marca y el nombre del producto.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El texto imprimido:</w:t>
      </w:r>
    </w:p>
    <w:p w14:paraId="0BF12D86" w14:textId="5CBAD614" w:rsidR="004009A5" w:rsidRPr="00E9280B" w:rsidRDefault="004009A5" w:rsidP="00A1280F">
      <w:pPr>
        <w:numPr>
          <w:ilvl w:val="0"/>
          <w:numId w:val="12"/>
        </w:num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estará en letras minúsculas (a-å), excepto la primera letra, que estará en mayúsculas;</w:t>
      </w:r>
      <w:r>
        <w:rPr>
          <w:sz w:val="24"/>
          <w:rFonts w:ascii="Times New Roman" w:hAnsi="Times New Roman"/>
        </w:rPr>
        <w:t xml:space="preserve"> </w:t>
      </w:r>
    </w:p>
    <w:p w14:paraId="3E6C2BCC" w14:textId="77777777" w:rsidR="004009A5" w:rsidRPr="00E9280B" w:rsidRDefault="004009A5" w:rsidP="00A1280F">
      <w:pPr>
        <w:numPr>
          <w:ilvl w:val="0"/>
          <w:numId w:val="12"/>
        </w:num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contendrá los números 0-9;</w:t>
      </w:r>
    </w:p>
    <w:p w14:paraId="56D8FAD6" w14:textId="77777777" w:rsidR="004009A5" w:rsidRDefault="004009A5" w:rsidP="00A1280F">
      <w:pPr>
        <w:numPr>
          <w:ilvl w:val="0"/>
          <w:numId w:val="12"/>
        </w:num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se imprimirá en Helvética;</w:t>
      </w:r>
    </w:p>
    <w:p w14:paraId="5D1BD9C1" w14:textId="5AC5E1C4" w:rsidR="004009A5" w:rsidRPr="008E7C5A" w:rsidRDefault="00C51654" w:rsidP="00A1280F">
      <w:pPr>
        <w:pStyle w:val="HTMLPreformatted"/>
        <w:numPr>
          <w:ilvl w:val="0"/>
          <w:numId w:val="12"/>
        </w:num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puede consistir en los símbolos entre paréntesis (-), acento agudo (´), apóstrofe (’) y el signo et (&amp;)</w:t>
      </w:r>
    </w:p>
    <w:p w14:paraId="107D9E2D" w14:textId="6C9FF18D" w:rsidR="004009A5" w:rsidRPr="00E9280B" w:rsidRDefault="004009A5" w:rsidP="00A1280F">
      <w:pPr>
        <w:numPr>
          <w:ilvl w:val="0"/>
          <w:numId w:val="12"/>
        </w:num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será de color Pantone Cool Gray 2 C mate;</w:t>
      </w:r>
      <w:r>
        <w:rPr>
          <w:sz w:val="24"/>
          <w:rFonts w:ascii="Times New Roman" w:hAnsi="Times New Roman"/>
        </w:rPr>
        <w:t xml:space="preserve"> </w:t>
      </w:r>
    </w:p>
    <w:p w14:paraId="3E29EEC0" w14:textId="77777777" w:rsidR="004009A5" w:rsidRPr="00E9280B" w:rsidRDefault="004009A5" w:rsidP="00A1280F">
      <w:pPr>
        <w:numPr>
          <w:ilvl w:val="0"/>
          <w:numId w:val="12"/>
        </w:num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tendrá un tamaño no superior a 10 puntos;</w:t>
      </w:r>
      <w:r>
        <w:rPr>
          <w:sz w:val="24"/>
          <w:rFonts w:ascii="Times New Roman" w:hAnsi="Times New Roman"/>
        </w:rPr>
        <w:t xml:space="preserve"> </w:t>
      </w:r>
    </w:p>
    <w:p w14:paraId="7E9D5B15" w14:textId="467EDC0D" w:rsidR="004009A5" w:rsidRDefault="004009A5" w:rsidP="00A1280F">
      <w:pPr>
        <w:numPr>
          <w:ilvl w:val="0"/>
          <w:numId w:val="12"/>
        </w:num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irá en la misma dirección que el texto de la advertencia sanitaria.</w:t>
      </w:r>
    </w:p>
    <w:p w14:paraId="0BCCBB1D" w14:textId="77777777" w:rsidR="00315A47" w:rsidRPr="00256C6D" w:rsidRDefault="00315A47" w:rsidP="00315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C28C4" w14:textId="4451D92B" w:rsidR="004009A5" w:rsidRDefault="004009A5" w:rsidP="0009506E">
      <w:pPr>
        <w:spacing w:after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Apartado 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El nombre de la marca no ocupará más de una línea.</w:t>
      </w:r>
    </w:p>
    <w:p w14:paraId="13051992" w14:textId="77777777" w:rsidR="00AB0A10" w:rsidRPr="00E9280B" w:rsidRDefault="00AB0A10" w:rsidP="000950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40EEC3" w14:textId="7BD8ADE0" w:rsidR="004009A5" w:rsidRDefault="004009A5" w:rsidP="004C30A4">
      <w:pPr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Apartado 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El nombre del producto no ocupará más de una línea y se imprimirá directamente debajo del nombre de la marca.</w:t>
      </w:r>
      <w:r>
        <w:rPr>
          <w:sz w:val="24"/>
          <w:rFonts w:ascii="Times New Roman" w:hAnsi="Times New Roman"/>
        </w:rPr>
        <w:t xml:space="preserve"> </w:t>
      </w:r>
    </w:p>
    <w:p w14:paraId="0C76A8F5" w14:textId="0FB72E99" w:rsidR="00567248" w:rsidRDefault="00D9738B" w:rsidP="00567248">
      <w:pPr>
        <w:spacing w:after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Artículo 10.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Las unidades de envasado y los embalajes exteriores deben estar marcados con la identificación del producto de acuerdo con el contenido del paquete y pueden estar etiquetados con la información sobre el tipo de producto que se utilizará con el producto.</w:t>
      </w:r>
    </w:p>
    <w:p w14:paraId="196EF505" w14:textId="77838AF4" w:rsidR="004009A5" w:rsidRPr="00E9280B" w:rsidRDefault="004009A5" w:rsidP="00567248">
      <w:pPr>
        <w:spacing w:after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50BA7903" w14:textId="1E8577DF" w:rsidR="004009A5" w:rsidRPr="00E9280B" w:rsidRDefault="004009A5" w:rsidP="00567248">
      <w:pPr>
        <w:spacing w:after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Apartado 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Los embalajes exteriores y las unidades de envasado de los cigarrillos electrónicos y los envases</w:t>
      </w:r>
      <w:r>
        <w:rPr>
          <w:sz w:val="24"/>
          <w:i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de recarga con y sin nicotina que contienen aromas característicos podrán etiquetarse una vez con el texto:</w:t>
      </w:r>
    </w:p>
    <w:p w14:paraId="1CC14AC6" w14:textId="7F7A385D" w:rsidR="004009A5" w:rsidRPr="00E9280B" w:rsidRDefault="001E0CEF" w:rsidP="00567248">
      <w:pPr>
        <w:pStyle w:val="ListParagraph"/>
        <w:numPr>
          <w:ilvl w:val="0"/>
          <w:numId w:val="3"/>
        </w:numPr>
        <w:spacing w:after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«Con sabor a tabaco»; o</w:t>
      </w:r>
    </w:p>
    <w:p w14:paraId="4244D5D7" w14:textId="16F65FF9" w:rsidR="004009A5" w:rsidRDefault="001E0CEF" w:rsidP="00567248">
      <w:pPr>
        <w:numPr>
          <w:ilvl w:val="0"/>
          <w:numId w:val="3"/>
        </w:numPr>
        <w:spacing w:after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«Con sabor a mentol».</w:t>
      </w:r>
    </w:p>
    <w:p w14:paraId="0BECB6C6" w14:textId="77777777" w:rsidR="00567248" w:rsidRPr="007F566B" w:rsidRDefault="00567248" w:rsidP="00567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CC6D2C" w14:textId="77777777" w:rsidR="004009A5" w:rsidRPr="00E9280B" w:rsidRDefault="004009A5" w:rsidP="009B2A08">
      <w:pPr>
        <w:spacing w:after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Apartado 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El texto imprimido según los apartados 1 y 2:</w:t>
      </w:r>
    </w:p>
    <w:p w14:paraId="6E85298B" w14:textId="203C5281" w:rsidR="004009A5" w:rsidRPr="00E9280B" w:rsidRDefault="004009A5" w:rsidP="009F36F8">
      <w:pPr>
        <w:numPr>
          <w:ilvl w:val="0"/>
          <w:numId w:val="13"/>
        </w:numPr>
        <w:spacing w:after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estará en letras minúsculas (a-å), excepto la primera letra, que estará en mayúsculas;</w:t>
      </w:r>
      <w:r>
        <w:rPr>
          <w:sz w:val="24"/>
          <w:rFonts w:ascii="Times New Roman" w:hAnsi="Times New Roman"/>
        </w:rPr>
        <w:t xml:space="preserve"> </w:t>
      </w:r>
    </w:p>
    <w:p w14:paraId="05979D4E" w14:textId="77777777" w:rsidR="004009A5" w:rsidRPr="003973E4" w:rsidRDefault="004009A5" w:rsidP="009F36F8">
      <w:pPr>
        <w:numPr>
          <w:ilvl w:val="0"/>
          <w:numId w:val="13"/>
        </w:numPr>
        <w:spacing w:after="0"/>
      </w:pPr>
      <w:r>
        <w:rPr>
          <w:sz w:val="24"/>
          <w:rFonts w:ascii="Times New Roman" w:hAnsi="Times New Roman"/>
        </w:rPr>
        <w:t xml:space="preserve">contendrá los números 0-9;</w:t>
      </w:r>
    </w:p>
    <w:p w14:paraId="247A6AB7" w14:textId="25BDD843" w:rsidR="004009A5" w:rsidRPr="00E9280B" w:rsidRDefault="004009A5" w:rsidP="009F36F8">
      <w:pPr>
        <w:numPr>
          <w:ilvl w:val="0"/>
          <w:numId w:val="13"/>
        </w:numPr>
        <w:spacing w:after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se imprimirá en Helvética;</w:t>
      </w:r>
    </w:p>
    <w:p w14:paraId="075CBCDC" w14:textId="48E40D7D" w:rsidR="004009A5" w:rsidRPr="00E9280B" w:rsidRDefault="004009A5" w:rsidP="009F36F8">
      <w:pPr>
        <w:numPr>
          <w:ilvl w:val="0"/>
          <w:numId w:val="13"/>
        </w:numPr>
        <w:spacing w:after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será de color Pantone Cool Gray 2 C mate;</w:t>
      </w:r>
    </w:p>
    <w:p w14:paraId="0BC5F740" w14:textId="77777777" w:rsidR="004009A5" w:rsidRPr="00E9280B" w:rsidRDefault="004009A5" w:rsidP="009F36F8">
      <w:pPr>
        <w:numPr>
          <w:ilvl w:val="0"/>
          <w:numId w:val="13"/>
        </w:numPr>
        <w:spacing w:after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tendrá un tamaño no superior a 10 puntos;</w:t>
      </w:r>
    </w:p>
    <w:p w14:paraId="7277462D" w14:textId="27E92F0E" w:rsidR="004009A5" w:rsidRDefault="004009A5" w:rsidP="009F36F8">
      <w:pPr>
        <w:numPr>
          <w:ilvl w:val="0"/>
          <w:numId w:val="13"/>
        </w:numPr>
        <w:spacing w:after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irá en la misma dirección que el texto de la advertencia sanitaria.</w:t>
      </w:r>
      <w:r>
        <w:rPr>
          <w:sz w:val="24"/>
          <w:rFonts w:ascii="Times New Roman" w:hAnsi="Times New Roman"/>
        </w:rPr>
        <w:t xml:space="preserve"> </w:t>
      </w:r>
    </w:p>
    <w:p w14:paraId="37BEE6C1" w14:textId="77777777" w:rsidR="00DB509A" w:rsidRPr="00DB509A" w:rsidRDefault="00DB509A" w:rsidP="00DB50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CC202F" w14:textId="49AF25B2" w:rsidR="004009A5" w:rsidRPr="00E9280B" w:rsidRDefault="00D9738B" w:rsidP="00F05E37">
      <w:pPr>
        <w:spacing w:after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Artículo 11.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Las unidades de envasado y los embalajes exteriores que contienen cigarrillos electrónicos y envases de recarga</w:t>
      </w:r>
      <w:r>
        <w:rPr>
          <w:sz w:val="24"/>
          <w:i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con y sin nicotina deberán estar marcados con un código de barras siempre y cuando</w:t>
      </w:r>
    </w:p>
    <w:p w14:paraId="05FBA463" w14:textId="77777777" w:rsidR="004009A5" w:rsidRPr="00E9280B" w:rsidRDefault="004009A5" w:rsidP="004C055E">
      <w:pPr>
        <w:numPr>
          <w:ilvl w:val="0"/>
          <w:numId w:val="14"/>
        </w:numPr>
        <w:spacing w:after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se utilice para fines de pago, distribución y control de las existencias;</w:t>
      </w:r>
    </w:p>
    <w:p w14:paraId="21DE205D" w14:textId="1675FB21" w:rsidR="004009A5" w:rsidRPr="00E9280B" w:rsidRDefault="004009A5" w:rsidP="004C055E">
      <w:pPr>
        <w:numPr>
          <w:ilvl w:val="0"/>
          <w:numId w:val="14"/>
        </w:numPr>
        <w:spacing w:after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sea de color negro sobre un fondo blanco o Pantone 451 C, sin revestimiento, sobre un fondo blanco;</w:t>
      </w:r>
      <w:r>
        <w:rPr>
          <w:sz w:val="24"/>
          <w:rFonts w:ascii="Times New Roman" w:hAnsi="Times New Roman"/>
        </w:rPr>
        <w:t xml:space="preserve"> </w:t>
      </w:r>
    </w:p>
    <w:p w14:paraId="618C64AD" w14:textId="77777777" w:rsidR="004009A5" w:rsidRPr="00E9280B" w:rsidRDefault="004009A5" w:rsidP="004C055E">
      <w:pPr>
        <w:numPr>
          <w:ilvl w:val="0"/>
          <w:numId w:val="14"/>
        </w:numPr>
        <w:spacing w:after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no forme un patrón, imagen o símbolo que pueda parecer cualquier otra cosa que no sea un código de barras; y</w:t>
      </w:r>
    </w:p>
    <w:p w14:paraId="17474EB8" w14:textId="77B770E6" w:rsidR="004009A5" w:rsidRDefault="004009A5" w:rsidP="004C055E">
      <w:pPr>
        <w:numPr>
          <w:ilvl w:val="0"/>
          <w:numId w:val="14"/>
        </w:numPr>
        <w:spacing w:after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no aparezca en la parte inferior o lateral del paquete si este tiene forma de paralelepípedo.</w:t>
      </w:r>
    </w:p>
    <w:p w14:paraId="53732821" w14:textId="77777777" w:rsidR="00AA4176" w:rsidRPr="00AA4176" w:rsidRDefault="00AA4176" w:rsidP="00AA4176">
      <w:pPr>
        <w:rPr>
          <w:rFonts w:ascii="Times New Roman" w:hAnsi="Times New Roman" w:cs="Times New Roman"/>
          <w:sz w:val="24"/>
          <w:szCs w:val="24"/>
        </w:rPr>
      </w:pPr>
    </w:p>
    <w:p w14:paraId="25A39E58" w14:textId="5A9AB3C1" w:rsidR="004009A5" w:rsidRPr="00A23DED" w:rsidRDefault="004009A5" w:rsidP="004009A5">
      <w:pPr>
        <w:pStyle w:val="HTMLPreformatted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Artículo 12.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Las unidades de envasado y los embalajes exteriores para cigarrillos electrónicos y envases de recarga</w:t>
      </w:r>
      <w:r>
        <w:rPr>
          <w:sz w:val="24"/>
          <w:i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con y sin nicotina podrán colocarse en el etiquetado de la producción, incluido el número de lote, siempre que el etiquetado:</w:t>
      </w:r>
    </w:p>
    <w:p w14:paraId="10FE63F9" w14:textId="6F09D774" w:rsidR="004009A5" w:rsidRPr="00A23DED" w:rsidRDefault="004009A5" w:rsidP="00A26A6E">
      <w:pPr>
        <w:pStyle w:val="HTMLPreformatted"/>
        <w:numPr>
          <w:ilvl w:val="0"/>
          <w:numId w:val="15"/>
        </w:num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se utilice para cumplir con otras normas aplicables, incluidas las normas sobre seguimiento y tasas;</w:t>
      </w:r>
    </w:p>
    <w:p w14:paraId="0A4DFE4F" w14:textId="2AABE75B" w:rsidR="004009A5" w:rsidRPr="00A23DED" w:rsidRDefault="004009A5" w:rsidP="00A26A6E">
      <w:pPr>
        <w:pStyle w:val="HTMLPreformatted"/>
        <w:numPr>
          <w:ilvl w:val="0"/>
          <w:numId w:val="15"/>
        </w:num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sea negro sobre fondo blanco o </w:t>
      </w:r>
      <w:r>
        <w:rPr>
          <w:sz w:val="24"/>
          <w:rStyle w:val="A1"/>
          <w:rFonts w:ascii="Times New Roman" w:hAnsi="Times New Roman"/>
        </w:rPr>
        <w:t xml:space="preserve">Pantone Cool Gray 2 C</w:t>
      </w:r>
      <w:r>
        <w:rPr>
          <w:sz w:val="24"/>
          <w:rFonts w:ascii="Times New Roman" w:hAnsi="Times New Roman"/>
        </w:rPr>
        <w:t xml:space="preserve"> mate sobre fondo blanco;</w:t>
      </w:r>
      <w:r>
        <w:rPr>
          <w:sz w:val="24"/>
          <w:rFonts w:ascii="Times New Roman" w:hAnsi="Times New Roman"/>
        </w:rPr>
        <w:t xml:space="preserve"> </w:t>
      </w:r>
    </w:p>
    <w:p w14:paraId="6D21CEAD" w14:textId="77777777" w:rsidR="004009A5" w:rsidRPr="00A23DED" w:rsidRDefault="004009A5" w:rsidP="00A26A6E">
      <w:pPr>
        <w:pStyle w:val="HTMLPreformatted"/>
        <w:numPr>
          <w:ilvl w:val="0"/>
          <w:numId w:val="15"/>
        </w:num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no constituya una imagen, un patrón o un símbolo que imite cualquier otra cosa que no sea el etiquetado de la producción;</w:t>
      </w:r>
    </w:p>
    <w:p w14:paraId="4502A29B" w14:textId="0F209152" w:rsidR="004009A5" w:rsidRPr="00A23DED" w:rsidRDefault="004009A5" w:rsidP="00A26A6E">
      <w:pPr>
        <w:pStyle w:val="HTMLPreformatted"/>
        <w:numPr>
          <w:ilvl w:val="0"/>
          <w:numId w:val="15"/>
        </w:num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se encuentre en la parte inferior o lateral del envase, y</w:t>
      </w:r>
    </w:p>
    <w:p w14:paraId="1124F38C" w14:textId="6F73A850" w:rsidR="004009A5" w:rsidRPr="00A23DED" w:rsidRDefault="004009A5" w:rsidP="00A26A6E">
      <w:pPr>
        <w:pStyle w:val="HTMLPreformatted"/>
        <w:numPr>
          <w:ilvl w:val="0"/>
          <w:numId w:val="15"/>
        </w:num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no se considere contrario al requisito de un diseño normalizado para todos los productos que contengan cigarrillos electrónicos y envases de recargas</w:t>
      </w:r>
      <w:r>
        <w:rPr>
          <w:sz w:val="24"/>
          <w:i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con y sin nicotina.</w:t>
      </w:r>
    </w:p>
    <w:p w14:paraId="7FCD5ED5" w14:textId="62086A02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04BC20F2" w14:textId="77777777" w:rsidR="004009A5" w:rsidRPr="00E9280B" w:rsidRDefault="004009A5" w:rsidP="004009A5">
      <w:pPr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Capítulo 6</w:t>
      </w:r>
    </w:p>
    <w:p w14:paraId="4048984A" w14:textId="77777777" w:rsidR="004009A5" w:rsidRPr="00E9280B" w:rsidRDefault="004009A5" w:rsidP="004009A5">
      <w:pPr>
        <w:jc w:val="center"/>
        <w:rPr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Disposiciones sancionadoras</w:t>
      </w:r>
    </w:p>
    <w:p w14:paraId="79813513" w14:textId="7E9604CC" w:rsidR="004009A5" w:rsidRPr="00E9280B" w:rsidRDefault="00D9738B" w:rsidP="004009A5">
      <w:pPr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Artículo 13.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 menos que otras disposiciones legislativas prescriban penas más severas, se sancionará con una multa a toda persona que infrinja lo dispuesto en los artículos 2 a 12.</w:t>
      </w:r>
    </w:p>
    <w:p w14:paraId="6CDE12FC" w14:textId="77777777" w:rsidR="004009A5" w:rsidRPr="00E9280B" w:rsidRDefault="004009A5" w:rsidP="004009A5">
      <w:pPr>
        <w:rPr>
          <w:b/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Apartado 2</w:t>
      </w:r>
      <w:r>
        <w:rPr>
          <w:sz w:val="24"/>
          <w:rFonts w:ascii="Times New Roman" w:hAnsi="Times New Roman"/>
        </w:rPr>
        <w:t xml:space="preserve">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(personas jurídicas) podrán estar sujetas a responsabilidad penal de conformidad con la disposición del capítulo 5 del Código Penal.</w:t>
      </w:r>
    </w:p>
    <w:p w14:paraId="1E8B3BC5" w14:textId="77777777" w:rsidR="004009A5" w:rsidRPr="00E9280B" w:rsidRDefault="004009A5" w:rsidP="004009A5">
      <w:pPr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Capítulo 7</w:t>
      </w:r>
    </w:p>
    <w:p w14:paraId="5E80AF89" w14:textId="77777777" w:rsidR="004009A5" w:rsidRPr="00E9280B" w:rsidRDefault="004009A5" w:rsidP="004009A5">
      <w:pPr>
        <w:jc w:val="center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Entrada en vigor</w:t>
      </w:r>
    </w:p>
    <w:p w14:paraId="09DAF2BD" w14:textId="5ABE627E" w:rsidR="004009A5" w:rsidRPr="00E9280B" w:rsidRDefault="00D9738B" w:rsidP="004009A5">
      <w:pPr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Artículo 14.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La presente Orden entrará en vigor el 1 de octubre de 2021.</w:t>
      </w:r>
    </w:p>
    <w:p w14:paraId="2F9EF994" w14:textId="77777777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00D97019" w14:textId="0EB2B7E6" w:rsidR="004009A5" w:rsidRPr="0036645A" w:rsidRDefault="00197299" w:rsidP="004009A5">
      <w:pPr>
        <w:jc w:val="center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El Ministerio de Sanidad de Dinamarca, a 19 de abril de 2021</w:t>
      </w:r>
    </w:p>
    <w:p w14:paraId="30AE0D94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4BBDD6" w14:textId="77777777" w:rsidR="004009A5" w:rsidRPr="00E9280B" w:rsidRDefault="004009A5" w:rsidP="004009A5">
      <w:pPr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Magnus Heunicke</w:t>
      </w:r>
    </w:p>
    <w:p w14:paraId="3C82C631" w14:textId="4C28A06B" w:rsidR="00D47ADF" w:rsidRPr="00385EB9" w:rsidRDefault="00197299" w:rsidP="00A60050">
      <w:pPr>
        <w:ind w:left="6520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/ Zelle Huma Sheikh</w:t>
      </w:r>
    </w:p>
    <w:sectPr w:rsidR="00D47ADF" w:rsidRPr="00385E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82DD9" w14:textId="77777777" w:rsidR="00706FF6" w:rsidRDefault="00706FF6" w:rsidP="00E65BF1">
      <w:pPr>
        <w:spacing w:after="0" w:line="240" w:lineRule="auto"/>
      </w:pPr>
      <w:r>
        <w:separator/>
      </w:r>
    </w:p>
  </w:endnote>
  <w:endnote w:type="continuationSeparator" w:id="0">
    <w:p w14:paraId="02D5587B" w14:textId="77777777" w:rsidR="00706FF6" w:rsidRDefault="00706FF6" w:rsidP="00E65BF1">
      <w:pPr>
        <w:spacing w:after="0" w:line="240" w:lineRule="auto"/>
      </w:pPr>
      <w:r>
        <w:continuationSeparator/>
      </w:r>
    </w:p>
  </w:endnote>
  <w:endnote w:type="continuationNotice" w:id="1">
    <w:p w14:paraId="78DC6197" w14:textId="77777777" w:rsidR="00706FF6" w:rsidRDefault="00706F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DA33F" w14:textId="77777777" w:rsidR="00E65BF1" w:rsidRDefault="00E65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B689" w14:textId="77777777" w:rsidR="00E65BF1" w:rsidRDefault="00E65B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DDC8" w14:textId="77777777" w:rsidR="00E65BF1" w:rsidRDefault="00E65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15173" w14:textId="77777777" w:rsidR="00706FF6" w:rsidRDefault="00706FF6" w:rsidP="00E65BF1">
      <w:pPr>
        <w:spacing w:after="0" w:line="240" w:lineRule="auto"/>
      </w:pPr>
      <w:r>
        <w:separator/>
      </w:r>
    </w:p>
  </w:footnote>
  <w:footnote w:type="continuationSeparator" w:id="0">
    <w:p w14:paraId="5AE8F61C" w14:textId="77777777" w:rsidR="00706FF6" w:rsidRDefault="00706FF6" w:rsidP="00E65BF1">
      <w:pPr>
        <w:spacing w:after="0" w:line="240" w:lineRule="auto"/>
      </w:pPr>
      <w:r>
        <w:continuationSeparator/>
      </w:r>
    </w:p>
  </w:footnote>
  <w:footnote w:type="continuationNotice" w:id="1">
    <w:p w14:paraId="648D18B8" w14:textId="77777777" w:rsidR="00706FF6" w:rsidRDefault="00706F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ED9A" w14:textId="490F6B65" w:rsidR="00E65BF1" w:rsidRDefault="00E65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F760" w14:textId="6F97EB56" w:rsidR="00E65BF1" w:rsidRDefault="00E65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D2C1" w14:textId="2C580DA0" w:rsidR="00E65BF1" w:rsidRDefault="00E65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8D2"/>
    <w:multiLevelType w:val="hybridMultilevel"/>
    <w:tmpl w:val="AABEE06E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D3612"/>
    <w:multiLevelType w:val="hybridMultilevel"/>
    <w:tmpl w:val="72581B0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9162C"/>
    <w:multiLevelType w:val="hybridMultilevel"/>
    <w:tmpl w:val="99D2B0FC"/>
    <w:lvl w:ilvl="0" w:tplc="48C28F70">
      <w:start w:val="1"/>
      <w:numFmt w:val="decimal"/>
      <w:pStyle w:val="CommentTex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A1742"/>
    <w:multiLevelType w:val="hybridMultilevel"/>
    <w:tmpl w:val="E77AE982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B7518E"/>
    <w:multiLevelType w:val="hybridMultilevel"/>
    <w:tmpl w:val="15D6F37E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825115"/>
    <w:multiLevelType w:val="hybridMultilevel"/>
    <w:tmpl w:val="93E2E252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40767C"/>
    <w:multiLevelType w:val="hybridMultilevel"/>
    <w:tmpl w:val="220C813E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627F8A"/>
    <w:multiLevelType w:val="hybridMultilevel"/>
    <w:tmpl w:val="589CCB2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F25C52"/>
    <w:multiLevelType w:val="hybridMultilevel"/>
    <w:tmpl w:val="DB9CA4E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986B3C"/>
    <w:multiLevelType w:val="hybridMultilevel"/>
    <w:tmpl w:val="7B52777E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0C7220"/>
    <w:multiLevelType w:val="hybridMultilevel"/>
    <w:tmpl w:val="466AC2C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D74E6FFA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56A82"/>
    <w:multiLevelType w:val="hybridMultilevel"/>
    <w:tmpl w:val="B628CF4E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  <w:num w:numId="12">
    <w:abstractNumId w:val="11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9A5"/>
    <w:rsid w:val="00025E2F"/>
    <w:rsid w:val="00027E12"/>
    <w:rsid w:val="00036E6B"/>
    <w:rsid w:val="00045A8E"/>
    <w:rsid w:val="00045C04"/>
    <w:rsid w:val="0004610C"/>
    <w:rsid w:val="0009506E"/>
    <w:rsid w:val="000A183B"/>
    <w:rsid w:val="000B4299"/>
    <w:rsid w:val="000D27A2"/>
    <w:rsid w:val="000E5998"/>
    <w:rsid w:val="00113856"/>
    <w:rsid w:val="00115117"/>
    <w:rsid w:val="00130E67"/>
    <w:rsid w:val="00132986"/>
    <w:rsid w:val="00133423"/>
    <w:rsid w:val="00135E31"/>
    <w:rsid w:val="001472C3"/>
    <w:rsid w:val="00150DE8"/>
    <w:rsid w:val="001541FE"/>
    <w:rsid w:val="00180F6A"/>
    <w:rsid w:val="00196AD7"/>
    <w:rsid w:val="00197299"/>
    <w:rsid w:val="001B2C2A"/>
    <w:rsid w:val="001B2FC7"/>
    <w:rsid w:val="001E0CEF"/>
    <w:rsid w:val="001F0FFE"/>
    <w:rsid w:val="001F6C1B"/>
    <w:rsid w:val="00201DAA"/>
    <w:rsid w:val="00204CF3"/>
    <w:rsid w:val="00206773"/>
    <w:rsid w:val="00237412"/>
    <w:rsid w:val="00243E18"/>
    <w:rsid w:val="002519E4"/>
    <w:rsid w:val="00256C6D"/>
    <w:rsid w:val="00271396"/>
    <w:rsid w:val="00281A50"/>
    <w:rsid w:val="0029228B"/>
    <w:rsid w:val="002975EF"/>
    <w:rsid w:val="002C54DB"/>
    <w:rsid w:val="002D5BB3"/>
    <w:rsid w:val="002E080A"/>
    <w:rsid w:val="002E5791"/>
    <w:rsid w:val="002F55FE"/>
    <w:rsid w:val="00302CB7"/>
    <w:rsid w:val="00315A47"/>
    <w:rsid w:val="00320622"/>
    <w:rsid w:val="00335A62"/>
    <w:rsid w:val="00343E56"/>
    <w:rsid w:val="00357241"/>
    <w:rsid w:val="00365635"/>
    <w:rsid w:val="0036645A"/>
    <w:rsid w:val="00384E7F"/>
    <w:rsid w:val="00385EB9"/>
    <w:rsid w:val="003869B8"/>
    <w:rsid w:val="00387BE1"/>
    <w:rsid w:val="003906B3"/>
    <w:rsid w:val="003F2B3C"/>
    <w:rsid w:val="003F68C2"/>
    <w:rsid w:val="004009A5"/>
    <w:rsid w:val="00405488"/>
    <w:rsid w:val="00411B45"/>
    <w:rsid w:val="00421065"/>
    <w:rsid w:val="004365C4"/>
    <w:rsid w:val="004456EC"/>
    <w:rsid w:val="0045177E"/>
    <w:rsid w:val="00456C2A"/>
    <w:rsid w:val="004600B9"/>
    <w:rsid w:val="00464DB7"/>
    <w:rsid w:val="00480CCA"/>
    <w:rsid w:val="0049533D"/>
    <w:rsid w:val="004A4049"/>
    <w:rsid w:val="004A46A3"/>
    <w:rsid w:val="004B15E5"/>
    <w:rsid w:val="004B4BEC"/>
    <w:rsid w:val="004C055E"/>
    <w:rsid w:val="004C2DBE"/>
    <w:rsid w:val="004C30A4"/>
    <w:rsid w:val="004C3B01"/>
    <w:rsid w:val="004D2174"/>
    <w:rsid w:val="004D2AF0"/>
    <w:rsid w:val="004E20BE"/>
    <w:rsid w:val="004F426E"/>
    <w:rsid w:val="00500DF2"/>
    <w:rsid w:val="00531D5A"/>
    <w:rsid w:val="00567248"/>
    <w:rsid w:val="005745F3"/>
    <w:rsid w:val="00577877"/>
    <w:rsid w:val="005901DC"/>
    <w:rsid w:val="00592978"/>
    <w:rsid w:val="005B0794"/>
    <w:rsid w:val="005B10A5"/>
    <w:rsid w:val="005B4E9D"/>
    <w:rsid w:val="005C57CD"/>
    <w:rsid w:val="005C5923"/>
    <w:rsid w:val="005D7967"/>
    <w:rsid w:val="005E422C"/>
    <w:rsid w:val="005E66BC"/>
    <w:rsid w:val="005F198D"/>
    <w:rsid w:val="0061228C"/>
    <w:rsid w:val="00620CDA"/>
    <w:rsid w:val="006228BE"/>
    <w:rsid w:val="0065676E"/>
    <w:rsid w:val="006606A3"/>
    <w:rsid w:val="00674486"/>
    <w:rsid w:val="0068143B"/>
    <w:rsid w:val="00696951"/>
    <w:rsid w:val="006A14E3"/>
    <w:rsid w:val="006D6C29"/>
    <w:rsid w:val="006E49E1"/>
    <w:rsid w:val="006F3DF1"/>
    <w:rsid w:val="00703BA0"/>
    <w:rsid w:val="00706FF6"/>
    <w:rsid w:val="00711F3F"/>
    <w:rsid w:val="00714F7E"/>
    <w:rsid w:val="00717296"/>
    <w:rsid w:val="00720BBE"/>
    <w:rsid w:val="00733388"/>
    <w:rsid w:val="00733B6A"/>
    <w:rsid w:val="00734B6F"/>
    <w:rsid w:val="00743EB9"/>
    <w:rsid w:val="00746D7E"/>
    <w:rsid w:val="0075451C"/>
    <w:rsid w:val="0075722B"/>
    <w:rsid w:val="00757DB7"/>
    <w:rsid w:val="00761992"/>
    <w:rsid w:val="00763137"/>
    <w:rsid w:val="00772F85"/>
    <w:rsid w:val="00777BC9"/>
    <w:rsid w:val="007952D2"/>
    <w:rsid w:val="007978D7"/>
    <w:rsid w:val="007A62F5"/>
    <w:rsid w:val="007A74DC"/>
    <w:rsid w:val="007B145B"/>
    <w:rsid w:val="007B1B7A"/>
    <w:rsid w:val="007B3CE9"/>
    <w:rsid w:val="007B7913"/>
    <w:rsid w:val="007C0D66"/>
    <w:rsid w:val="007D0B24"/>
    <w:rsid w:val="007F566B"/>
    <w:rsid w:val="00811756"/>
    <w:rsid w:val="008204A5"/>
    <w:rsid w:val="00834B55"/>
    <w:rsid w:val="008367FC"/>
    <w:rsid w:val="0084548E"/>
    <w:rsid w:val="00845F35"/>
    <w:rsid w:val="00861A09"/>
    <w:rsid w:val="00866F05"/>
    <w:rsid w:val="008712FE"/>
    <w:rsid w:val="00871453"/>
    <w:rsid w:val="008717E6"/>
    <w:rsid w:val="00892864"/>
    <w:rsid w:val="008A4B41"/>
    <w:rsid w:val="008B1D47"/>
    <w:rsid w:val="008B5C98"/>
    <w:rsid w:val="008C1EC9"/>
    <w:rsid w:val="008C7679"/>
    <w:rsid w:val="008D05FB"/>
    <w:rsid w:val="008D5280"/>
    <w:rsid w:val="008D5EF8"/>
    <w:rsid w:val="008D618A"/>
    <w:rsid w:val="008E5DB4"/>
    <w:rsid w:val="00917AD0"/>
    <w:rsid w:val="0092374E"/>
    <w:rsid w:val="00970A60"/>
    <w:rsid w:val="00971ABD"/>
    <w:rsid w:val="0098752E"/>
    <w:rsid w:val="00987858"/>
    <w:rsid w:val="009B03CA"/>
    <w:rsid w:val="009B2A08"/>
    <w:rsid w:val="009E07F7"/>
    <w:rsid w:val="009F36F8"/>
    <w:rsid w:val="00A01229"/>
    <w:rsid w:val="00A03D5B"/>
    <w:rsid w:val="00A076C2"/>
    <w:rsid w:val="00A1280F"/>
    <w:rsid w:val="00A21DE0"/>
    <w:rsid w:val="00A24471"/>
    <w:rsid w:val="00A25E8A"/>
    <w:rsid w:val="00A26A6E"/>
    <w:rsid w:val="00A332B7"/>
    <w:rsid w:val="00A40B15"/>
    <w:rsid w:val="00A46F51"/>
    <w:rsid w:val="00A56D01"/>
    <w:rsid w:val="00A60050"/>
    <w:rsid w:val="00A615D4"/>
    <w:rsid w:val="00A65562"/>
    <w:rsid w:val="00A6687B"/>
    <w:rsid w:val="00A72E79"/>
    <w:rsid w:val="00AA1224"/>
    <w:rsid w:val="00AA360F"/>
    <w:rsid w:val="00AA4176"/>
    <w:rsid w:val="00AA5315"/>
    <w:rsid w:val="00AB0A10"/>
    <w:rsid w:val="00AB1A8E"/>
    <w:rsid w:val="00AB2D87"/>
    <w:rsid w:val="00AB3792"/>
    <w:rsid w:val="00AC25F9"/>
    <w:rsid w:val="00AE0DA0"/>
    <w:rsid w:val="00AE640E"/>
    <w:rsid w:val="00AF13C1"/>
    <w:rsid w:val="00B32884"/>
    <w:rsid w:val="00B36907"/>
    <w:rsid w:val="00B56A39"/>
    <w:rsid w:val="00B7258B"/>
    <w:rsid w:val="00B72ED1"/>
    <w:rsid w:val="00B76817"/>
    <w:rsid w:val="00B77AC1"/>
    <w:rsid w:val="00BC5A51"/>
    <w:rsid w:val="00BE210C"/>
    <w:rsid w:val="00BE72D0"/>
    <w:rsid w:val="00BF30BE"/>
    <w:rsid w:val="00C04D22"/>
    <w:rsid w:val="00C20340"/>
    <w:rsid w:val="00C236D1"/>
    <w:rsid w:val="00C2471F"/>
    <w:rsid w:val="00C4716A"/>
    <w:rsid w:val="00C47D05"/>
    <w:rsid w:val="00C51654"/>
    <w:rsid w:val="00C5459C"/>
    <w:rsid w:val="00C60738"/>
    <w:rsid w:val="00C67E54"/>
    <w:rsid w:val="00C82CAA"/>
    <w:rsid w:val="00C84352"/>
    <w:rsid w:val="00C90960"/>
    <w:rsid w:val="00CB0586"/>
    <w:rsid w:val="00CB2283"/>
    <w:rsid w:val="00D04440"/>
    <w:rsid w:val="00D06DBF"/>
    <w:rsid w:val="00D1347B"/>
    <w:rsid w:val="00D14ABA"/>
    <w:rsid w:val="00D15F19"/>
    <w:rsid w:val="00D205CB"/>
    <w:rsid w:val="00D2737D"/>
    <w:rsid w:val="00D61F80"/>
    <w:rsid w:val="00D702C0"/>
    <w:rsid w:val="00D70E5C"/>
    <w:rsid w:val="00D7429F"/>
    <w:rsid w:val="00D82618"/>
    <w:rsid w:val="00D9738B"/>
    <w:rsid w:val="00DB509A"/>
    <w:rsid w:val="00DB6059"/>
    <w:rsid w:val="00DC28DA"/>
    <w:rsid w:val="00DC2F07"/>
    <w:rsid w:val="00DD256C"/>
    <w:rsid w:val="00DD45D5"/>
    <w:rsid w:val="00DF40BA"/>
    <w:rsid w:val="00E02457"/>
    <w:rsid w:val="00E10F44"/>
    <w:rsid w:val="00E1225E"/>
    <w:rsid w:val="00E20E11"/>
    <w:rsid w:val="00E23F11"/>
    <w:rsid w:val="00E4453D"/>
    <w:rsid w:val="00E50180"/>
    <w:rsid w:val="00E55B32"/>
    <w:rsid w:val="00E605F6"/>
    <w:rsid w:val="00E65BF1"/>
    <w:rsid w:val="00E83B06"/>
    <w:rsid w:val="00E875E5"/>
    <w:rsid w:val="00E878D2"/>
    <w:rsid w:val="00E94A7F"/>
    <w:rsid w:val="00EA2A64"/>
    <w:rsid w:val="00EA6904"/>
    <w:rsid w:val="00EA73E1"/>
    <w:rsid w:val="00ED0AAB"/>
    <w:rsid w:val="00EF07DE"/>
    <w:rsid w:val="00EF1F14"/>
    <w:rsid w:val="00EF3D2E"/>
    <w:rsid w:val="00EF3DAF"/>
    <w:rsid w:val="00EF550F"/>
    <w:rsid w:val="00F000D1"/>
    <w:rsid w:val="00F00EBE"/>
    <w:rsid w:val="00F05E37"/>
    <w:rsid w:val="00F34510"/>
    <w:rsid w:val="00F46AF2"/>
    <w:rsid w:val="00F471C1"/>
    <w:rsid w:val="00F53D0B"/>
    <w:rsid w:val="00F64165"/>
    <w:rsid w:val="00F92484"/>
    <w:rsid w:val="00F9667D"/>
    <w:rsid w:val="00FA1E98"/>
    <w:rsid w:val="00FB023F"/>
    <w:rsid w:val="00FD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A91705"/>
  <w15:chartTrackingRefBased/>
  <w15:docId w15:val="{3827919B-453F-41CF-9C0E-CC537247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009A5"/>
    <w:pPr>
      <w:numPr>
        <w:numId w:val="8"/>
      </w:num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9A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09A5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009A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009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09A5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A1">
    <w:name w:val="A1"/>
    <w:uiPriority w:val="99"/>
    <w:rsid w:val="004009A5"/>
    <w:rPr>
      <w:rFonts w:cs="Gotham Medium"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A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53D"/>
    <w:pPr>
      <w:numPr>
        <w:numId w:val="0"/>
      </w:numPr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53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5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BF1"/>
  </w:style>
  <w:style w:type="paragraph" w:styleId="Footer">
    <w:name w:val="footer"/>
    <w:basedOn w:val="Normal"/>
    <w:link w:val="FooterChar"/>
    <w:uiPriority w:val="99"/>
    <w:unhideWhenUsed/>
    <w:rsid w:val="00E65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E8E88-3E04-4818-9F50-2A1D988E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Ersbøll Ross</dc:creator>
  <cp:keywords/>
  <dc:description/>
  <cp:lastModifiedBy>Dimitris Dimitriadis</cp:lastModifiedBy>
  <cp:revision>315</cp:revision>
  <dcterms:created xsi:type="dcterms:W3CDTF">2021-01-29T10:18:00Z</dcterms:created>
  <dcterms:modified xsi:type="dcterms:W3CDTF">2021-11-25T13:20:00Z</dcterms:modified>
</cp:coreProperties>
</file>