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F6334" w14:textId="21AABA4D" w:rsidR="0000570D" w:rsidRPr="0000570D" w:rsidRDefault="0000570D" w:rsidP="0000570D">
      <w:pPr>
        <w:jc w:val="center"/>
        <w:rPr>
          <w:sz w:val="26"/>
          <w:szCs w:val="26"/>
        </w:rPr>
      </w:pPr>
      <w:bookmarkStart w:id="0" w:name="_GoBack"/>
      <w:bookmarkEnd w:id="0"/>
      <w:r w:rsidRPr="0000570D">
        <w:rPr>
          <w:sz w:val="26"/>
          <w:szCs w:val="26"/>
        </w:rPr>
        <w:t>UDKAST</w:t>
      </w:r>
    </w:p>
    <w:p w14:paraId="610F6909" w14:textId="10E7B6E2" w:rsidR="0012504C" w:rsidRPr="0000570D" w:rsidRDefault="0012504C" w:rsidP="0000570D">
      <w:pPr>
        <w:jc w:val="center"/>
        <w:rPr>
          <w:sz w:val="26"/>
          <w:szCs w:val="26"/>
        </w:rPr>
      </w:pPr>
      <w:r w:rsidRPr="0000570D">
        <w:rPr>
          <w:sz w:val="26"/>
          <w:szCs w:val="26"/>
        </w:rPr>
        <w:t xml:space="preserve">Bekendtgørelse om mærkning og emballage på tobakssurrogater </w:t>
      </w:r>
    </w:p>
    <w:p w14:paraId="78361E1F" w14:textId="71999685" w:rsidR="00331A1D" w:rsidRPr="0000570D" w:rsidRDefault="0000570D" w:rsidP="0000570D">
      <w:pPr>
        <w:spacing w:line="240" w:lineRule="auto"/>
      </w:pPr>
      <w:r w:rsidRPr="0000570D">
        <w:t xml:space="preserve">I medfør af § </w:t>
      </w:r>
      <w:r w:rsidR="007A5B3A">
        <w:t xml:space="preserve">19 a, </w:t>
      </w:r>
      <w:r w:rsidR="00FD2E43">
        <w:t xml:space="preserve">stk. 2, </w:t>
      </w:r>
      <w:r w:rsidR="007A5B3A">
        <w:t>§</w:t>
      </w:r>
      <w:r w:rsidRPr="0000570D">
        <w:t>22 c</w:t>
      </w:r>
      <w:r w:rsidR="00331A1D" w:rsidRPr="0000570D">
        <w:t xml:space="preserve"> i </w:t>
      </w:r>
      <w:proofErr w:type="spellStart"/>
      <w:r w:rsidR="00331A1D" w:rsidRPr="0000570D">
        <w:t>Iov</w:t>
      </w:r>
      <w:proofErr w:type="spellEnd"/>
      <w:r w:rsidR="00331A1D" w:rsidRPr="0000570D">
        <w:t xml:space="preserve"> om </w:t>
      </w:r>
      <w:r w:rsidRPr="0000570D">
        <w:t xml:space="preserve">tobaksvarer </w:t>
      </w:r>
      <w:r w:rsidR="00331A1D" w:rsidRPr="0000570D">
        <w:t>m.v., jf.</w:t>
      </w:r>
      <w:r w:rsidRPr="0000570D">
        <w:t xml:space="preserve"> </w:t>
      </w:r>
      <w:r w:rsidR="008828FE">
        <w:t xml:space="preserve">bekendtgørelse nr. 965 af 26. august 2019 som ændret ved § 2 </w:t>
      </w:r>
      <w:r w:rsidRPr="0000570D">
        <w:t xml:space="preserve">i lov nr. xx af xx 2020, </w:t>
      </w:r>
      <w:r w:rsidR="00331A1D" w:rsidRPr="0000570D">
        <w:t>fastsættes</w:t>
      </w:r>
      <w:r w:rsidR="00591F48">
        <w:t>:</w:t>
      </w:r>
    </w:p>
    <w:p w14:paraId="4F2E914F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48895BE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 w:rsidRPr="0000570D">
        <w:t>Kapitel 1</w:t>
      </w:r>
    </w:p>
    <w:p w14:paraId="58970BA6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 w:rsidRPr="0000570D">
        <w:rPr>
          <w:i/>
        </w:rPr>
        <w:t>Definitioner</w:t>
      </w:r>
    </w:p>
    <w:p w14:paraId="35A6C6A2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5A1EFAD5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 w:rsidRPr="0000570D">
        <w:rPr>
          <w:b/>
        </w:rPr>
        <w:t>§</w:t>
      </w:r>
      <w:r w:rsidR="00331A1D" w:rsidRPr="0000570D">
        <w:rPr>
          <w:b/>
        </w:rPr>
        <w:t xml:space="preserve"> 1.</w:t>
      </w:r>
      <w:r w:rsidRPr="0000570D">
        <w:t xml:space="preserve"> I denne bekendtgørelse forstås ved:</w:t>
      </w:r>
    </w:p>
    <w:p w14:paraId="7189B03E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 w:rsidRPr="0012504C">
        <w:t xml:space="preserve">Tobakssurrogat: Produkt med indhold af nikotin, der ikke er en tobaksvare, jf. nr. 2, eller en elektronisk cigaret, jf. § 2, nr. 1, i lov om elektroniske cigaretter m.v., og som ikke er godkendt ved en markedsføringstilladelse efter lov om lægemidler eller EU-retlige regler om fastlæggelse af fællesskabsprocedurer for godkendelse af humanmedicinske lægemidler, samt udstyr, der er beregnet til at blive benyttet sammen med produktet. </w:t>
      </w:r>
    </w:p>
    <w:p w14:paraId="4A3B25D2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5A26C753" w14:textId="182ED6B4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 w:rsidRPr="0000570D">
        <w:t>Kapitel 2</w:t>
      </w:r>
    </w:p>
    <w:p w14:paraId="1CB9936C" w14:textId="53821C7B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 w:rsidRPr="0000570D">
        <w:rPr>
          <w:i/>
        </w:rPr>
        <w:t>Mærkning</w:t>
      </w:r>
      <w:r w:rsidR="008828FE">
        <w:rPr>
          <w:i/>
        </w:rPr>
        <w:t xml:space="preserve"> og emballage på tobakssurrogater</w:t>
      </w:r>
    </w:p>
    <w:p w14:paraId="0BE7E177" w14:textId="6E1F2FEA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287EC322" w14:textId="7BD695B3" w:rsidR="00F05062" w:rsidRPr="00F05062" w:rsidRDefault="00F05062" w:rsidP="00F05062">
      <w:r w:rsidRPr="00F05062">
        <w:rPr>
          <w:b/>
        </w:rPr>
        <w:lastRenderedPageBreak/>
        <w:t>§ 2.</w:t>
      </w:r>
      <w:r>
        <w:t xml:space="preserve"> </w:t>
      </w:r>
      <w:r w:rsidRPr="00F05062">
        <w:t xml:space="preserve">Hver enkeltpakning og eventuel ydre emballage af </w:t>
      </w:r>
      <w:r w:rsidR="005B2182">
        <w:t>tobakssurrogater</w:t>
      </w:r>
      <w:r w:rsidRPr="00F05062">
        <w:t xml:space="preserve"> skal indeholde en liste over:</w:t>
      </w:r>
    </w:p>
    <w:p w14:paraId="2210B590" w14:textId="77777777" w:rsidR="00F05062" w:rsidRPr="00F05062" w:rsidRDefault="00F05062" w:rsidP="00F05062">
      <w:r w:rsidRPr="00F05062">
        <w:t>1) alle de ingredienser, der indgår i produktet i aftagende orden efter vægt,</w:t>
      </w:r>
    </w:p>
    <w:p w14:paraId="7612105A" w14:textId="77777777" w:rsidR="00F05062" w:rsidRPr="00F05062" w:rsidRDefault="00F05062" w:rsidP="00F05062">
      <w:r w:rsidRPr="00F05062">
        <w:t>2) en angivelse af produktets nikotinindhold og levering pr. dosis, batchnummer, og</w:t>
      </w:r>
    </w:p>
    <w:p w14:paraId="3D7E1AEB" w14:textId="35009571" w:rsidR="00F05062" w:rsidRPr="00F05062" w:rsidRDefault="00F05062" w:rsidP="00F05062">
      <w:r w:rsidRPr="00F05062">
        <w:t>3) en anbefaling om at opbevare produktet utilgængeligt for børn.</w:t>
      </w:r>
    </w:p>
    <w:p w14:paraId="165948A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A455E99" w14:textId="2686A306" w:rsidR="0012504C" w:rsidRPr="0000570D" w:rsidRDefault="00F05062" w:rsidP="0012504C">
      <w:r>
        <w:rPr>
          <w:b/>
        </w:rPr>
        <w:t>§ 3</w:t>
      </w:r>
      <w:r w:rsidR="0012504C" w:rsidRPr="0000570D">
        <w:rPr>
          <w:b/>
        </w:rPr>
        <w:t>.</w:t>
      </w:r>
      <w:r w:rsidR="0012504C" w:rsidRPr="0000570D">
        <w:t xml:space="preserve"> Den, der markedsfører et tobakssurrogat her i landet, skal sikre, at hver enkeltpakning og en eventuel ydre emballage ikke indeholder elementer eller træk, som</w:t>
      </w:r>
    </w:p>
    <w:p w14:paraId="524B004D" w14:textId="29B24D31" w:rsidR="0012504C" w:rsidRPr="0000570D" w:rsidRDefault="0012504C" w:rsidP="0012504C">
      <w:r w:rsidRPr="0000570D">
        <w:t>1) fremmer et tobakssurrogat</w:t>
      </w:r>
      <w:r w:rsidR="00816D7D">
        <w:t>,</w:t>
      </w:r>
      <w:r w:rsidR="00AC326A">
        <w:t xml:space="preserve"> </w:t>
      </w:r>
      <w:r w:rsidRPr="0000570D">
        <w:t xml:space="preserve">opfordrer til brug </w:t>
      </w:r>
      <w:r w:rsidR="00816D7D">
        <w:t xml:space="preserve">eller </w:t>
      </w:r>
      <w:r w:rsidRPr="0000570D">
        <w:t>give</w:t>
      </w:r>
      <w:r w:rsidR="00816D7D">
        <w:t>r</w:t>
      </w:r>
      <w:r w:rsidRPr="0000570D">
        <w:t xml:space="preserve"> et fejlagtigt indtryk af produkternes karakteristika, virkninger, risici eller emissioner,</w:t>
      </w:r>
    </w:p>
    <w:p w14:paraId="22577965" w14:textId="6CE77476" w:rsidR="0012504C" w:rsidRPr="0000570D" w:rsidRDefault="0012504C" w:rsidP="0012504C">
      <w:r w:rsidRPr="0000570D">
        <w:t>2) giver indtryk af, at et bestemt tobakssurrogat er mindre skadelig end andre</w:t>
      </w:r>
      <w:r w:rsidR="0085310F">
        <w:t xml:space="preserve"> produkter</w:t>
      </w:r>
    </w:p>
    <w:p w14:paraId="68899BB2" w14:textId="31BB1701" w:rsidR="0012504C" w:rsidRPr="0000570D" w:rsidRDefault="00740AC2" w:rsidP="0012504C">
      <w:r>
        <w:t>3</w:t>
      </w:r>
      <w:r w:rsidR="0012504C" w:rsidRPr="0000570D">
        <w:t xml:space="preserve"> giver indtryk af, at et bestemt tobakssurrogat har vitaliserende, energigivende, helbredende, foryngende, naturlige, økologiske egenskaber eller andre positive formål eller andre positive sundheds- eller livsstilsmæssige virkninger,</w:t>
      </w:r>
    </w:p>
    <w:p w14:paraId="29C7C5C8" w14:textId="716E623E" w:rsidR="0012504C" w:rsidRPr="0000570D" w:rsidRDefault="00740AC2" w:rsidP="0012504C">
      <w:r>
        <w:t>4</w:t>
      </w:r>
      <w:r w:rsidR="0012504C" w:rsidRPr="0000570D">
        <w:t>) får produktet til at ligne en fødevare eller et kosmetisk produkt eller</w:t>
      </w:r>
    </w:p>
    <w:p w14:paraId="6FFB619F" w14:textId="32BBDF68" w:rsidR="0012504C" w:rsidRPr="0000570D" w:rsidRDefault="00740AC2" w:rsidP="0012504C">
      <w:r>
        <w:lastRenderedPageBreak/>
        <w:t>5</w:t>
      </w:r>
      <w:r w:rsidR="0012504C" w:rsidRPr="0000570D">
        <w:t>) giver indtryk af, at et bestemt tobakssurrogat har en forbedret biologisk nedbrydelighed eller andre miljømæssige fordele.</w:t>
      </w:r>
    </w:p>
    <w:p w14:paraId="19DD0B0C" w14:textId="1083FEC2" w:rsidR="00331A1D" w:rsidRPr="0000570D" w:rsidRDefault="00D40080" w:rsidP="00331A1D">
      <w:pPr>
        <w:spacing w:line="240" w:lineRule="auto"/>
      </w:pPr>
      <w:r w:rsidRPr="00D40080">
        <w:rPr>
          <w:i/>
        </w:rPr>
        <w:t>Stk. 2.</w:t>
      </w:r>
      <w:r w:rsidR="00331A1D" w:rsidRPr="0000570D">
        <w:t xml:space="preserve"> De elementer og træk, d</w:t>
      </w:r>
      <w:r w:rsidR="00F05062">
        <w:t>er er forbudte i henhold til § 3, nr. 1-</w:t>
      </w:r>
      <w:r w:rsidR="00740AC2">
        <w:t>5</w:t>
      </w:r>
      <w:r w:rsidR="00F05062">
        <w:t>,</w:t>
      </w:r>
      <w:r w:rsidR="00331A1D" w:rsidRPr="0000570D">
        <w:t xml:space="preserve"> omfatter, men er ikke begrænset til</w:t>
      </w:r>
      <w:r w:rsidR="00F05062">
        <w:t>,</w:t>
      </w:r>
      <w:r w:rsidR="00331A1D" w:rsidRPr="0000570D">
        <w:t xml:space="preserve"> tekst, symboler, navne, varemærker, figurer eller andre tegn.</w:t>
      </w:r>
    </w:p>
    <w:p w14:paraId="74CF3E66" w14:textId="77777777" w:rsidR="003C37AA" w:rsidRDefault="003C37AA" w:rsidP="0012504C">
      <w:pPr>
        <w:rPr>
          <w:b/>
        </w:rPr>
      </w:pPr>
    </w:p>
    <w:p w14:paraId="4FFD8F9E" w14:textId="28B78202" w:rsidR="0012504C" w:rsidRDefault="00D40080" w:rsidP="0012504C">
      <w:r w:rsidRPr="0000570D">
        <w:rPr>
          <w:b/>
        </w:rPr>
        <w:t xml:space="preserve">§ </w:t>
      </w:r>
      <w:r w:rsidR="00E32D44">
        <w:rPr>
          <w:b/>
        </w:rPr>
        <w:t>4</w:t>
      </w:r>
      <w:r w:rsidR="0012504C" w:rsidRPr="0000570D">
        <w:rPr>
          <w:b/>
        </w:rPr>
        <w:t>.</w:t>
      </w:r>
      <w:r w:rsidR="0012504C" w:rsidRPr="0000570D">
        <w:t xml:space="preserve"> D</w:t>
      </w:r>
      <w:r w:rsidR="008828FE">
        <w:t>en, der markedsfører tobakssurrogater</w:t>
      </w:r>
      <w:r w:rsidR="0012504C" w:rsidRPr="0000570D">
        <w:t xml:space="preserve"> her i landet, skal sikre, at hver enkeltpakning og en eventuel ydre emballage ikke indeholder</w:t>
      </w:r>
      <w:r w:rsidR="00CB64F7">
        <w:t xml:space="preserve"> eller på anden vis har tilknyttet</w:t>
      </w:r>
      <w:r w:rsidR="0012504C" w:rsidRPr="0000570D">
        <w:t xml:space="preserve"> kuponer, der tilbyder rabatter, gratis uddeling, to for en-tilbud eller andre</w:t>
      </w:r>
      <w:r w:rsidR="00740AC2">
        <w:t xml:space="preserve"> </w:t>
      </w:r>
      <w:r w:rsidR="00816D7D">
        <w:t>salgsfremmende foranstaltninger</w:t>
      </w:r>
      <w:r w:rsidR="0012504C" w:rsidRPr="0000570D">
        <w:t>.</w:t>
      </w:r>
    </w:p>
    <w:p w14:paraId="23035EFF" w14:textId="77777777" w:rsidR="00785D60" w:rsidRPr="0000570D" w:rsidRDefault="00785D60" w:rsidP="0012504C"/>
    <w:p w14:paraId="638BEEE8" w14:textId="0E8BCDAE" w:rsidR="00434814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</w:pPr>
      <w:r w:rsidRPr="009A4968">
        <w:t>Kapitel 3</w:t>
      </w:r>
    </w:p>
    <w:p w14:paraId="798B6CA3" w14:textId="499BDCDE" w:rsidR="003C37AA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 w:rsidRPr="009A4968">
        <w:rPr>
          <w:i/>
        </w:rPr>
        <w:t>Sundhedsadvarsler på tobakssurrogater</w:t>
      </w:r>
    </w:p>
    <w:p w14:paraId="514D771F" w14:textId="7B7508B0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DB322F" w14:textId="5582A752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53651D" w14:textId="7208C5C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/>
          <w:bCs/>
        </w:rPr>
        <w:t xml:space="preserve">§ </w:t>
      </w:r>
      <w:r w:rsidR="00E32D44">
        <w:rPr>
          <w:rFonts w:cstheme="minorHAnsi"/>
          <w:b/>
          <w:bCs/>
        </w:rPr>
        <w:t>5</w:t>
      </w:r>
      <w:r w:rsidRPr="009A4968">
        <w:rPr>
          <w:rFonts w:cstheme="minorHAnsi"/>
          <w:b/>
          <w:bCs/>
        </w:rPr>
        <w:t>.</w:t>
      </w:r>
      <w:r w:rsidRPr="009A4968">
        <w:rPr>
          <w:rFonts w:cstheme="minorHAnsi"/>
          <w:bCs/>
        </w:rPr>
        <w:t xml:space="preserve"> Hver enkeltpakning og eventuel ydre emballage af tobakssurrogater skal være forsynet med følgende sundhedsadvarsel på dansk:</w:t>
      </w:r>
      <w:r>
        <w:rPr>
          <w:rFonts w:cstheme="minorHAnsi"/>
          <w:bCs/>
        </w:rPr>
        <w:br/>
      </w:r>
    </w:p>
    <w:p w14:paraId="3A5AD703" w14:textId="77777777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>»Nikotin er et yderst afhængighedsskabende stof«.</w:t>
      </w:r>
    </w:p>
    <w:p w14:paraId="4F080620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9F760E3" w14:textId="5599190C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E01704">
        <w:rPr>
          <w:rFonts w:cstheme="minorHAnsi"/>
          <w:b/>
          <w:bCs/>
        </w:rPr>
        <w:t xml:space="preserve">§ </w:t>
      </w:r>
      <w:r w:rsidR="00E32D44">
        <w:rPr>
          <w:rFonts w:cstheme="minorHAnsi"/>
          <w:b/>
          <w:bCs/>
        </w:rPr>
        <w:t>6</w:t>
      </w:r>
      <w:r w:rsidRPr="00E01704">
        <w:rPr>
          <w:rFonts w:cstheme="minorHAnsi"/>
          <w:b/>
          <w:bCs/>
        </w:rPr>
        <w:t>.</w:t>
      </w:r>
      <w:r w:rsidR="009A4968" w:rsidRPr="009A4968">
        <w:rPr>
          <w:rFonts w:cstheme="minorHAnsi"/>
          <w:bCs/>
        </w:rPr>
        <w:t xml:space="preserve"> Sundhedsadvarslen på hver enkeltpakning og eventuel ydre emballage af tobakssurrogater skal:</w:t>
      </w:r>
    </w:p>
    <w:p w14:paraId="324CB34A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>være anbragt på de tre største overflader på henholdsvis enkeltpakningen og eventuel ydre emballage</w:t>
      </w:r>
    </w:p>
    <w:p w14:paraId="4386FB05" w14:textId="2CA4883D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 xml:space="preserve"> dække </w:t>
      </w:r>
      <w:r w:rsidR="004532FC">
        <w:rPr>
          <w:rFonts w:cstheme="minorHAnsi"/>
          <w:bCs/>
        </w:rPr>
        <w:t>3</w:t>
      </w:r>
      <w:r w:rsidRPr="009A4968">
        <w:rPr>
          <w:rFonts w:cstheme="minorHAnsi"/>
          <w:bCs/>
        </w:rPr>
        <w:t xml:space="preserve">0 % af overfladen på enkeltpakningen og eventuel ydre emballage </w:t>
      </w:r>
    </w:p>
    <w:p w14:paraId="2C58C031" w14:textId="5C7C7E8C" w:rsidR="009A4968" w:rsidRPr="009A4968" w:rsidRDefault="004532FC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</w:t>
      </w:r>
      <w:r w:rsidRPr="004532FC">
        <w:rPr>
          <w:rFonts w:cstheme="minorHAnsi"/>
          <w:bCs/>
        </w:rPr>
        <w:t>undhedsadvarslens dimensioner beregnes i forhold til den pågældende overflade, når pakningen er lukket.</w:t>
      </w:r>
      <w:r w:rsidRPr="009A4968" w:rsidDel="004532FC">
        <w:rPr>
          <w:rFonts w:cstheme="minorHAnsi"/>
          <w:bCs/>
        </w:rPr>
        <w:t xml:space="preserve"> </w:t>
      </w:r>
    </w:p>
    <w:p w14:paraId="63D1D551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>være trykt med fed skrifttype i skrifttypen Times New Roman i hvid på en baggrund, der er farven mat sort C0, M0, Y0 og K100</w:t>
      </w:r>
    </w:p>
    <w:p w14:paraId="03F16324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 xml:space="preserve"> udformet med en skrift med en størrelse, så den dækker den størst mulige andel af det areal, der er forbeholdt sundhedsadvarslen, når pakningen er lukket</w:t>
      </w:r>
    </w:p>
    <w:p w14:paraId="5E74FFF8" w14:textId="064546BF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 xml:space="preserve">placeres centreret på det areal, der er forbeholdt advarslen, </w:t>
      </w:r>
    </w:p>
    <w:p w14:paraId="498CA728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>for top og bund af pakningen stå en i lige linje centret på midten af den overflade, som den dækker</w:t>
      </w:r>
    </w:p>
    <w:p w14:paraId="33F5901C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 xml:space="preserve">på kasseformede pakninger og en eventuel ydre emballage placeres parallelt med side-kanten på enkeltpakningen eller den ydre emballage, </w:t>
      </w:r>
    </w:p>
    <w:p w14:paraId="6EA64F32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4968">
        <w:rPr>
          <w:rFonts w:cstheme="minorHAnsi"/>
          <w:bCs/>
        </w:rPr>
        <w:t>dække hele det areal på enkeltpakningen eller den ydre emballage, der er forbeholdt den,</w:t>
      </w:r>
    </w:p>
    <w:p w14:paraId="3B82637C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14954701" w14:textId="6D62B799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E01704">
        <w:rPr>
          <w:rFonts w:cstheme="minorHAnsi"/>
          <w:b/>
          <w:bCs/>
        </w:rPr>
        <w:t xml:space="preserve">§ </w:t>
      </w:r>
      <w:r w:rsidR="00E32D44">
        <w:rPr>
          <w:rFonts w:cstheme="minorHAnsi"/>
          <w:b/>
          <w:bCs/>
        </w:rPr>
        <w:t>7</w:t>
      </w:r>
      <w:r w:rsidRPr="00E01704">
        <w:rPr>
          <w:rFonts w:cstheme="minorHAnsi"/>
          <w:b/>
          <w:bCs/>
        </w:rPr>
        <w:t>.</w:t>
      </w:r>
      <w:r w:rsidR="009A4968" w:rsidRPr="009A4968">
        <w:rPr>
          <w:rFonts w:cstheme="minorHAnsi"/>
          <w:bCs/>
        </w:rPr>
        <w:t xml:space="preserve"> Hver sundhedsadvarsel på en enkeltpakning og eventuel ydre emballage</w:t>
      </w:r>
      <w:r w:rsidR="00BE221B">
        <w:rPr>
          <w:rFonts w:cstheme="minorHAnsi"/>
          <w:bCs/>
        </w:rPr>
        <w:t xml:space="preserve"> skal være påtrykt eller </w:t>
      </w:r>
      <w:proofErr w:type="spellStart"/>
      <w:r w:rsidR="00BE221B">
        <w:rPr>
          <w:rFonts w:cstheme="minorHAnsi"/>
          <w:bCs/>
        </w:rPr>
        <w:t>påklæbe</w:t>
      </w:r>
      <w:r w:rsidR="009A4968" w:rsidRPr="009A4968">
        <w:rPr>
          <w:rFonts w:cstheme="minorHAnsi"/>
          <w:bCs/>
        </w:rPr>
        <w:t>t</w:t>
      </w:r>
      <w:proofErr w:type="spellEnd"/>
      <w:r w:rsidR="009A4968" w:rsidRPr="009A4968">
        <w:rPr>
          <w:rFonts w:cstheme="minorHAnsi"/>
          <w:bCs/>
        </w:rPr>
        <w:t xml:space="preserve"> på en sådan måde, at den ikke kan fjernes </w:t>
      </w:r>
      <w:r>
        <w:rPr>
          <w:rFonts w:cstheme="minorHAnsi"/>
          <w:bCs/>
        </w:rPr>
        <w:t xml:space="preserve">eller slettes </w:t>
      </w:r>
      <w:r w:rsidR="009A4968" w:rsidRPr="009A4968">
        <w:rPr>
          <w:rFonts w:cstheme="minorHAnsi"/>
          <w:bCs/>
        </w:rPr>
        <w:t xml:space="preserve">og er fuldt synligt, herunder må den </w:t>
      </w:r>
      <w:r w:rsidR="009A4968" w:rsidRPr="009A4968">
        <w:rPr>
          <w:rFonts w:cstheme="minorHAnsi"/>
          <w:bCs/>
        </w:rPr>
        <w:lastRenderedPageBreak/>
        <w:t>ikke helt eller delvist skjules eller brydes af</w:t>
      </w:r>
      <w:r w:rsidR="00BE221B">
        <w:rPr>
          <w:rFonts w:cstheme="minorHAnsi"/>
          <w:bCs/>
        </w:rPr>
        <w:t xml:space="preserve"> </w:t>
      </w:r>
      <w:r w:rsidR="009A4968" w:rsidRPr="009A4968">
        <w:rPr>
          <w:rFonts w:cstheme="minorHAnsi"/>
          <w:bCs/>
        </w:rPr>
        <w:t xml:space="preserve">prismærkater, indpakningsmateriale, omslag, æsker eller kasser eller andre elementer, når tobakssurrogatet markedsføres. </w:t>
      </w:r>
    </w:p>
    <w:p w14:paraId="6C05DA92" w14:textId="6B6D5966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FE40FD0" w14:textId="7F2A6B67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E01704">
        <w:rPr>
          <w:rFonts w:cstheme="minorHAnsi"/>
          <w:b/>
          <w:bCs/>
        </w:rPr>
        <w:t xml:space="preserve">§ </w:t>
      </w:r>
      <w:r w:rsidR="00E32D44">
        <w:rPr>
          <w:rFonts w:cstheme="minorHAnsi"/>
          <w:b/>
          <w:bCs/>
        </w:rPr>
        <w:t>8</w:t>
      </w:r>
      <w:r w:rsidR="00E01704" w:rsidRPr="00E01704">
        <w:rPr>
          <w:rFonts w:cstheme="minorHAnsi"/>
          <w:b/>
          <w:bCs/>
        </w:rPr>
        <w:t>.</w:t>
      </w:r>
      <w:r w:rsidRPr="009A4968">
        <w:rPr>
          <w:rFonts w:cstheme="minorHAnsi"/>
          <w:bCs/>
        </w:rPr>
        <w:t xml:space="preserve"> Sundhedsadvarslen må ikke kommenteres, omformuleres eller være omfattet af henvisninger af nogen art på enkeltpakningen eller eventuel ydre emballage.</w:t>
      </w:r>
    </w:p>
    <w:p w14:paraId="25F3795B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B3F60DF" w14:textId="2C1A71A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§ </w:t>
      </w:r>
      <w:r w:rsidR="00E32D44">
        <w:rPr>
          <w:rFonts w:cstheme="minorHAnsi"/>
          <w:b/>
          <w:bCs/>
        </w:rPr>
        <w:t>9</w:t>
      </w:r>
      <w:r w:rsidR="00E01704" w:rsidRPr="00E01704">
        <w:rPr>
          <w:rFonts w:cstheme="minorHAnsi"/>
          <w:b/>
          <w:bCs/>
        </w:rPr>
        <w:t>.</w:t>
      </w:r>
      <w:r w:rsidR="009A4968" w:rsidRPr="009A4968">
        <w:rPr>
          <w:rFonts w:cstheme="minorHAnsi"/>
          <w:bCs/>
        </w:rPr>
        <w:t xml:space="preserve"> Hver s</w:t>
      </w:r>
      <w:r w:rsidR="00E01704">
        <w:rPr>
          <w:rFonts w:cstheme="minorHAnsi"/>
          <w:bCs/>
        </w:rPr>
        <w:t>undhedsadvarsel skal forblive intakt</w:t>
      </w:r>
      <w:r w:rsidR="009A4968" w:rsidRPr="009A4968">
        <w:rPr>
          <w:rFonts w:cstheme="minorHAnsi"/>
          <w:bCs/>
        </w:rPr>
        <w:t xml:space="preserve"> efter åbning af enkeltpakningen.</w:t>
      </w:r>
    </w:p>
    <w:p w14:paraId="2458067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97441B3" w14:textId="0D87FA47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>§ 1</w:t>
      </w:r>
      <w:r w:rsidR="00E32D44">
        <w:rPr>
          <w:rFonts w:cstheme="minorHAnsi"/>
          <w:b/>
          <w:bCs/>
        </w:rPr>
        <w:t>0</w:t>
      </w:r>
      <w:r w:rsidR="009A4968" w:rsidRPr="00E01704">
        <w:rPr>
          <w:rFonts w:cstheme="minorHAnsi"/>
          <w:b/>
          <w:bCs/>
        </w:rPr>
        <w:t>.</w:t>
      </w:r>
      <w:r w:rsidR="009A4968" w:rsidRPr="009A4968">
        <w:rPr>
          <w:rFonts w:cstheme="minorHAnsi"/>
          <w:bCs/>
        </w:rPr>
        <w:t xml:space="preserve"> Billeder af enkeltpakninger og eventuel ydre emballage, der henvender sig til forbrugere, skal være i overensstemmelse med bestemmelserne i </w:t>
      </w:r>
      <w:r w:rsidR="00E01704">
        <w:rPr>
          <w:rFonts w:cstheme="minorHAnsi"/>
          <w:bCs/>
        </w:rPr>
        <w:t>dette kapitel.</w:t>
      </w:r>
    </w:p>
    <w:p w14:paraId="618D52EA" w14:textId="0AF10FE4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59274E" w14:textId="74B9B7C0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9A4968">
        <w:rPr>
          <w:rFonts w:cstheme="minorHAnsi"/>
          <w:b/>
          <w:bCs/>
        </w:rPr>
        <w:t xml:space="preserve">§ </w:t>
      </w:r>
      <w:r w:rsidR="00BE221B">
        <w:rPr>
          <w:rFonts w:cstheme="minorHAnsi"/>
          <w:b/>
          <w:bCs/>
        </w:rPr>
        <w:t>1</w:t>
      </w:r>
      <w:r w:rsidR="00E32D44">
        <w:rPr>
          <w:rFonts w:cstheme="minorHAnsi"/>
          <w:b/>
          <w:bCs/>
        </w:rPr>
        <w:t>1</w:t>
      </w:r>
      <w:r w:rsidRPr="009A4968">
        <w:rPr>
          <w:rFonts w:cstheme="minorHAnsi"/>
          <w:b/>
          <w:bCs/>
        </w:rPr>
        <w:t xml:space="preserve">. </w:t>
      </w:r>
      <w:r w:rsidRPr="009A4968">
        <w:rPr>
          <w:rFonts w:eastAsia="TimesNewRomanPSMT" w:cstheme="minorHAnsi"/>
        </w:rPr>
        <w:t>Medmindre højere straf er forskyldt efter anden lov, straffes med bøde den, der overtræder reglerne i §§ 2-</w:t>
      </w:r>
      <w:r w:rsidR="007F4BDB">
        <w:rPr>
          <w:rFonts w:eastAsia="TimesNewRomanPSMT" w:cstheme="minorHAnsi"/>
        </w:rPr>
        <w:t>1</w:t>
      </w:r>
      <w:r w:rsidR="00E32D44">
        <w:rPr>
          <w:rFonts w:eastAsia="TimesNewRomanPSMT" w:cstheme="minorHAnsi"/>
        </w:rPr>
        <w:t>0</w:t>
      </w:r>
      <w:r w:rsidRPr="009A4968">
        <w:rPr>
          <w:rFonts w:eastAsia="TimesNewRomanPSMT" w:cstheme="minorHAnsi"/>
        </w:rPr>
        <w:t>.</w:t>
      </w:r>
    </w:p>
    <w:p w14:paraId="51616F52" w14:textId="77777777" w:rsidR="00495C27" w:rsidRDefault="00495C27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94599D4" w14:textId="178B2D9C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9A4968">
        <w:rPr>
          <w:rFonts w:cstheme="minorHAnsi"/>
          <w:i/>
          <w:iCs/>
        </w:rPr>
        <w:t xml:space="preserve">Stk. 2. </w:t>
      </w:r>
      <w:r w:rsidRPr="009A4968">
        <w:rPr>
          <w:rFonts w:eastAsia="TimesNewRomanPSMT" w:cstheme="minorHAnsi"/>
        </w:rPr>
        <w:t>Der kan pålægges selskaber m.v. (juridiske personer) strafansvar efter reglerne i straffelovens 5. kapitel.</w:t>
      </w:r>
    </w:p>
    <w:p w14:paraId="7E5A13B1" w14:textId="60B25A52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353FE0B8" w14:textId="63046261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rPr>
          <w:rFonts w:eastAsia="TimesNewRomanPSMT" w:cstheme="minorHAnsi"/>
        </w:rPr>
        <w:t>Kapitel 4</w:t>
      </w:r>
    </w:p>
    <w:p w14:paraId="3A3F0120" w14:textId="670DEB24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 w:rsidRPr="00740AC2">
        <w:rPr>
          <w:rFonts w:eastAsia="TimesNewRomanPSMT" w:cstheme="minorHAnsi"/>
          <w:i/>
        </w:rPr>
        <w:t>Ikrafttrædelse</w:t>
      </w:r>
    </w:p>
    <w:p w14:paraId="4EEF41D4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BBD36AF" w14:textId="2DBA7DEA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9A4968">
        <w:rPr>
          <w:rFonts w:cstheme="minorHAnsi"/>
          <w:b/>
          <w:bCs/>
        </w:rPr>
        <w:lastRenderedPageBreak/>
        <w:t xml:space="preserve">§ </w:t>
      </w:r>
      <w:r w:rsidR="00BE221B">
        <w:rPr>
          <w:rFonts w:cstheme="minorHAnsi"/>
          <w:b/>
          <w:bCs/>
        </w:rPr>
        <w:t>1</w:t>
      </w:r>
      <w:r w:rsidR="00E32D44">
        <w:rPr>
          <w:rFonts w:cstheme="minorHAnsi"/>
          <w:b/>
          <w:bCs/>
        </w:rPr>
        <w:t>2</w:t>
      </w:r>
      <w:r w:rsidRPr="009A4968">
        <w:rPr>
          <w:rFonts w:cstheme="minorHAnsi"/>
          <w:b/>
          <w:bCs/>
        </w:rPr>
        <w:t xml:space="preserve">. </w:t>
      </w:r>
      <w:r w:rsidRPr="009A4968">
        <w:rPr>
          <w:rFonts w:eastAsia="TimesNewRomanPSMT" w:cstheme="minorHAnsi"/>
        </w:rPr>
        <w:t xml:space="preserve">Bekendtgørelsen træder i kraft den </w:t>
      </w:r>
      <w:r w:rsidR="00003C87">
        <w:rPr>
          <w:rFonts w:eastAsia="TimesNewRomanPSMT" w:cstheme="minorHAnsi"/>
        </w:rPr>
        <w:t>1. april</w:t>
      </w:r>
      <w:r w:rsidR="00BE221B">
        <w:rPr>
          <w:rFonts w:eastAsia="TimesNewRomanPSMT" w:cstheme="minorHAnsi"/>
        </w:rPr>
        <w:t xml:space="preserve"> </w:t>
      </w:r>
      <w:r w:rsidRPr="009A4968">
        <w:rPr>
          <w:rFonts w:eastAsia="TimesNewRomanPSMT" w:cstheme="minorHAnsi"/>
        </w:rPr>
        <w:t>2021.</w:t>
      </w:r>
    </w:p>
    <w:p w14:paraId="2CA921EE" w14:textId="6F876B91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F5DF709" w14:textId="21295FC2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ED3068">
        <w:rPr>
          <w:rFonts w:cstheme="minorHAnsi"/>
          <w:i/>
          <w:iCs/>
          <w:sz w:val="24"/>
          <w:szCs w:val="24"/>
        </w:rPr>
        <w:t>Sundheds- og Ældreministeriet, den</w:t>
      </w:r>
    </w:p>
    <w:p w14:paraId="4B4B486D" w14:textId="703998BC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CA56193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9AA16F3" w14:textId="77777777" w:rsidR="00740AC2" w:rsidRPr="00F53E04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  <w:r w:rsidRPr="00F53E04">
        <w:rPr>
          <w:rFonts w:eastAsia="TimesNewRomanPSMT" w:cstheme="minorHAnsi"/>
          <w:sz w:val="24"/>
          <w:szCs w:val="24"/>
        </w:rPr>
        <w:t xml:space="preserve">Magnus </w:t>
      </w:r>
      <w:proofErr w:type="spellStart"/>
      <w:r w:rsidRPr="00F53E04">
        <w:rPr>
          <w:rFonts w:eastAsia="TimesNewRomanPSMT" w:cstheme="minorHAnsi"/>
          <w:bCs/>
          <w:sz w:val="24"/>
          <w:szCs w:val="24"/>
        </w:rPr>
        <w:t>Heunicke</w:t>
      </w:r>
      <w:proofErr w:type="spellEnd"/>
    </w:p>
    <w:p w14:paraId="2D3F2652" w14:textId="7340358A" w:rsidR="00740AC2" w:rsidRPr="00ED3068" w:rsidRDefault="00003C87" w:rsidP="00740AC2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 xml:space="preserve">                         </w:t>
      </w:r>
      <w:r w:rsidR="00740AC2">
        <w:rPr>
          <w:rFonts w:eastAsia="TimesNewRomanPSMT" w:cstheme="minorHAnsi"/>
          <w:sz w:val="24"/>
          <w:szCs w:val="24"/>
        </w:rPr>
        <w:t>/ Maria Ramskov Larsen</w:t>
      </w:r>
    </w:p>
    <w:p w14:paraId="36EC1338" w14:textId="77777777" w:rsidR="00740AC2" w:rsidRPr="00ED3068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52DB0F4D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9369E26" w14:textId="77777777" w:rsidR="00740AC2" w:rsidRPr="009A4968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601333" w14:textId="77777777" w:rsidR="00331A1D" w:rsidRDefault="00331A1D"/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Kommentarteks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D4"/>
    <w:rsid w:val="00003C87"/>
    <w:rsid w:val="0000570D"/>
    <w:rsid w:val="000547A9"/>
    <w:rsid w:val="00087FD4"/>
    <w:rsid w:val="000A5E7B"/>
    <w:rsid w:val="000B1E6A"/>
    <w:rsid w:val="000F3141"/>
    <w:rsid w:val="0012504C"/>
    <w:rsid w:val="00236A31"/>
    <w:rsid w:val="00331A1D"/>
    <w:rsid w:val="00364A9B"/>
    <w:rsid w:val="003C37AA"/>
    <w:rsid w:val="003C64E4"/>
    <w:rsid w:val="00434814"/>
    <w:rsid w:val="004532FC"/>
    <w:rsid w:val="00495C27"/>
    <w:rsid w:val="00591F48"/>
    <w:rsid w:val="005B2182"/>
    <w:rsid w:val="00740AC2"/>
    <w:rsid w:val="00785D60"/>
    <w:rsid w:val="007A5B3A"/>
    <w:rsid w:val="007D2012"/>
    <w:rsid w:val="007E0DEC"/>
    <w:rsid w:val="007F4BDB"/>
    <w:rsid w:val="00805FF7"/>
    <w:rsid w:val="00816D7D"/>
    <w:rsid w:val="0085310F"/>
    <w:rsid w:val="008828FE"/>
    <w:rsid w:val="008B2B6B"/>
    <w:rsid w:val="009533B0"/>
    <w:rsid w:val="009547ED"/>
    <w:rsid w:val="009A4968"/>
    <w:rsid w:val="00AA06FB"/>
    <w:rsid w:val="00AC2A5B"/>
    <w:rsid w:val="00AC326A"/>
    <w:rsid w:val="00B84C89"/>
    <w:rsid w:val="00BE221B"/>
    <w:rsid w:val="00C92FB3"/>
    <w:rsid w:val="00CB64F7"/>
    <w:rsid w:val="00D1471C"/>
    <w:rsid w:val="00D233C6"/>
    <w:rsid w:val="00D251C7"/>
    <w:rsid w:val="00D40080"/>
    <w:rsid w:val="00E01704"/>
    <w:rsid w:val="00E26DB4"/>
    <w:rsid w:val="00E32D44"/>
    <w:rsid w:val="00E435A7"/>
    <w:rsid w:val="00EB43B1"/>
    <w:rsid w:val="00F05062"/>
    <w:rsid w:val="00F143F5"/>
    <w:rsid w:val="00F66BA1"/>
    <w:rsid w:val="00FD2E43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37FC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F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2F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FB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Standardskrifttypeiafsni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Standardskrifttypeiafsnit"/>
    <w:rsid w:val="00434814"/>
  </w:style>
  <w:style w:type="paragraph" w:styleId="Korrektur">
    <w:name w:val="Revision"/>
    <w:hidden/>
    <w:uiPriority w:val="99"/>
    <w:semiHidden/>
    <w:rsid w:val="009A4968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EAEXP2DD475P-1149199250-4790945</_dlc_DocId>
    <_dlc_DocIdUrl xmlns="8f557624-d6a7-40e5-a06f-ebe44359847b">
      <Url>https://erstdk.sharepoint.com/teams/share/_layouts/15/DocIdRedir.aspx?ID=EAEXP2DD475P-1149199250-4790945</Url>
      <Description>EAEXP2DD475P-1149199250-4790945</Description>
    </_dlc_DocIdUrl>
  </documentManagement>
</p:properties>
</file>

<file path=customXml/itemProps1.xml><?xml version="1.0" encoding="utf-8"?>
<ds:datastoreItem xmlns:ds="http://schemas.openxmlformats.org/officeDocument/2006/customXml" ds:itemID="{AB901F27-9DC0-4177-8D53-49BCCC27C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8F9CC-29DD-4B97-BE66-E00CE8A1776F}"/>
</file>

<file path=customXml/itemProps3.xml><?xml version="1.0" encoding="utf-8"?>
<ds:datastoreItem xmlns:ds="http://schemas.openxmlformats.org/officeDocument/2006/customXml" ds:itemID="{0DB3A23C-E2CA-428E-A5FB-8C3327ECE763}"/>
</file>

<file path=customXml/itemProps4.xml><?xml version="1.0" encoding="utf-8"?>
<ds:datastoreItem xmlns:ds="http://schemas.openxmlformats.org/officeDocument/2006/customXml" ds:itemID="{88AA0D91-4B81-4360-9DF8-EBC66FAF6A1C}"/>
</file>

<file path=customXml/itemProps5.xml><?xml version="1.0" encoding="utf-8"?>
<ds:datastoreItem xmlns:ds="http://schemas.openxmlformats.org/officeDocument/2006/customXml" ds:itemID="{677B4EF5-82C0-4EB2-818E-95039FE23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Ramskov Larsen</dc:creator>
  <cp:keywords/>
  <dc:description/>
  <cp:lastModifiedBy>Maria Ramskov Larsen</cp:lastModifiedBy>
  <cp:revision>2</cp:revision>
  <dcterms:created xsi:type="dcterms:W3CDTF">2020-09-29T12:28:00Z</dcterms:created>
  <dcterms:modified xsi:type="dcterms:W3CDTF">2020-09-29T12:28:00Z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23c533e6-05db-4fac-b09f-b0f9ef0ad830</vt:lpwstr>
  </property>
</Properties>
</file>