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7AA45" w14:textId="374198A9" w:rsidR="00A72E73" w:rsidRPr="00A72E73" w:rsidRDefault="00A72E73" w:rsidP="00A72E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/>
          <w:color w:val="000000"/>
          <w:sz w:val="20"/>
        </w:rPr>
        <w:t>1. ------IND- 2020 0605 DK- ES ------ 20201007 --- --- PROJET</w:t>
      </w:r>
    </w:p>
    <w:p w14:paraId="2B869ACC" w14:textId="77777777" w:rsidR="00A72E73" w:rsidRDefault="00A72E73" w:rsidP="0000570D">
      <w:pPr>
        <w:jc w:val="center"/>
        <w:rPr>
          <w:sz w:val="26"/>
          <w:szCs w:val="26"/>
        </w:rPr>
      </w:pPr>
    </w:p>
    <w:p w14:paraId="0C2F6334" w14:textId="21A3FF51" w:rsidR="0000570D" w:rsidRPr="00A72E73" w:rsidRDefault="0000570D" w:rsidP="00A72E73">
      <w:pPr>
        <w:keepNext/>
        <w:keepLines/>
        <w:jc w:val="center"/>
        <w:rPr>
          <w:sz w:val="26"/>
          <w:szCs w:val="26"/>
        </w:rPr>
      </w:pPr>
      <w:r>
        <w:rPr>
          <w:sz w:val="26"/>
        </w:rPr>
        <w:t>PROYECTO</w:t>
      </w:r>
    </w:p>
    <w:p w14:paraId="610F6909" w14:textId="10E7B6E2" w:rsidR="0012504C" w:rsidRPr="00A72E73" w:rsidRDefault="0012504C" w:rsidP="00A72E73">
      <w:pPr>
        <w:keepNext/>
        <w:keepLines/>
        <w:jc w:val="center"/>
        <w:rPr>
          <w:sz w:val="26"/>
          <w:szCs w:val="26"/>
        </w:rPr>
      </w:pPr>
      <w:r>
        <w:rPr>
          <w:sz w:val="26"/>
        </w:rPr>
        <w:t xml:space="preserve">Orden sobre el etiquetado y el embalaje de los sucedáneos del tabaco </w:t>
      </w:r>
    </w:p>
    <w:p w14:paraId="78361E1F" w14:textId="71999685" w:rsidR="00331A1D" w:rsidRPr="00A72E73" w:rsidRDefault="0000570D" w:rsidP="00A72E73">
      <w:pPr>
        <w:keepNext/>
        <w:keepLines/>
        <w:spacing w:line="240" w:lineRule="auto"/>
      </w:pPr>
      <w:r>
        <w:t xml:space="preserve">De conformidad con lo dispuesto en el artículo 19 </w:t>
      </w:r>
      <w:r>
        <w:rPr>
          <w:i/>
          <w:iCs/>
        </w:rPr>
        <w:t>bis</w:t>
      </w:r>
      <w:r>
        <w:t xml:space="preserve">, apartado 2, y el artículo 22 </w:t>
      </w:r>
      <w:r>
        <w:rPr>
          <w:i/>
          <w:iCs/>
        </w:rPr>
        <w:t>quater</w:t>
      </w:r>
      <w:r>
        <w:t xml:space="preserve"> de la Ley sobre productos del tabaco, etc. (véase la Orden n.° 965 de 26 de agosto de 2019, modificada por el artículo 2 de la Ley n.º xx, de xx de xx de 2020), se establece lo siguiente:</w:t>
      </w:r>
    </w:p>
    <w:p w14:paraId="4F2E914F" w14:textId="77777777"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</w:pPr>
    </w:p>
    <w:p w14:paraId="48895BE4" w14:textId="77777777"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</w:pPr>
      <w:r>
        <w:t>Capítulo 1</w:t>
      </w:r>
    </w:p>
    <w:p w14:paraId="58970BA6" w14:textId="77777777"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>Definiciones</w:t>
      </w:r>
    </w:p>
    <w:p w14:paraId="35A6C6A2" w14:textId="77777777"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</w:rPr>
      </w:pPr>
    </w:p>
    <w:p w14:paraId="5A1EFAD5" w14:textId="77777777"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</w:pPr>
      <w:r>
        <w:rPr>
          <w:b/>
        </w:rPr>
        <w:t>Artículo 1.</w:t>
      </w:r>
      <w:r>
        <w:t xml:space="preserve"> A los efectos de la presente Orden, se aplicarán las definiciones siguientes:</w:t>
      </w:r>
    </w:p>
    <w:p w14:paraId="7189B03E" w14:textId="77777777" w:rsidR="0012504C" w:rsidRPr="00A72E73" w:rsidRDefault="0012504C" w:rsidP="0012504C">
      <w:pPr>
        <w:autoSpaceDE w:val="0"/>
        <w:autoSpaceDN w:val="0"/>
        <w:adjustRightInd w:val="0"/>
        <w:spacing w:after="0" w:line="240" w:lineRule="auto"/>
      </w:pPr>
      <w:r>
        <w:t xml:space="preserve">«sucedáneos del tabaco»: producto que contiene nicotina, que no es ni un producto del tabaco (véase el punto 2) ni un cigarrillo electrónico (véase el artículo 2, punto 1, de la Ley relativa a los cigarrillos electrónicos, etc.), y que no ha sido aprobado mediante la obtención de una autorización de comercialización de conformidad con la Ley sobre medicamentos o la legislación de la UE por la que se establecen los procedimientos comunitarios para la autorización de medicamentos de uso humano, así como de los equipos destinados a ser utilizados con el producto. </w:t>
      </w:r>
    </w:p>
    <w:p w14:paraId="4A3B25D2" w14:textId="77777777" w:rsidR="0012504C" w:rsidRPr="00A72E73" w:rsidRDefault="0012504C" w:rsidP="0012504C">
      <w:pPr>
        <w:autoSpaceDE w:val="0"/>
        <w:autoSpaceDN w:val="0"/>
        <w:adjustRightInd w:val="0"/>
        <w:spacing w:after="0" w:line="240" w:lineRule="auto"/>
      </w:pPr>
    </w:p>
    <w:p w14:paraId="5A26C753" w14:textId="182ED6B4"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</w:pPr>
      <w:r>
        <w:t>Capítulo 2</w:t>
      </w:r>
    </w:p>
    <w:p w14:paraId="1CB9936C" w14:textId="53821C7B"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>Etiquetado y embalaje de los sucedáneos del tabaco</w:t>
      </w:r>
    </w:p>
    <w:p w14:paraId="0BE7E177" w14:textId="6E1F2FEA" w:rsidR="00F05062" w:rsidRPr="00A72E73" w:rsidRDefault="00F05062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i/>
        </w:rPr>
      </w:pPr>
    </w:p>
    <w:p w14:paraId="287EC322" w14:textId="7BD695B3" w:rsidR="00F05062" w:rsidRPr="00A72E73" w:rsidRDefault="00F05062" w:rsidP="00A72E73">
      <w:pPr>
        <w:keepNext/>
        <w:keepLines/>
      </w:pPr>
      <w:r>
        <w:rPr>
          <w:b/>
        </w:rPr>
        <w:t>Artículo 2.</w:t>
      </w:r>
      <w:r>
        <w:t xml:space="preserve"> Todas las unidades de envasado, así como cualquier embalaje exterior, de los sucedáneos del tabaco deberán incluir:</w:t>
      </w:r>
    </w:p>
    <w:p w14:paraId="2210B590" w14:textId="77777777" w:rsidR="00F05062" w:rsidRPr="00A72E73" w:rsidRDefault="00F05062" w:rsidP="00F05062">
      <w:r>
        <w:t>1) una lista de todos los ingredientes que contenga el producto en orden decreciente por peso;</w:t>
      </w:r>
    </w:p>
    <w:p w14:paraId="7612105A" w14:textId="77777777" w:rsidR="00F05062" w:rsidRPr="00131CCC" w:rsidRDefault="00F05062" w:rsidP="00F05062">
      <w:pPr>
        <w:rPr>
          <w:spacing w:val="-4"/>
        </w:rPr>
      </w:pPr>
      <w:r w:rsidRPr="00131CCC">
        <w:rPr>
          <w:spacing w:val="-4"/>
        </w:rPr>
        <w:t>2) una indicación del contenido de nicotina y su administración por dosis, el número de lote de fabricación; y</w:t>
      </w:r>
    </w:p>
    <w:p w14:paraId="3D7E1AEB" w14:textId="35009571" w:rsidR="00F05062" w:rsidRPr="00A72E73" w:rsidRDefault="00F05062" w:rsidP="00F05062">
      <w:r>
        <w:t>3) una recomendación de que se mantenga fuera del alcance de los niños.</w:t>
      </w:r>
    </w:p>
    <w:p w14:paraId="165948AA" w14:textId="77777777" w:rsidR="0012504C" w:rsidRPr="00A72E73" w:rsidRDefault="0012504C" w:rsidP="0012504C">
      <w:pPr>
        <w:autoSpaceDE w:val="0"/>
        <w:autoSpaceDN w:val="0"/>
        <w:adjustRightInd w:val="0"/>
        <w:spacing w:after="0" w:line="240" w:lineRule="auto"/>
      </w:pPr>
    </w:p>
    <w:p w14:paraId="7A455E99" w14:textId="2686A306" w:rsidR="0012504C" w:rsidRPr="00A72E73" w:rsidRDefault="00F05062" w:rsidP="00A72E73">
      <w:pPr>
        <w:keepNext/>
        <w:keepLines/>
      </w:pPr>
      <w:r>
        <w:rPr>
          <w:b/>
        </w:rPr>
        <w:t>Artículo 3.</w:t>
      </w:r>
      <w:r>
        <w:t xml:space="preserve"> Toda persona que comercialice sucedáneos del tabaco en Dinamarca deberá asegurarse de que las unidades de envasado, así como cualquier embalaje exterior, no incluyan ningún elemento o característica que:</w:t>
      </w:r>
    </w:p>
    <w:p w14:paraId="524B004D" w14:textId="29B24D31" w:rsidR="0012504C" w:rsidRPr="00A72E73" w:rsidRDefault="0012504C" w:rsidP="0012504C">
      <w:r>
        <w:t>1) promocione un sucedáneo del tabaco o fomente su consumo suscitando una impresión equivocada sobre sus características, sus efectos sobre la salud, sus peligros o sus emisiones;</w:t>
      </w:r>
    </w:p>
    <w:p w14:paraId="22577965" w14:textId="6CE77476" w:rsidR="0012504C" w:rsidRPr="00A72E73" w:rsidRDefault="0012504C" w:rsidP="0012504C">
      <w:r>
        <w:t>2) sugiera que un sucedáneo del tabaco en particular es menos nocivo que otro;</w:t>
      </w:r>
    </w:p>
    <w:p w14:paraId="68899BB2" w14:textId="31BB1701" w:rsidR="0012504C" w:rsidRPr="00A72E73" w:rsidRDefault="00740AC2" w:rsidP="0012504C">
      <w:r>
        <w:t>3) sugiera que un sucedáneo del tabaco en particular tiene efectos vitalizantes, energéticos, curativos, rejuvenecedores, naturales, ecológicos u otros efectos positivos sobre la salud o el estilo de vida;</w:t>
      </w:r>
    </w:p>
    <w:p w14:paraId="29C7C5C8" w14:textId="716E623E" w:rsidR="0012504C" w:rsidRPr="00A72E73" w:rsidRDefault="00740AC2" w:rsidP="0012504C">
      <w:r>
        <w:t>4) se parezca a un producto alimenticio o cosmético; o</w:t>
      </w:r>
    </w:p>
    <w:p w14:paraId="6FFB619F" w14:textId="32BBDF68" w:rsidR="0012504C" w:rsidRPr="00A72E73" w:rsidRDefault="00740AC2" w:rsidP="00A72E73">
      <w:pPr>
        <w:keepNext/>
        <w:keepLines/>
      </w:pPr>
      <w:r>
        <w:lastRenderedPageBreak/>
        <w:t>5) sugiera que un sucedáneo del tabaco en particular ha mejorado en biodegradabilidad o en otras ventajas medioambientales.</w:t>
      </w:r>
    </w:p>
    <w:p w14:paraId="19DD0B0C" w14:textId="1083FEC2" w:rsidR="00331A1D" w:rsidRPr="00A72E73" w:rsidRDefault="00D40080" w:rsidP="00331A1D">
      <w:pPr>
        <w:spacing w:line="240" w:lineRule="auto"/>
      </w:pPr>
      <w:r>
        <w:rPr>
          <w:i/>
        </w:rPr>
        <w:t>Apartado 2.</w:t>
      </w:r>
      <w:r>
        <w:t xml:space="preserve"> Entre los elementos y características prohibidos con arreglo al artículo 3, puntos 1 a 5, se encuentran, sin carácter limitativo, textos, símbolos, nombres, marcas, signos figurativos u otros.</w:t>
      </w:r>
    </w:p>
    <w:p w14:paraId="74CF3E66" w14:textId="77777777" w:rsidR="003C37AA" w:rsidRPr="00A72E73" w:rsidRDefault="003C37AA" w:rsidP="0012504C">
      <w:pPr>
        <w:rPr>
          <w:b/>
        </w:rPr>
      </w:pPr>
    </w:p>
    <w:p w14:paraId="4FFD8F9E" w14:textId="28B78202" w:rsidR="0012504C" w:rsidRPr="00131CCC" w:rsidRDefault="00D40080" w:rsidP="0012504C">
      <w:pPr>
        <w:rPr>
          <w:spacing w:val="-4"/>
        </w:rPr>
      </w:pPr>
      <w:r w:rsidRPr="00131CCC">
        <w:rPr>
          <w:b/>
          <w:spacing w:val="-4"/>
        </w:rPr>
        <w:t>Artículo 4.</w:t>
      </w:r>
      <w:r w:rsidRPr="00131CCC">
        <w:rPr>
          <w:spacing w:val="-4"/>
        </w:rPr>
        <w:t xml:space="preserve"> Toda persona que comercialice sucedáneos del tabaco en Dinamarca deberá asegurarse de que ni la unidad de envasado ni ningún embalaje exterior incluya o esté vinculado, de algún otro modo, a cupones que ofrezcan descuentos, distribución gratuita, ofertas de dos por uno u otras promociones similares.</w:t>
      </w:r>
    </w:p>
    <w:p w14:paraId="23035EFF" w14:textId="77777777" w:rsidR="00785D60" w:rsidRPr="00A72E73" w:rsidRDefault="00785D60" w:rsidP="0012504C"/>
    <w:p w14:paraId="638BEEE8" w14:textId="0E8BCDAE" w:rsidR="00434814" w:rsidRPr="00A72E73" w:rsidRDefault="003C37AA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</w:pPr>
      <w:r>
        <w:t>Capítulo 3</w:t>
      </w:r>
    </w:p>
    <w:p w14:paraId="798B6CA3" w14:textId="499BDCDE" w:rsidR="003C37AA" w:rsidRPr="00A72E73" w:rsidRDefault="003C37AA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>Advertencias sanitarias en los sucedáneos del tabaco</w:t>
      </w:r>
    </w:p>
    <w:p w14:paraId="514D771F" w14:textId="7B7508B0" w:rsidR="003C37AA" w:rsidRPr="00A72E73" w:rsidRDefault="003C37AA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3DB322F" w14:textId="5582A752" w:rsidR="003C37AA" w:rsidRPr="00A72E73" w:rsidRDefault="003C37AA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04FBEE9" w14:textId="77777777" w:rsidR="00A72E73" w:rsidRDefault="009A4968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Artículo 5.</w:t>
      </w:r>
      <w:r>
        <w:t xml:space="preserve"> Todas las unidades de envasado, así como todo embalaje exterior, de sucedáneos del tabaco llevarán la siguiente advertencia sanitaria en danés:</w:t>
      </w:r>
    </w:p>
    <w:p w14:paraId="2053651D" w14:textId="42812AB2" w:rsidR="009A4968" w:rsidRPr="00A72E73" w:rsidRDefault="009A4968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3A5AD703" w14:textId="77777777" w:rsidR="009A4968" w:rsidRPr="00A72E73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«La nicotina es una sustancia muy adictiva».</w:t>
      </w:r>
    </w:p>
    <w:p w14:paraId="4F080620" w14:textId="77777777" w:rsidR="009A4968" w:rsidRPr="00A72E73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49F760E3" w14:textId="5599190C" w:rsidR="009A4968" w:rsidRPr="00A72E73" w:rsidRDefault="00E01704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Artículo 6.</w:t>
      </w:r>
      <w:r>
        <w:t xml:space="preserve"> El texto de las advertencias sanitarias en todas las unidades de envasado, así como en cualquier embalaje exterior, de los sucedáneos del tabaco deberá:</w:t>
      </w:r>
    </w:p>
    <w:p w14:paraId="324CB34A" w14:textId="77777777" w:rsidR="009A4968" w:rsidRPr="00131CCC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pacing w:val="-4"/>
        </w:rPr>
      </w:pPr>
      <w:r w:rsidRPr="00131CCC">
        <w:rPr>
          <w:spacing w:val="-4"/>
        </w:rPr>
        <w:t>aparecer en las tres superficies más grandes de la unidad de envasado, así como en todo embalaje exterior;</w:t>
      </w:r>
    </w:p>
    <w:p w14:paraId="4386FB05" w14:textId="2CA4883D"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 cubrir un 30 % de la cara externa de la superficie correspondiente en la unidad de envasado y en todo el embalaje exterior; </w:t>
      </w:r>
    </w:p>
    <w:p w14:paraId="2C58C031" w14:textId="5C7C7E8C" w:rsidR="009A4968" w:rsidRPr="00A72E73" w:rsidRDefault="004532FC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las dimensiones que deberán adoptar las advertencias sanitarias se calcularán en relación con la superficie en cuestión, cuando el paquete está cerrado; </w:t>
      </w:r>
    </w:p>
    <w:p w14:paraId="63D1D551" w14:textId="77777777"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imprimirse en negrita, en caracteres tipográficos Times New Roman blancos sobre un fondo de color negro mate C0, M0, Y0 y K100;</w:t>
      </w:r>
    </w:p>
    <w:p w14:paraId="03F16324" w14:textId="77777777"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 estar escrito con una fuente de un tamaño que cubra el mayor espacio posible de la superficie reservada para la advertencia sanitaria cuando el paquete está cerrado;</w:t>
      </w:r>
    </w:p>
    <w:p w14:paraId="5E74FFF8" w14:textId="064546BF"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estar centrado en el espacio reservado para su impresión; </w:t>
      </w:r>
    </w:p>
    <w:p w14:paraId="498CA728" w14:textId="77777777"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por lo que respecta a la parte superior e inferior del paquete, estar colocado en una línea recta en el centro de la superficie que ocupa;</w:t>
      </w:r>
    </w:p>
    <w:p w14:paraId="33F5901C" w14:textId="77777777"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en los paquetes en forma de paralelepípedo y en todo embalaje exterior, estar en paralelo al borde lateral de la unidad de envasado o del embalaje exterior; </w:t>
      </w:r>
    </w:p>
    <w:p w14:paraId="6EA64F32" w14:textId="77777777"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ocupar la totalidad de la superficie de la unidad de envasado o del embalaje exterior que se le haya reservado.</w:t>
      </w:r>
    </w:p>
    <w:p w14:paraId="3B82637C" w14:textId="77777777" w:rsidR="00E01704" w:rsidRPr="00A72E73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</w:rPr>
      </w:pPr>
    </w:p>
    <w:p w14:paraId="14954701" w14:textId="6D62B799" w:rsidR="009A4968" w:rsidRPr="00A72E73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Artículo 7.</w:t>
      </w:r>
      <w:r>
        <w:t xml:space="preserve"> Cuando se comercializan sucedáneos del tabaco, las advertencias sanitarias en una unidad de envasado y en cualquier embalaje exterior se imprimirán de forma inamovible e indeleble y serán totalmente visibles, y no estarán parcial o totalmente disimuladas o separadas por etiquetas de precio, envoltorios, bolsas, cajas o cualquier otro objeto. </w:t>
      </w:r>
    </w:p>
    <w:p w14:paraId="6C05DA92" w14:textId="6B6D5966" w:rsidR="00E01704" w:rsidRPr="00A72E73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2FE40FD0" w14:textId="7F2A6B67" w:rsidR="009A4968" w:rsidRPr="00A72E73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Artículo 8.</w:t>
      </w:r>
      <w:r>
        <w:t xml:space="preserve"> Las advertencias sanitarias en una unidad de envasado y en cualquier embalaje exterior no deberán ser objeto de comentario, paráfrasis o referencia de ningún otro tipo.</w:t>
      </w:r>
    </w:p>
    <w:p w14:paraId="25F3795B" w14:textId="77777777" w:rsidR="00E01704" w:rsidRPr="00A72E73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5B3F60DF" w14:textId="2C1A71AE" w:rsidR="009A4968" w:rsidRPr="00A72E73" w:rsidRDefault="00BE221B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Artículo 9.</w:t>
      </w:r>
      <w:r>
        <w:t xml:space="preserve"> Las advertencias sanitarias no se separarán al abrir la unidad de envasado.</w:t>
      </w:r>
    </w:p>
    <w:p w14:paraId="24580674" w14:textId="77777777" w:rsidR="00E01704" w:rsidRPr="00A72E73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297441B3" w14:textId="0D87FA47" w:rsidR="009A4968" w:rsidRPr="00A72E73" w:rsidRDefault="00BE221B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Artículo 10.</w:t>
      </w:r>
      <w:r>
        <w:t xml:space="preserve"> Las imágenes de las unidades de envasado y de todo embalaje exterior destinado a los consumidores se ajustarán a las disposiciones del presente capítulo.</w:t>
      </w:r>
    </w:p>
    <w:p w14:paraId="618D52EA" w14:textId="0AF10FE4" w:rsidR="003C37AA" w:rsidRPr="00A72E73" w:rsidRDefault="003C37AA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A59274E" w14:textId="74B9B7C0" w:rsidR="00434814" w:rsidRPr="00A72E73" w:rsidRDefault="00434814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b/>
        </w:rPr>
        <w:t xml:space="preserve">Artículo 11. </w:t>
      </w:r>
      <w:r>
        <w:t>A menos que otras disposiciones legislativas prescriban penas más severas, se sancionará con una multa a toda persona que infrinja las disposiciones contenidas en los artículos 2 a 10.</w:t>
      </w:r>
    </w:p>
    <w:p w14:paraId="51616F52" w14:textId="77777777" w:rsidR="00495C27" w:rsidRPr="00A72E73" w:rsidRDefault="00495C27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194599D4" w14:textId="178B2D9C" w:rsidR="00434814" w:rsidRPr="00A72E73" w:rsidRDefault="00434814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i/>
        </w:rPr>
        <w:t xml:space="preserve">Apartado 2. </w:t>
      </w:r>
      <w:r>
        <w:t>Las empresas, etc. (personas jurídicas) podrán estar sujetas a responsabilidad penal de conformidad con la disposición del capítulo 5 del Código Penal.</w:t>
      </w:r>
    </w:p>
    <w:p w14:paraId="7E5A13B1" w14:textId="60B25A52" w:rsidR="00740AC2" w:rsidRPr="00A72E73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353FE0B8" w14:textId="63046261" w:rsidR="00740AC2" w:rsidRPr="00A72E73" w:rsidRDefault="00740AC2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</w:rPr>
      </w:pPr>
      <w:r>
        <w:t>Capítulo 4</w:t>
      </w:r>
    </w:p>
    <w:p w14:paraId="3A3F0120" w14:textId="670DEB24" w:rsidR="00740AC2" w:rsidRPr="00A72E73" w:rsidRDefault="00740AC2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i/>
        </w:rPr>
      </w:pPr>
      <w:r>
        <w:rPr>
          <w:i/>
        </w:rPr>
        <w:t>Entrada en vigor</w:t>
      </w:r>
    </w:p>
    <w:p w14:paraId="4EEF41D4" w14:textId="77777777" w:rsidR="00434814" w:rsidRPr="00A72E73" w:rsidRDefault="00434814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BBD36AF" w14:textId="2DBA7DEA" w:rsidR="00434814" w:rsidRPr="00A72E73" w:rsidRDefault="00434814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b/>
        </w:rPr>
        <w:t xml:space="preserve">Artículo 12. </w:t>
      </w:r>
      <w:r>
        <w:t>La presente Orden entrará en vigor el 1 de abril de 2021.</w:t>
      </w:r>
    </w:p>
    <w:p w14:paraId="2CA921EE" w14:textId="6F876B91" w:rsidR="00740AC2" w:rsidRPr="00A72E73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7F5DF709" w14:textId="21295FC2"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>
        <w:rPr>
          <w:i/>
          <w:sz w:val="24"/>
        </w:rPr>
        <w:t>Ministerio de Sanidad, [fecha]</w:t>
      </w:r>
    </w:p>
    <w:p w14:paraId="4B4B486D" w14:textId="703998BC"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6CA56193" w14:textId="77777777"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19AA16F3" w14:textId="77777777"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  <w:r>
        <w:rPr>
          <w:sz w:val="24"/>
        </w:rPr>
        <w:t>Magnus Heunicke</w:t>
      </w:r>
    </w:p>
    <w:p w14:paraId="2D3F2652" w14:textId="7340358A" w:rsidR="00740AC2" w:rsidRPr="00A72E73" w:rsidRDefault="00003C87" w:rsidP="00740AC2">
      <w:pPr>
        <w:autoSpaceDE w:val="0"/>
        <w:autoSpaceDN w:val="0"/>
        <w:adjustRightInd w:val="0"/>
        <w:spacing w:after="0" w:line="240" w:lineRule="auto"/>
        <w:ind w:left="2608" w:firstLine="1304"/>
        <w:jc w:val="center"/>
        <w:rPr>
          <w:rFonts w:eastAsia="TimesNewRomanPSMT" w:cstheme="minorHAnsi"/>
          <w:sz w:val="24"/>
          <w:szCs w:val="24"/>
        </w:rPr>
      </w:pPr>
      <w:r>
        <w:rPr>
          <w:sz w:val="24"/>
        </w:rPr>
        <w:t xml:space="preserve">                         /Maria Ramskov Larsen</w:t>
      </w:r>
    </w:p>
    <w:p w14:paraId="36EC1338" w14:textId="77777777"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52DB0F4D" w14:textId="77777777"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39369E26" w14:textId="77777777" w:rsidR="00740AC2" w:rsidRPr="00A72E73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66601333" w14:textId="77777777" w:rsidR="00331A1D" w:rsidRPr="00A72E73" w:rsidRDefault="00331A1D"/>
    <w:sectPr w:rsidR="00331A1D" w:rsidRPr="00A72E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a-Regu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Gothic"/>
    <w:charset w:val="8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55AE2"/>
    <w:multiLevelType w:val="hybridMultilevel"/>
    <w:tmpl w:val="BB82E206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5C569D"/>
    <w:multiLevelType w:val="hybridMultilevel"/>
    <w:tmpl w:val="FC585330"/>
    <w:lvl w:ilvl="0" w:tplc="FDA2B482">
      <w:start w:val="1"/>
      <w:numFmt w:val="decimal"/>
      <w:pStyle w:val="CommentTex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216DA"/>
    <w:multiLevelType w:val="hybridMultilevel"/>
    <w:tmpl w:val="BF1C45CE"/>
    <w:lvl w:ilvl="0" w:tplc="476EB802">
      <w:numFmt w:val="bullet"/>
      <w:lvlText w:val="-"/>
      <w:lvlJc w:val="left"/>
      <w:pPr>
        <w:ind w:left="720" w:hanging="360"/>
      </w:pPr>
      <w:rPr>
        <w:rFonts w:ascii="Questa-Regular" w:eastAsiaTheme="minorHAnsi" w:hAnsi="Questa-Regular" w:cs="Segoe UI" w:hint="default"/>
        <w:color w:val="212529"/>
        <w:sz w:val="2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2229F"/>
    <w:multiLevelType w:val="hybridMultilevel"/>
    <w:tmpl w:val="F09E867A"/>
    <w:lvl w:ilvl="0" w:tplc="3AF63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D4"/>
    <w:rsid w:val="00003C87"/>
    <w:rsid w:val="0000570D"/>
    <w:rsid w:val="000547A9"/>
    <w:rsid w:val="00087FD4"/>
    <w:rsid w:val="000A5E7B"/>
    <w:rsid w:val="000B1E6A"/>
    <w:rsid w:val="000F3141"/>
    <w:rsid w:val="0012504C"/>
    <w:rsid w:val="00131CCC"/>
    <w:rsid w:val="00192D3E"/>
    <w:rsid w:val="00236A31"/>
    <w:rsid w:val="00331A1D"/>
    <w:rsid w:val="00364A9B"/>
    <w:rsid w:val="003C37AA"/>
    <w:rsid w:val="003C64E4"/>
    <w:rsid w:val="00434814"/>
    <w:rsid w:val="004532FC"/>
    <w:rsid w:val="00495C27"/>
    <w:rsid w:val="004D26F8"/>
    <w:rsid w:val="00591F48"/>
    <w:rsid w:val="005B2182"/>
    <w:rsid w:val="00740AC2"/>
    <w:rsid w:val="00785D60"/>
    <w:rsid w:val="007A5B3A"/>
    <w:rsid w:val="007D2012"/>
    <w:rsid w:val="007E0DEC"/>
    <w:rsid w:val="007F4BDB"/>
    <w:rsid w:val="00805FF7"/>
    <w:rsid w:val="00816D7D"/>
    <w:rsid w:val="0085310F"/>
    <w:rsid w:val="008828FE"/>
    <w:rsid w:val="008B2B6B"/>
    <w:rsid w:val="009533B0"/>
    <w:rsid w:val="009547ED"/>
    <w:rsid w:val="009A4968"/>
    <w:rsid w:val="00A72E73"/>
    <w:rsid w:val="00AA06FB"/>
    <w:rsid w:val="00AC2A5B"/>
    <w:rsid w:val="00AC326A"/>
    <w:rsid w:val="00B84C89"/>
    <w:rsid w:val="00BE221B"/>
    <w:rsid w:val="00C92FB3"/>
    <w:rsid w:val="00CB64F7"/>
    <w:rsid w:val="00D1471C"/>
    <w:rsid w:val="00D233C6"/>
    <w:rsid w:val="00D251C7"/>
    <w:rsid w:val="00D40080"/>
    <w:rsid w:val="00DA2219"/>
    <w:rsid w:val="00E01704"/>
    <w:rsid w:val="00E26DB4"/>
    <w:rsid w:val="00E32D44"/>
    <w:rsid w:val="00E435A7"/>
    <w:rsid w:val="00EB43B1"/>
    <w:rsid w:val="00F05062"/>
    <w:rsid w:val="00F143F5"/>
    <w:rsid w:val="00F66BA1"/>
    <w:rsid w:val="00F9637A"/>
    <w:rsid w:val="00FD2E43"/>
    <w:rsid w:val="00FD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37FC"/>
  <w15:chartTrackingRefBased/>
  <w15:docId w15:val="{CAAA423E-8606-4BC0-8104-469511A0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5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2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FB3"/>
    <w:pPr>
      <w:numPr>
        <w:numId w:val="4"/>
      </w:num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F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FB3"/>
    <w:pPr>
      <w:numPr>
        <w:numId w:val="0"/>
      </w:numPr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F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FB3"/>
    <w:rPr>
      <w:rFonts w:ascii="Segoe UI" w:hAnsi="Segoe UI" w:cs="Segoe UI"/>
      <w:sz w:val="18"/>
      <w:szCs w:val="18"/>
    </w:rPr>
  </w:style>
  <w:style w:type="character" w:customStyle="1" w:styleId="paragrafnr2">
    <w:name w:val="paragrafnr2"/>
    <w:basedOn w:val="DefaultParagraphFont"/>
    <w:rsid w:val="00331A1D"/>
  </w:style>
  <w:style w:type="paragraph" w:customStyle="1" w:styleId="liste1">
    <w:name w:val="liste1"/>
    <w:basedOn w:val="Normal"/>
    <w:rsid w:val="004348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2">
    <w:name w:val="liste1nr2"/>
    <w:basedOn w:val="DefaultParagraphFont"/>
    <w:rsid w:val="00434814"/>
  </w:style>
  <w:style w:type="paragraph" w:styleId="Revision">
    <w:name w:val="Revision"/>
    <w:hidden/>
    <w:uiPriority w:val="99"/>
    <w:semiHidden/>
    <w:rsid w:val="009A49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471C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236A31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36A31"/>
    <w:rPr>
      <w:rFonts w:ascii="EUAlbertina" w:hAnsi="EUAlbertin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4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7306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1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3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14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0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4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8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64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4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8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28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5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4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4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8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9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0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7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02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EAEXP2DD475P-1149199250-4790945</_dlc_DocId>
    <_dlc_DocIdUrl xmlns="8f557624-d6a7-40e5-a06f-ebe44359847b">
      <Url>https://erstdk.sharepoint.com/teams/share/_layouts/15/DocIdRedir.aspx?ID=EAEXP2DD475P-1149199250-4790945</Url>
      <Description>EAEXP2DD475P-1149199250-4790945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898" ma:contentTypeDescription="Opret et nyt dokument." ma:contentTypeScope="" ma:versionID="87a54f96d0b194c06d33fb789b19ef57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c1d279b3aee69afa0dcc07b302a31cea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B4EF5-82C0-4EB2-818E-95039FE2369C}">
  <ds:schemaRefs>
    <ds:schemaRef ds:uri="http://schemas.microsoft.com/office/2006/metadata/properties"/>
    <ds:schemaRef ds:uri="http://schemas.microsoft.com/office/infopath/2007/PartnerControls"/>
    <ds:schemaRef ds:uri="8f557624-d6a7-40e5-a06f-ebe44359847b"/>
  </ds:schemaRefs>
</ds:datastoreItem>
</file>

<file path=customXml/itemProps2.xml><?xml version="1.0" encoding="utf-8"?>
<ds:datastoreItem xmlns:ds="http://schemas.openxmlformats.org/officeDocument/2006/customXml" ds:itemID="{92D8F9CC-29DD-4B97-BE66-E00CE8A17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B3A23C-E2CA-428E-A5FB-8C3327ECE7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8AA0D91-4B81-4360-9DF8-EBC66FAF6A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F8639F-9792-4445-8D75-E9C0C2E5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Ramskov Larsen</dc:creator>
  <cp:keywords/>
  <dc:description/>
  <cp:lastModifiedBy>Diana STOICA</cp:lastModifiedBy>
  <cp:revision>5</cp:revision>
  <dcterms:created xsi:type="dcterms:W3CDTF">2020-09-30T09:50:00Z</dcterms:created>
  <dcterms:modified xsi:type="dcterms:W3CDTF">2020-10-07T14:52:00Z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0x01010028823DAD65BFDC47A3186F100C863B32</vt:lpwstr>
  </property>
  <property fmtid="{D5CDD505-2E9C-101B-9397-08002B2CF9AE}" pid="3" name="_dlc_policyId">
    <vt:lpwstr>/teams/share/data</vt:lpwstr>
  </property>
  <property fmtid="{D5CDD505-2E9C-101B-9397-08002B2CF9AE}" pid="4" name="ItemRetentionFormula">
    <vt:lpwstr/>
  </property>
  <property fmtid="{D5CDD505-2E9C-101B-9397-08002B2CF9AE}" pid="5" name="_dlc_DocIdItemGuid">
    <vt:lpwstr>23c533e6-05db-4fac-b09f-b0f9ef0ad830</vt:lpwstr>
  </property>
</Properties>
</file>