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7AA45" w14:textId="374198A9" w:rsidR="00A72E73" w:rsidRPr="00A72E73" w:rsidRDefault="00A72E73" w:rsidP="00A72E73">
      <w:pPr>
        <w:autoSpaceDE w:val="0"/>
        <w:autoSpaceDN w:val="0"/>
        <w:adjustRightInd w:val="0"/>
        <w:spacing w:after="0" w:line="240" w:lineRule="auto"/>
        <w:rPr>
          <w:rFonts w:ascii="Courier New" w:hAnsi="Courier New" w:cs="Courier New"/>
          <w:color w:val="000000"/>
          <w:sz w:val="20"/>
          <w:szCs w:val="20"/>
        </w:rPr>
      </w:pPr>
      <w:r>
        <w:rPr>
          <w:rFonts w:ascii="Courier New" w:hAnsi="Courier New"/>
          <w:color w:val="000000"/>
          <w:sz w:val="20"/>
        </w:rPr>
        <w:t>1. ------IND- 2020 0605 DK- SV- ------ 20201007 --- --- PROJET</w:t>
      </w:r>
    </w:p>
    <w:p w14:paraId="2B869ACC" w14:textId="77777777" w:rsidR="00A72E73" w:rsidRDefault="00A72E73" w:rsidP="0000570D">
      <w:pPr>
        <w:jc w:val="center"/>
        <w:rPr>
          <w:sz w:val="26"/>
          <w:szCs w:val="26"/>
        </w:rPr>
      </w:pPr>
    </w:p>
    <w:p w14:paraId="0C2F6334" w14:textId="21A3FF51" w:rsidR="0000570D" w:rsidRPr="00A72E73" w:rsidRDefault="0000570D" w:rsidP="00A72E73">
      <w:pPr>
        <w:keepNext/>
        <w:keepLines/>
        <w:jc w:val="center"/>
        <w:rPr>
          <w:sz w:val="26"/>
          <w:szCs w:val="26"/>
        </w:rPr>
      </w:pPr>
      <w:r>
        <w:rPr>
          <w:sz w:val="26"/>
        </w:rPr>
        <w:t>UTKAST</w:t>
      </w:r>
    </w:p>
    <w:p w14:paraId="610F6909" w14:textId="10E7B6E2" w:rsidR="0012504C" w:rsidRPr="00A72E73" w:rsidRDefault="0012504C" w:rsidP="00A72E73">
      <w:pPr>
        <w:keepNext/>
        <w:keepLines/>
        <w:jc w:val="center"/>
        <w:rPr>
          <w:sz w:val="26"/>
          <w:szCs w:val="26"/>
        </w:rPr>
      </w:pPr>
      <w:r>
        <w:rPr>
          <w:sz w:val="26"/>
        </w:rPr>
        <w:t xml:space="preserve">Förordning om märkning av och förpackningar för tobaksersättning </w:t>
      </w:r>
    </w:p>
    <w:p w14:paraId="78361E1F" w14:textId="71999685" w:rsidR="00331A1D" w:rsidRPr="00A72E73" w:rsidRDefault="0000570D" w:rsidP="00A72E73">
      <w:pPr>
        <w:keepNext/>
        <w:keepLines/>
        <w:spacing w:line="240" w:lineRule="auto"/>
      </w:pPr>
      <w:r>
        <w:t>I enlighet med 19 a § punkt 2 och 22 c § i lagen om tobaksvaror m.m., se förordning nr 965 av den 26 augusti 2019, i dess ändrade lydelse enligt 2 § i lag nr xx av den xx 2020, fastställs följande:</w:t>
      </w:r>
    </w:p>
    <w:p w14:paraId="4F2E914F" w14:textId="77777777" w:rsidR="0012504C" w:rsidRPr="00A72E73" w:rsidRDefault="0012504C" w:rsidP="00A72E73">
      <w:pPr>
        <w:keepNext/>
        <w:keepLines/>
        <w:autoSpaceDE w:val="0"/>
        <w:autoSpaceDN w:val="0"/>
        <w:adjustRightInd w:val="0"/>
        <w:spacing w:after="0" w:line="240" w:lineRule="auto"/>
      </w:pPr>
    </w:p>
    <w:p w14:paraId="48895BE4" w14:textId="77777777" w:rsidR="0012504C" w:rsidRPr="00A72E73" w:rsidRDefault="0012504C" w:rsidP="00A72E73">
      <w:pPr>
        <w:keepNext/>
        <w:keepLines/>
        <w:autoSpaceDE w:val="0"/>
        <w:autoSpaceDN w:val="0"/>
        <w:adjustRightInd w:val="0"/>
        <w:spacing w:after="0" w:line="240" w:lineRule="auto"/>
        <w:jc w:val="center"/>
      </w:pPr>
      <w:r>
        <w:t>Kapitel 1</w:t>
      </w:r>
    </w:p>
    <w:p w14:paraId="58970BA6" w14:textId="77777777" w:rsidR="0012504C" w:rsidRPr="00A72E73" w:rsidRDefault="0012504C" w:rsidP="00A72E73">
      <w:pPr>
        <w:keepNext/>
        <w:keepLines/>
        <w:autoSpaceDE w:val="0"/>
        <w:autoSpaceDN w:val="0"/>
        <w:adjustRightInd w:val="0"/>
        <w:spacing w:after="0" w:line="240" w:lineRule="auto"/>
        <w:jc w:val="center"/>
        <w:rPr>
          <w:i/>
        </w:rPr>
      </w:pPr>
      <w:r>
        <w:rPr>
          <w:i/>
        </w:rPr>
        <w:t>Definitioner</w:t>
      </w:r>
    </w:p>
    <w:p w14:paraId="35A6C6A2" w14:textId="77777777" w:rsidR="0012504C" w:rsidRPr="00A72E73" w:rsidRDefault="0012504C" w:rsidP="00A72E73">
      <w:pPr>
        <w:keepNext/>
        <w:keepLines/>
        <w:autoSpaceDE w:val="0"/>
        <w:autoSpaceDN w:val="0"/>
        <w:adjustRightInd w:val="0"/>
        <w:spacing w:after="0" w:line="240" w:lineRule="auto"/>
        <w:jc w:val="center"/>
        <w:rPr>
          <w:i/>
        </w:rPr>
      </w:pPr>
    </w:p>
    <w:p w14:paraId="5A1EFAD5" w14:textId="77777777" w:rsidR="0012504C" w:rsidRPr="00A72E73" w:rsidRDefault="0012504C" w:rsidP="00A72E73">
      <w:pPr>
        <w:keepNext/>
        <w:keepLines/>
        <w:autoSpaceDE w:val="0"/>
        <w:autoSpaceDN w:val="0"/>
        <w:adjustRightInd w:val="0"/>
        <w:spacing w:after="0" w:line="240" w:lineRule="auto"/>
      </w:pPr>
      <w:r>
        <w:rPr>
          <w:b/>
        </w:rPr>
        <w:t>1 §.</w:t>
      </w:r>
      <w:r>
        <w:t xml:space="preserve"> I denna förordning gäller följande definitioner:</w:t>
      </w:r>
    </w:p>
    <w:p w14:paraId="7189B03E" w14:textId="77777777" w:rsidR="0012504C" w:rsidRPr="00A72E73" w:rsidRDefault="0012504C" w:rsidP="0012504C">
      <w:pPr>
        <w:autoSpaceDE w:val="0"/>
        <w:autoSpaceDN w:val="0"/>
        <w:adjustRightInd w:val="0"/>
        <w:spacing w:after="0" w:line="240" w:lineRule="auto"/>
      </w:pPr>
      <w:r>
        <w:rPr>
          <w:i/>
          <w:iCs/>
        </w:rPr>
        <w:t>tobaksersättning</w:t>
      </w:r>
      <w:r>
        <w:t xml:space="preserve">: produkt med innehåll av nikotin, som inte är en tobaksvara, se punkt 2, eller en elektronisk cigarett, se 2 § punkt 1 i lagen om elektroniska cigaretter m.m., och som inte är godkänd genom ett godkännande för försäljning enligt lagen om läkemedel eller EU-rättsliga bestämmelser om fastställande av gemenskapsförfaranden för godkännande av humanläkemedel, samt utrustning som är avsedd att användas tillsammans med produkten. </w:t>
      </w:r>
    </w:p>
    <w:p w14:paraId="4A3B25D2" w14:textId="77777777" w:rsidR="0012504C" w:rsidRPr="00A72E73" w:rsidRDefault="0012504C" w:rsidP="0012504C">
      <w:pPr>
        <w:autoSpaceDE w:val="0"/>
        <w:autoSpaceDN w:val="0"/>
        <w:adjustRightInd w:val="0"/>
        <w:spacing w:after="0" w:line="240" w:lineRule="auto"/>
      </w:pPr>
    </w:p>
    <w:p w14:paraId="5A26C753" w14:textId="182ED6B4" w:rsidR="0012504C" w:rsidRPr="00A72E73" w:rsidRDefault="0012504C" w:rsidP="00A72E73">
      <w:pPr>
        <w:keepNext/>
        <w:keepLines/>
        <w:autoSpaceDE w:val="0"/>
        <w:autoSpaceDN w:val="0"/>
        <w:adjustRightInd w:val="0"/>
        <w:spacing w:after="0" w:line="240" w:lineRule="auto"/>
        <w:jc w:val="center"/>
      </w:pPr>
      <w:r>
        <w:t>Kapitel 2</w:t>
      </w:r>
    </w:p>
    <w:p w14:paraId="1CB9936C" w14:textId="53821C7B" w:rsidR="0012504C" w:rsidRPr="00A72E73" w:rsidRDefault="0012504C" w:rsidP="00A72E73">
      <w:pPr>
        <w:keepNext/>
        <w:keepLines/>
        <w:autoSpaceDE w:val="0"/>
        <w:autoSpaceDN w:val="0"/>
        <w:adjustRightInd w:val="0"/>
        <w:spacing w:after="0" w:line="240" w:lineRule="auto"/>
        <w:jc w:val="center"/>
        <w:rPr>
          <w:i/>
        </w:rPr>
      </w:pPr>
      <w:r>
        <w:rPr>
          <w:i/>
        </w:rPr>
        <w:t>Märkning av och förpackningar för tobaksersättning</w:t>
      </w:r>
    </w:p>
    <w:p w14:paraId="0BE7E177" w14:textId="6E1F2FEA" w:rsidR="00F05062" w:rsidRPr="00A72E73" w:rsidRDefault="00F05062" w:rsidP="00A72E73">
      <w:pPr>
        <w:keepNext/>
        <w:keepLines/>
        <w:autoSpaceDE w:val="0"/>
        <w:autoSpaceDN w:val="0"/>
        <w:adjustRightInd w:val="0"/>
        <w:spacing w:after="0" w:line="240" w:lineRule="auto"/>
        <w:rPr>
          <w:i/>
        </w:rPr>
      </w:pPr>
    </w:p>
    <w:p w14:paraId="287EC322" w14:textId="7BD695B3" w:rsidR="00F05062" w:rsidRPr="00A72E73" w:rsidRDefault="00F05062" w:rsidP="00A72E73">
      <w:pPr>
        <w:keepNext/>
        <w:keepLines/>
      </w:pPr>
      <w:r>
        <w:rPr>
          <w:b/>
        </w:rPr>
        <w:t>2 §.</w:t>
      </w:r>
      <w:r>
        <w:t xml:space="preserve"> Varje styckförpackning och eventuell ytterförpackning för tobaksersättning ska ha en förteckning över</w:t>
      </w:r>
    </w:p>
    <w:p w14:paraId="2210B590" w14:textId="77777777" w:rsidR="00F05062" w:rsidRPr="00A72E73" w:rsidRDefault="00F05062" w:rsidP="00F05062">
      <w:r>
        <w:t>1) alla ingredienser som ingår i produkten i fallande ordning efter vikt,</w:t>
      </w:r>
    </w:p>
    <w:p w14:paraId="7612105A" w14:textId="77777777" w:rsidR="00F05062" w:rsidRPr="00A72E73" w:rsidRDefault="00F05062" w:rsidP="00F05062">
      <w:r>
        <w:t>2) en angivelse av produktens nikotinhalt och mängden nikotin per dos, produktens satsnummer, och</w:t>
      </w:r>
    </w:p>
    <w:p w14:paraId="3D7E1AEB" w14:textId="35009571" w:rsidR="00F05062" w:rsidRPr="00A72E73" w:rsidRDefault="00F05062" w:rsidP="00F05062">
      <w:r>
        <w:t>3) en uppmaning om att produkten ska förvaras oåtkomligt för barn.</w:t>
      </w:r>
    </w:p>
    <w:p w14:paraId="165948AA" w14:textId="77777777" w:rsidR="0012504C" w:rsidRPr="00A72E73" w:rsidRDefault="0012504C" w:rsidP="0012504C">
      <w:pPr>
        <w:autoSpaceDE w:val="0"/>
        <w:autoSpaceDN w:val="0"/>
        <w:adjustRightInd w:val="0"/>
        <w:spacing w:after="0" w:line="240" w:lineRule="auto"/>
      </w:pPr>
    </w:p>
    <w:p w14:paraId="7A455E99" w14:textId="2686A306" w:rsidR="0012504C" w:rsidRPr="00A72E73" w:rsidRDefault="00F05062" w:rsidP="00A72E73">
      <w:pPr>
        <w:keepNext/>
        <w:keepLines/>
      </w:pPr>
      <w:r>
        <w:rPr>
          <w:b/>
        </w:rPr>
        <w:t>3 §.</w:t>
      </w:r>
      <w:r>
        <w:t xml:space="preserve"> Den som saluför en tobaksersättning i Danmark ska säkerställa att ingen styckförpackning eller eventuell ytterförpackning har detaljer eller kännetecken som</w:t>
      </w:r>
    </w:p>
    <w:p w14:paraId="524B004D" w14:textId="29B24D31" w:rsidR="0012504C" w:rsidRPr="00A72E73" w:rsidRDefault="0012504C" w:rsidP="0012504C">
      <w:r>
        <w:t>1) främjar en tobaksersättning, uppmuntrar till användning eller ger ett felaktigt intryck av produkternas egenskaper, verkningar, risker eller utsläpp,</w:t>
      </w:r>
    </w:p>
    <w:p w14:paraId="22577965" w14:textId="6CE77476" w:rsidR="0012504C" w:rsidRPr="00A72E73" w:rsidRDefault="0012504C" w:rsidP="0012504C">
      <w:r>
        <w:t>2) ger intryck av att en viss tobaksersättning är mindre skadlig än andra produkter,</w:t>
      </w:r>
    </w:p>
    <w:p w14:paraId="68899BB2" w14:textId="31BB1701" w:rsidR="0012504C" w:rsidRPr="00A72E73" w:rsidRDefault="00740AC2" w:rsidP="0012504C">
      <w:r>
        <w:t>3) ger intryck av att en viss tobaksersättning har vitaliserande, energigivande, läkande, föryngrande, naturliga eller ekologiska egenskaper eller andra positiva effekter eller andra positiva hälso- eller livsstilsfrämjande verkningar,</w:t>
      </w:r>
    </w:p>
    <w:p w14:paraId="29C7C5C8" w14:textId="716E623E" w:rsidR="0012504C" w:rsidRPr="00A72E73" w:rsidRDefault="00740AC2" w:rsidP="0012504C">
      <w:r>
        <w:t>4) får produkten att likna ett livsmedel eller en kosmetisk produkt, eller</w:t>
      </w:r>
    </w:p>
    <w:p w14:paraId="6FFB619F" w14:textId="32BBDF68" w:rsidR="0012504C" w:rsidRPr="00A72E73" w:rsidRDefault="00740AC2" w:rsidP="00A72E73">
      <w:pPr>
        <w:keepNext/>
        <w:keepLines/>
      </w:pPr>
      <w:r>
        <w:t>5) ger intryck av att en viss tobaksersättning har en förbättrad biologisk nedbrytbarhet eller andra miljömässiga fördelar.</w:t>
      </w:r>
    </w:p>
    <w:p w14:paraId="19DD0B0C" w14:textId="1083FEC2" w:rsidR="00331A1D" w:rsidRPr="00A72E73" w:rsidRDefault="00D40080" w:rsidP="00331A1D">
      <w:pPr>
        <w:spacing w:line="240" w:lineRule="auto"/>
      </w:pPr>
      <w:r>
        <w:rPr>
          <w:i/>
        </w:rPr>
        <w:t>Punkt 2.</w:t>
      </w:r>
      <w:r>
        <w:t xml:space="preserve"> De detaljer och kännetecken som är förbjudna enligt 3 § punkterna 1–5 omfattar, men är inte begränsade till, text, symboler, namn, varumärken, figurer eller andra tecken.</w:t>
      </w:r>
    </w:p>
    <w:p w14:paraId="74CF3E66" w14:textId="77777777" w:rsidR="003C37AA" w:rsidRPr="00A72E73" w:rsidRDefault="003C37AA" w:rsidP="0012504C">
      <w:pPr>
        <w:rPr>
          <w:b/>
        </w:rPr>
      </w:pPr>
    </w:p>
    <w:p w14:paraId="4FFD8F9E" w14:textId="28B78202" w:rsidR="0012504C" w:rsidRPr="00A72E73" w:rsidRDefault="00D40080" w:rsidP="0012504C">
      <w:r>
        <w:rPr>
          <w:b/>
        </w:rPr>
        <w:lastRenderedPageBreak/>
        <w:t>4 §.</w:t>
      </w:r>
      <w:r>
        <w:t xml:space="preserve"> Den som saluför tobaksersättning i Danmark ska säkerställa att varje styckförpackning och eventuell ytterförpackning inte innehåller eller på något annat sätt har anknytning till kuponger som erbjuder rabatter, gratis utdelning, två för en-erbjudanden eller andra säljfrämjande åtgärder.</w:t>
      </w:r>
    </w:p>
    <w:p w14:paraId="23035EFF" w14:textId="77777777" w:rsidR="00785D60" w:rsidRPr="00A72E73" w:rsidRDefault="00785D60" w:rsidP="0012504C"/>
    <w:p w14:paraId="638BEEE8" w14:textId="0E8BCDAE" w:rsidR="00434814" w:rsidRPr="00A72E73" w:rsidRDefault="003C37AA" w:rsidP="00A72E73">
      <w:pPr>
        <w:keepNext/>
        <w:keepLines/>
        <w:autoSpaceDE w:val="0"/>
        <w:autoSpaceDN w:val="0"/>
        <w:adjustRightInd w:val="0"/>
        <w:spacing w:after="0" w:line="240" w:lineRule="auto"/>
        <w:jc w:val="center"/>
      </w:pPr>
      <w:r>
        <w:t>Kapitel 3</w:t>
      </w:r>
    </w:p>
    <w:p w14:paraId="798B6CA3" w14:textId="499BDCDE" w:rsidR="003C37AA" w:rsidRPr="00A72E73" w:rsidRDefault="003C37AA" w:rsidP="00A72E73">
      <w:pPr>
        <w:keepNext/>
        <w:keepLines/>
        <w:autoSpaceDE w:val="0"/>
        <w:autoSpaceDN w:val="0"/>
        <w:adjustRightInd w:val="0"/>
        <w:spacing w:after="0" w:line="240" w:lineRule="auto"/>
        <w:jc w:val="center"/>
        <w:rPr>
          <w:i/>
        </w:rPr>
      </w:pPr>
      <w:r>
        <w:rPr>
          <w:i/>
        </w:rPr>
        <w:t>Hälsovarningar på tobaksersättning</w:t>
      </w:r>
    </w:p>
    <w:p w14:paraId="514D771F" w14:textId="7B7508B0" w:rsidR="003C37AA" w:rsidRPr="00A72E73" w:rsidRDefault="003C37AA" w:rsidP="00A72E73">
      <w:pPr>
        <w:keepNext/>
        <w:keepLines/>
        <w:autoSpaceDE w:val="0"/>
        <w:autoSpaceDN w:val="0"/>
        <w:adjustRightInd w:val="0"/>
        <w:spacing w:after="0" w:line="240" w:lineRule="auto"/>
        <w:rPr>
          <w:rFonts w:cstheme="minorHAnsi"/>
          <w:b/>
          <w:bCs/>
          <w:sz w:val="24"/>
          <w:szCs w:val="24"/>
        </w:rPr>
      </w:pPr>
    </w:p>
    <w:p w14:paraId="53DB322F" w14:textId="5582A752" w:rsidR="003C37AA" w:rsidRPr="00A72E73" w:rsidRDefault="003C37AA" w:rsidP="00A72E73">
      <w:pPr>
        <w:keepNext/>
        <w:keepLines/>
        <w:autoSpaceDE w:val="0"/>
        <w:autoSpaceDN w:val="0"/>
        <w:adjustRightInd w:val="0"/>
        <w:spacing w:after="0" w:line="240" w:lineRule="auto"/>
        <w:rPr>
          <w:rFonts w:cstheme="minorHAnsi"/>
          <w:b/>
          <w:bCs/>
          <w:sz w:val="24"/>
          <w:szCs w:val="24"/>
        </w:rPr>
      </w:pPr>
    </w:p>
    <w:p w14:paraId="704FBEE9" w14:textId="77777777" w:rsidR="00A72E73" w:rsidRDefault="009A4968" w:rsidP="00A72E73">
      <w:pPr>
        <w:keepNext/>
        <w:keepLines/>
        <w:autoSpaceDE w:val="0"/>
        <w:autoSpaceDN w:val="0"/>
        <w:adjustRightInd w:val="0"/>
        <w:spacing w:after="0" w:line="240" w:lineRule="auto"/>
        <w:rPr>
          <w:rFonts w:cstheme="minorHAnsi"/>
          <w:bCs/>
        </w:rPr>
      </w:pPr>
      <w:r>
        <w:rPr>
          <w:b/>
        </w:rPr>
        <w:t>5 §.</w:t>
      </w:r>
      <w:r>
        <w:t xml:space="preserve"> Varje styckförpackning och eventuell ytterförpackning för tobaksersättning ska ha följande hälsovarning på danska:</w:t>
      </w:r>
    </w:p>
    <w:p w14:paraId="2053651D" w14:textId="42812AB2" w:rsidR="009A4968" w:rsidRPr="00A72E73" w:rsidRDefault="009A4968" w:rsidP="00A72E73">
      <w:pPr>
        <w:keepNext/>
        <w:keepLines/>
        <w:autoSpaceDE w:val="0"/>
        <w:autoSpaceDN w:val="0"/>
        <w:adjustRightInd w:val="0"/>
        <w:spacing w:after="0" w:line="240" w:lineRule="auto"/>
        <w:rPr>
          <w:rFonts w:cstheme="minorHAnsi"/>
          <w:bCs/>
        </w:rPr>
      </w:pPr>
    </w:p>
    <w:p w14:paraId="3A5AD703" w14:textId="77777777" w:rsidR="009A4968" w:rsidRPr="00A72E73" w:rsidRDefault="009A4968" w:rsidP="009A4968">
      <w:pPr>
        <w:autoSpaceDE w:val="0"/>
        <w:autoSpaceDN w:val="0"/>
        <w:adjustRightInd w:val="0"/>
        <w:spacing w:after="0" w:line="240" w:lineRule="auto"/>
        <w:rPr>
          <w:rFonts w:cstheme="minorHAnsi"/>
          <w:bCs/>
        </w:rPr>
      </w:pPr>
      <w:r>
        <w:t>”Nikotin är ett mycket beroendeframkallande ämne”.</w:t>
      </w:r>
    </w:p>
    <w:p w14:paraId="4F080620" w14:textId="77777777" w:rsidR="009A4968" w:rsidRPr="00A72E73" w:rsidRDefault="009A4968" w:rsidP="009A4968">
      <w:pPr>
        <w:autoSpaceDE w:val="0"/>
        <w:autoSpaceDN w:val="0"/>
        <w:adjustRightInd w:val="0"/>
        <w:spacing w:after="0" w:line="240" w:lineRule="auto"/>
        <w:rPr>
          <w:rFonts w:cstheme="minorHAnsi"/>
          <w:bCs/>
        </w:rPr>
      </w:pPr>
    </w:p>
    <w:p w14:paraId="49F760E3" w14:textId="5599190C" w:rsidR="009A4968" w:rsidRPr="00A72E73" w:rsidRDefault="00E01704" w:rsidP="00A72E73">
      <w:pPr>
        <w:keepNext/>
        <w:keepLines/>
        <w:autoSpaceDE w:val="0"/>
        <w:autoSpaceDN w:val="0"/>
        <w:adjustRightInd w:val="0"/>
        <w:spacing w:after="0" w:line="240" w:lineRule="auto"/>
        <w:rPr>
          <w:rFonts w:cstheme="minorHAnsi"/>
          <w:bCs/>
        </w:rPr>
      </w:pPr>
      <w:r>
        <w:rPr>
          <w:b/>
        </w:rPr>
        <w:t>6 §.</w:t>
      </w:r>
      <w:r>
        <w:t xml:space="preserve"> Hälsovarningen på varje styckförpackning och eventuell ytterförpackning för tobaksersättning ska</w:t>
      </w:r>
    </w:p>
    <w:p w14:paraId="324CB34A"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r>
        <w:t>vara anbringad på de tre största ytorna på styckförpackningen respektive den eventuella ytterförpackningen,</w:t>
      </w:r>
    </w:p>
    <w:p w14:paraId="4386FB05" w14:textId="2CA4883D" w:rsidR="009A4968" w:rsidRPr="00A72E73" w:rsidRDefault="009A4968" w:rsidP="009A4968">
      <w:pPr>
        <w:numPr>
          <w:ilvl w:val="0"/>
          <w:numId w:val="1"/>
        </w:numPr>
        <w:autoSpaceDE w:val="0"/>
        <w:autoSpaceDN w:val="0"/>
        <w:adjustRightInd w:val="0"/>
        <w:spacing w:after="0" w:line="240" w:lineRule="auto"/>
        <w:rPr>
          <w:rFonts w:cstheme="minorHAnsi"/>
          <w:bCs/>
        </w:rPr>
      </w:pPr>
      <w:r>
        <w:t xml:space="preserve"> täcka 30 % av ytan på styckförpackningen och den eventuella ytterförpackningen, </w:t>
      </w:r>
    </w:p>
    <w:p w14:paraId="2C58C031" w14:textId="5C7C7E8C" w:rsidR="009A4968" w:rsidRPr="00A72E73" w:rsidRDefault="004532FC" w:rsidP="009A4968">
      <w:pPr>
        <w:numPr>
          <w:ilvl w:val="0"/>
          <w:numId w:val="1"/>
        </w:numPr>
        <w:autoSpaceDE w:val="0"/>
        <w:autoSpaceDN w:val="0"/>
        <w:adjustRightInd w:val="0"/>
        <w:spacing w:after="0" w:line="240" w:lineRule="auto"/>
        <w:rPr>
          <w:rFonts w:cstheme="minorHAnsi"/>
          <w:bCs/>
        </w:rPr>
      </w:pPr>
      <w:r>
        <w:t xml:space="preserve">ha en storlek som beräknats i förhållande till den avsedda ytan när förpackningen är stängd, </w:t>
      </w:r>
    </w:p>
    <w:p w14:paraId="63D1D551"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r>
        <w:t>vara tryckt i fet stil med teckensnittet Times New Roman i vitt på en bakgrund av färgen matt svart C0, M0, Y0 och K100,</w:t>
      </w:r>
    </w:p>
    <w:p w14:paraId="03F16324"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r>
        <w:t xml:space="preserve"> vara utformad med en textstorlek som täcker den största möjliga andelen av den yta som är avsedd för hälsovarningen när förpackningen är stängd,</w:t>
      </w:r>
    </w:p>
    <w:p w14:paraId="5E74FFF8" w14:textId="064546BF" w:rsidR="009A4968" w:rsidRPr="00A72E73" w:rsidRDefault="009A4968" w:rsidP="009A4968">
      <w:pPr>
        <w:numPr>
          <w:ilvl w:val="0"/>
          <w:numId w:val="1"/>
        </w:numPr>
        <w:autoSpaceDE w:val="0"/>
        <w:autoSpaceDN w:val="0"/>
        <w:adjustRightInd w:val="0"/>
        <w:spacing w:after="0" w:line="240" w:lineRule="auto"/>
        <w:rPr>
          <w:rFonts w:cstheme="minorHAnsi"/>
          <w:bCs/>
        </w:rPr>
      </w:pPr>
      <w:r>
        <w:t xml:space="preserve">placeras centralt på den yta som är avsedd för hälsovarningen, </w:t>
      </w:r>
    </w:p>
    <w:p w14:paraId="498CA728"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r>
        <w:t>på förpackningens ovan- och undersidastå i rak linje centrerad i mitten av den yta som den täcker,</w:t>
      </w:r>
    </w:p>
    <w:p w14:paraId="33F5901C"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r>
        <w:t xml:space="preserve">på lådformade förpackningar och eventuella ytterförpackningar placeras parallellt med sidokanten på styckförpackningen eller den eventuella ytterförpackningen, </w:t>
      </w:r>
    </w:p>
    <w:p w14:paraId="6EA64F32"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r>
        <w:t>täcka hela den yta på styckförpackningen eller den eventuella ytterförpackningen som är avsedd för hälsovarningen.</w:t>
      </w:r>
    </w:p>
    <w:p w14:paraId="3B82637C" w14:textId="77777777" w:rsidR="00E01704" w:rsidRPr="00A72E73" w:rsidRDefault="00E01704" w:rsidP="009A4968">
      <w:pPr>
        <w:autoSpaceDE w:val="0"/>
        <w:autoSpaceDN w:val="0"/>
        <w:adjustRightInd w:val="0"/>
        <w:spacing w:after="0" w:line="240" w:lineRule="auto"/>
        <w:rPr>
          <w:rFonts w:cstheme="minorHAnsi"/>
          <w:bCs/>
          <w:i/>
        </w:rPr>
      </w:pPr>
    </w:p>
    <w:p w14:paraId="14954701" w14:textId="6D62B799" w:rsidR="009A4968" w:rsidRPr="00A72E73" w:rsidRDefault="00E01704" w:rsidP="009A4968">
      <w:pPr>
        <w:autoSpaceDE w:val="0"/>
        <w:autoSpaceDN w:val="0"/>
        <w:adjustRightInd w:val="0"/>
        <w:spacing w:after="0" w:line="240" w:lineRule="auto"/>
        <w:rPr>
          <w:rFonts w:cstheme="minorHAnsi"/>
          <w:bCs/>
        </w:rPr>
      </w:pPr>
      <w:r>
        <w:rPr>
          <w:b/>
        </w:rPr>
        <w:t>7 §.</w:t>
      </w:r>
      <w:r>
        <w:t xml:space="preserve"> Varje hälsovarning på en styckförpackning och en eventuell ytterförpackning ska vara tryckt eller fäst på ett sådant sätt att den inte kan tas bort eller raderas och så att den är fullt synlig, vilket innebär att texten inte helt eller delvis får täckas eller avbrytas av prislappar, förpackningsmaterial, omslag, askar eller lådor eller andraandra föremål vid saluföringen av tobaksersättningen. </w:t>
      </w:r>
    </w:p>
    <w:p w14:paraId="6C05DA92" w14:textId="6B6D5966" w:rsidR="00E01704" w:rsidRPr="00A72E73" w:rsidRDefault="00E01704" w:rsidP="009A4968">
      <w:pPr>
        <w:autoSpaceDE w:val="0"/>
        <w:autoSpaceDN w:val="0"/>
        <w:adjustRightInd w:val="0"/>
        <w:spacing w:after="0" w:line="240" w:lineRule="auto"/>
        <w:rPr>
          <w:rFonts w:cstheme="minorHAnsi"/>
          <w:bCs/>
        </w:rPr>
      </w:pPr>
    </w:p>
    <w:p w14:paraId="2FE40FD0" w14:textId="7F2A6B67" w:rsidR="009A4968" w:rsidRPr="00A72E73" w:rsidRDefault="009A4968" w:rsidP="009A4968">
      <w:pPr>
        <w:autoSpaceDE w:val="0"/>
        <w:autoSpaceDN w:val="0"/>
        <w:adjustRightInd w:val="0"/>
        <w:spacing w:after="0" w:line="240" w:lineRule="auto"/>
        <w:rPr>
          <w:rFonts w:cstheme="minorHAnsi"/>
          <w:bCs/>
        </w:rPr>
      </w:pPr>
      <w:r>
        <w:rPr>
          <w:b/>
        </w:rPr>
        <w:t>8 §.</w:t>
      </w:r>
      <w:r>
        <w:t xml:space="preserve"> Hälsovarningen får inte kommenteras, omformuleras eller omfattas av hänvisningar av något slag på styckförpackningen eller den eventuella ytterförpackningen.</w:t>
      </w:r>
    </w:p>
    <w:p w14:paraId="25F3795B" w14:textId="77777777" w:rsidR="00E01704" w:rsidRPr="00A72E73" w:rsidRDefault="00E01704" w:rsidP="009A4968">
      <w:pPr>
        <w:autoSpaceDE w:val="0"/>
        <w:autoSpaceDN w:val="0"/>
        <w:adjustRightInd w:val="0"/>
        <w:spacing w:after="0" w:line="240" w:lineRule="auto"/>
        <w:rPr>
          <w:rFonts w:cstheme="minorHAnsi"/>
          <w:bCs/>
        </w:rPr>
      </w:pPr>
    </w:p>
    <w:p w14:paraId="5B3F60DF" w14:textId="2C1A71AE" w:rsidR="009A4968" w:rsidRPr="00A72E73" w:rsidRDefault="00BE221B" w:rsidP="009A4968">
      <w:pPr>
        <w:autoSpaceDE w:val="0"/>
        <w:autoSpaceDN w:val="0"/>
        <w:adjustRightInd w:val="0"/>
        <w:spacing w:after="0" w:line="240" w:lineRule="auto"/>
        <w:rPr>
          <w:rFonts w:cstheme="minorHAnsi"/>
          <w:bCs/>
        </w:rPr>
      </w:pPr>
      <w:r>
        <w:rPr>
          <w:b/>
        </w:rPr>
        <w:t>9 §.</w:t>
      </w:r>
      <w:r>
        <w:t xml:space="preserve"> Varje hälsovarning ska vara intakt efter att styckförpackningen har öppnats.</w:t>
      </w:r>
    </w:p>
    <w:p w14:paraId="24580674" w14:textId="77777777" w:rsidR="00E01704" w:rsidRPr="00A72E73" w:rsidRDefault="00E01704" w:rsidP="009A4968">
      <w:pPr>
        <w:autoSpaceDE w:val="0"/>
        <w:autoSpaceDN w:val="0"/>
        <w:adjustRightInd w:val="0"/>
        <w:spacing w:after="0" w:line="240" w:lineRule="auto"/>
        <w:rPr>
          <w:rFonts w:cstheme="minorHAnsi"/>
          <w:bCs/>
        </w:rPr>
      </w:pPr>
    </w:p>
    <w:p w14:paraId="297441B3" w14:textId="0D87FA47" w:rsidR="009A4968" w:rsidRPr="00A72E73" w:rsidRDefault="00BE221B" w:rsidP="009A4968">
      <w:pPr>
        <w:autoSpaceDE w:val="0"/>
        <w:autoSpaceDN w:val="0"/>
        <w:adjustRightInd w:val="0"/>
        <w:spacing w:after="0" w:line="240" w:lineRule="auto"/>
        <w:rPr>
          <w:rFonts w:cstheme="minorHAnsi"/>
          <w:bCs/>
        </w:rPr>
      </w:pPr>
      <w:r>
        <w:rPr>
          <w:b/>
        </w:rPr>
        <w:t>10 §.</w:t>
      </w:r>
      <w:r>
        <w:t xml:space="preserve"> Bilder av styckförpackningar och eventuella ytterförpackningar som vänder sig till konsumenter ska uppfylla bestämmelserna i detta kapitel.</w:t>
      </w:r>
    </w:p>
    <w:p w14:paraId="618D52EA" w14:textId="0AF10FE4" w:rsidR="003C37AA" w:rsidRPr="00A72E73" w:rsidRDefault="003C37AA" w:rsidP="00434814">
      <w:pPr>
        <w:autoSpaceDE w:val="0"/>
        <w:autoSpaceDN w:val="0"/>
        <w:adjustRightInd w:val="0"/>
        <w:spacing w:after="0" w:line="240" w:lineRule="auto"/>
        <w:rPr>
          <w:rFonts w:cstheme="minorHAnsi"/>
          <w:b/>
          <w:bCs/>
        </w:rPr>
      </w:pPr>
    </w:p>
    <w:p w14:paraId="0A59274E" w14:textId="74B9B7C0" w:rsidR="00434814" w:rsidRPr="00A72E73" w:rsidRDefault="00434814" w:rsidP="00A72E73">
      <w:pPr>
        <w:keepNext/>
        <w:keepLines/>
        <w:autoSpaceDE w:val="0"/>
        <w:autoSpaceDN w:val="0"/>
        <w:adjustRightInd w:val="0"/>
        <w:spacing w:after="0" w:line="240" w:lineRule="auto"/>
        <w:rPr>
          <w:rFonts w:eastAsia="TimesNewRomanPSMT" w:cstheme="minorHAnsi"/>
        </w:rPr>
      </w:pPr>
      <w:r>
        <w:rPr>
          <w:b/>
        </w:rPr>
        <w:t xml:space="preserve">11 §. </w:t>
      </w:r>
      <w:r>
        <w:t>Om inte högre straff utdöms enligt andra lagar ska den som bryter mot bestämmelserna i 2–10 § straffas med böter.</w:t>
      </w:r>
    </w:p>
    <w:p w14:paraId="51616F52" w14:textId="77777777" w:rsidR="00495C27" w:rsidRPr="00A72E73" w:rsidRDefault="00495C27" w:rsidP="00A72E73">
      <w:pPr>
        <w:keepNext/>
        <w:keepLines/>
        <w:autoSpaceDE w:val="0"/>
        <w:autoSpaceDN w:val="0"/>
        <w:adjustRightInd w:val="0"/>
        <w:spacing w:after="0" w:line="240" w:lineRule="auto"/>
        <w:rPr>
          <w:rFonts w:cstheme="minorHAnsi"/>
          <w:i/>
          <w:iCs/>
        </w:rPr>
      </w:pPr>
    </w:p>
    <w:p w14:paraId="194599D4" w14:textId="178B2D9C" w:rsidR="00434814" w:rsidRPr="00A72E73" w:rsidRDefault="00434814" w:rsidP="00434814">
      <w:pPr>
        <w:autoSpaceDE w:val="0"/>
        <w:autoSpaceDN w:val="0"/>
        <w:adjustRightInd w:val="0"/>
        <w:spacing w:after="0" w:line="240" w:lineRule="auto"/>
        <w:rPr>
          <w:rFonts w:eastAsia="TimesNewRomanPSMT" w:cstheme="minorHAnsi"/>
        </w:rPr>
      </w:pPr>
      <w:r>
        <w:rPr>
          <w:i/>
        </w:rPr>
        <w:t xml:space="preserve">Punkt 2. </w:t>
      </w:r>
      <w:r>
        <w:t>Straffrättsligt ansvar kan åläggas företag m.m. (juridiska personer) enligt reglerna i kapitel 5 i strafflagen.</w:t>
      </w:r>
    </w:p>
    <w:p w14:paraId="7E5A13B1" w14:textId="60B25A52" w:rsidR="00740AC2" w:rsidRPr="00A72E73" w:rsidRDefault="00740AC2" w:rsidP="00434814">
      <w:pPr>
        <w:autoSpaceDE w:val="0"/>
        <w:autoSpaceDN w:val="0"/>
        <w:adjustRightInd w:val="0"/>
        <w:spacing w:after="0" w:line="240" w:lineRule="auto"/>
        <w:rPr>
          <w:rFonts w:eastAsia="TimesNewRomanPSMT" w:cstheme="minorHAnsi"/>
        </w:rPr>
      </w:pPr>
    </w:p>
    <w:p w14:paraId="353FE0B8" w14:textId="63046261" w:rsidR="00740AC2" w:rsidRPr="00A72E73" w:rsidRDefault="00740AC2" w:rsidP="00A72E73">
      <w:pPr>
        <w:keepNext/>
        <w:keepLines/>
        <w:autoSpaceDE w:val="0"/>
        <w:autoSpaceDN w:val="0"/>
        <w:adjustRightInd w:val="0"/>
        <w:spacing w:after="0" w:line="240" w:lineRule="auto"/>
        <w:jc w:val="center"/>
        <w:rPr>
          <w:rFonts w:eastAsia="TimesNewRomanPSMT" w:cstheme="minorHAnsi"/>
        </w:rPr>
      </w:pPr>
      <w:r>
        <w:lastRenderedPageBreak/>
        <w:t>Kapitel 4</w:t>
      </w:r>
    </w:p>
    <w:p w14:paraId="3A3F0120" w14:textId="670DEB24" w:rsidR="00740AC2" w:rsidRPr="00A72E73" w:rsidRDefault="00740AC2" w:rsidP="00A72E73">
      <w:pPr>
        <w:keepNext/>
        <w:keepLines/>
        <w:autoSpaceDE w:val="0"/>
        <w:autoSpaceDN w:val="0"/>
        <w:adjustRightInd w:val="0"/>
        <w:spacing w:after="0" w:line="240" w:lineRule="auto"/>
        <w:jc w:val="center"/>
        <w:rPr>
          <w:rFonts w:eastAsia="TimesNewRomanPSMT" w:cstheme="minorHAnsi"/>
          <w:i/>
        </w:rPr>
      </w:pPr>
      <w:r>
        <w:rPr>
          <w:i/>
        </w:rPr>
        <w:t>Ikraftträdande</w:t>
      </w:r>
    </w:p>
    <w:p w14:paraId="4EEF41D4" w14:textId="77777777" w:rsidR="00434814" w:rsidRPr="00A72E73" w:rsidRDefault="00434814" w:rsidP="00A72E73">
      <w:pPr>
        <w:keepNext/>
        <w:keepLines/>
        <w:autoSpaceDE w:val="0"/>
        <w:autoSpaceDN w:val="0"/>
        <w:adjustRightInd w:val="0"/>
        <w:spacing w:after="0" w:line="240" w:lineRule="auto"/>
        <w:rPr>
          <w:rFonts w:cstheme="minorHAnsi"/>
          <w:b/>
          <w:bCs/>
        </w:rPr>
      </w:pPr>
    </w:p>
    <w:p w14:paraId="4BBD36AF" w14:textId="2DBA7DEA" w:rsidR="00434814" w:rsidRPr="00A72E73" w:rsidRDefault="00434814" w:rsidP="00434814">
      <w:pPr>
        <w:autoSpaceDE w:val="0"/>
        <w:autoSpaceDN w:val="0"/>
        <w:adjustRightInd w:val="0"/>
        <w:spacing w:after="0" w:line="240" w:lineRule="auto"/>
        <w:rPr>
          <w:rFonts w:eastAsia="TimesNewRomanPSMT" w:cstheme="minorHAnsi"/>
        </w:rPr>
      </w:pPr>
      <w:r>
        <w:rPr>
          <w:b/>
        </w:rPr>
        <w:t xml:space="preserve">12 §. </w:t>
      </w:r>
      <w:r>
        <w:t>Förordningen träder i kraft den 1 april 2021.</w:t>
      </w:r>
    </w:p>
    <w:p w14:paraId="2CA921EE" w14:textId="6F876B91" w:rsidR="00740AC2" w:rsidRPr="00A72E73" w:rsidRDefault="00740AC2" w:rsidP="00434814">
      <w:pPr>
        <w:autoSpaceDE w:val="0"/>
        <w:autoSpaceDN w:val="0"/>
        <w:adjustRightInd w:val="0"/>
        <w:spacing w:after="0" w:line="240" w:lineRule="auto"/>
        <w:rPr>
          <w:rFonts w:eastAsia="TimesNewRomanPSMT" w:cstheme="minorHAnsi"/>
        </w:rPr>
      </w:pPr>
    </w:p>
    <w:p w14:paraId="7F5DF709" w14:textId="21295FC2" w:rsidR="00740AC2" w:rsidRPr="00A72E73" w:rsidRDefault="00740AC2" w:rsidP="00740AC2">
      <w:pPr>
        <w:autoSpaceDE w:val="0"/>
        <w:autoSpaceDN w:val="0"/>
        <w:adjustRightInd w:val="0"/>
        <w:spacing w:after="0" w:line="240" w:lineRule="auto"/>
        <w:jc w:val="center"/>
        <w:rPr>
          <w:rFonts w:cstheme="minorHAnsi"/>
          <w:i/>
          <w:iCs/>
          <w:sz w:val="24"/>
          <w:szCs w:val="24"/>
        </w:rPr>
      </w:pPr>
      <w:r>
        <w:rPr>
          <w:i/>
          <w:sz w:val="24"/>
        </w:rPr>
        <w:t>Hälso- och äldreministeriet, den</w:t>
      </w:r>
    </w:p>
    <w:p w14:paraId="4B4B486D" w14:textId="703998BC" w:rsidR="00740AC2" w:rsidRPr="00A72E73" w:rsidRDefault="00740AC2" w:rsidP="00740AC2">
      <w:pPr>
        <w:autoSpaceDE w:val="0"/>
        <w:autoSpaceDN w:val="0"/>
        <w:adjustRightInd w:val="0"/>
        <w:spacing w:after="0" w:line="240" w:lineRule="auto"/>
        <w:jc w:val="center"/>
        <w:rPr>
          <w:rFonts w:cstheme="minorHAnsi"/>
          <w:i/>
          <w:iCs/>
          <w:sz w:val="24"/>
          <w:szCs w:val="24"/>
        </w:rPr>
      </w:pPr>
    </w:p>
    <w:p w14:paraId="6CA56193" w14:textId="77777777" w:rsidR="00740AC2" w:rsidRPr="00A72E73" w:rsidRDefault="00740AC2" w:rsidP="00740AC2">
      <w:pPr>
        <w:autoSpaceDE w:val="0"/>
        <w:autoSpaceDN w:val="0"/>
        <w:adjustRightInd w:val="0"/>
        <w:spacing w:after="0" w:line="240" w:lineRule="auto"/>
        <w:jc w:val="center"/>
        <w:rPr>
          <w:rFonts w:cstheme="minorHAnsi"/>
          <w:i/>
          <w:iCs/>
          <w:sz w:val="24"/>
          <w:szCs w:val="24"/>
        </w:rPr>
      </w:pPr>
    </w:p>
    <w:p w14:paraId="19AA16F3" w14:textId="77777777" w:rsidR="00740AC2" w:rsidRPr="00A72E73" w:rsidRDefault="00740AC2" w:rsidP="00740AC2">
      <w:pPr>
        <w:autoSpaceDE w:val="0"/>
        <w:autoSpaceDN w:val="0"/>
        <w:adjustRightInd w:val="0"/>
        <w:spacing w:after="0" w:line="240" w:lineRule="auto"/>
        <w:jc w:val="center"/>
        <w:rPr>
          <w:rFonts w:eastAsia="TimesNewRomanPSMT" w:cstheme="minorHAnsi"/>
          <w:sz w:val="24"/>
          <w:szCs w:val="24"/>
        </w:rPr>
      </w:pPr>
      <w:r>
        <w:rPr>
          <w:sz w:val="24"/>
        </w:rPr>
        <w:t>Magnus Heunicke</w:t>
      </w:r>
    </w:p>
    <w:p w14:paraId="2D3F2652" w14:textId="7340358A" w:rsidR="00740AC2" w:rsidRPr="00A72E73" w:rsidRDefault="00003C87" w:rsidP="00740AC2">
      <w:pPr>
        <w:autoSpaceDE w:val="0"/>
        <w:autoSpaceDN w:val="0"/>
        <w:adjustRightInd w:val="0"/>
        <w:spacing w:after="0" w:line="240" w:lineRule="auto"/>
        <w:ind w:left="2608" w:firstLine="1304"/>
        <w:jc w:val="center"/>
        <w:rPr>
          <w:rFonts w:eastAsia="TimesNewRomanPSMT" w:cstheme="minorHAnsi"/>
          <w:sz w:val="24"/>
          <w:szCs w:val="24"/>
        </w:rPr>
      </w:pPr>
      <w:r>
        <w:rPr>
          <w:sz w:val="24"/>
        </w:rPr>
        <w:t xml:space="preserve">                         / Maria Ramskov Larsen</w:t>
      </w:r>
    </w:p>
    <w:p w14:paraId="36EC1338" w14:textId="77777777" w:rsidR="00740AC2" w:rsidRPr="00A72E73" w:rsidRDefault="00740AC2" w:rsidP="00740AC2">
      <w:pPr>
        <w:autoSpaceDE w:val="0"/>
        <w:autoSpaceDN w:val="0"/>
        <w:adjustRightInd w:val="0"/>
        <w:spacing w:after="0" w:line="240" w:lineRule="auto"/>
        <w:jc w:val="center"/>
        <w:rPr>
          <w:rFonts w:cstheme="minorHAnsi"/>
          <w:i/>
          <w:iCs/>
          <w:sz w:val="24"/>
          <w:szCs w:val="24"/>
        </w:rPr>
      </w:pPr>
    </w:p>
    <w:p w14:paraId="52DB0F4D" w14:textId="77777777" w:rsidR="00740AC2" w:rsidRPr="00A72E73" w:rsidRDefault="00740AC2" w:rsidP="00740AC2">
      <w:pPr>
        <w:autoSpaceDE w:val="0"/>
        <w:autoSpaceDN w:val="0"/>
        <w:adjustRightInd w:val="0"/>
        <w:spacing w:after="0" w:line="240" w:lineRule="auto"/>
        <w:jc w:val="center"/>
        <w:rPr>
          <w:rFonts w:eastAsia="TimesNewRomanPSMT" w:cstheme="minorHAnsi"/>
          <w:sz w:val="24"/>
          <w:szCs w:val="24"/>
        </w:rPr>
      </w:pPr>
    </w:p>
    <w:p w14:paraId="39369E26" w14:textId="77777777" w:rsidR="00740AC2" w:rsidRPr="00A72E73" w:rsidRDefault="00740AC2" w:rsidP="00434814">
      <w:pPr>
        <w:autoSpaceDE w:val="0"/>
        <w:autoSpaceDN w:val="0"/>
        <w:adjustRightInd w:val="0"/>
        <w:spacing w:after="0" w:line="240" w:lineRule="auto"/>
        <w:rPr>
          <w:rFonts w:eastAsia="TimesNewRomanPSMT" w:cstheme="minorHAnsi"/>
        </w:rPr>
      </w:pPr>
    </w:p>
    <w:p w14:paraId="66601333" w14:textId="4D3A75FC" w:rsidR="00331A1D" w:rsidRPr="00A72E73" w:rsidRDefault="00331A1D"/>
    <w:sectPr w:rsidR="00331A1D" w:rsidRPr="00A72E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D4"/>
    <w:rsid w:val="00003C87"/>
    <w:rsid w:val="0000570D"/>
    <w:rsid w:val="000547A9"/>
    <w:rsid w:val="00087FD4"/>
    <w:rsid w:val="000A5E7B"/>
    <w:rsid w:val="000B1E6A"/>
    <w:rsid w:val="000F3141"/>
    <w:rsid w:val="0012504C"/>
    <w:rsid w:val="00192D3E"/>
    <w:rsid w:val="00236A31"/>
    <w:rsid w:val="00331A1D"/>
    <w:rsid w:val="00364A9B"/>
    <w:rsid w:val="003C37AA"/>
    <w:rsid w:val="003C64E4"/>
    <w:rsid w:val="00434814"/>
    <w:rsid w:val="004532FC"/>
    <w:rsid w:val="00495C27"/>
    <w:rsid w:val="004D26F8"/>
    <w:rsid w:val="00591F48"/>
    <w:rsid w:val="005B2182"/>
    <w:rsid w:val="00740AC2"/>
    <w:rsid w:val="00785D60"/>
    <w:rsid w:val="007A5B3A"/>
    <w:rsid w:val="007D2012"/>
    <w:rsid w:val="007E0DEC"/>
    <w:rsid w:val="007F4BDB"/>
    <w:rsid w:val="00805FF7"/>
    <w:rsid w:val="00816D7D"/>
    <w:rsid w:val="0085310F"/>
    <w:rsid w:val="008828FE"/>
    <w:rsid w:val="008B2B6B"/>
    <w:rsid w:val="009533B0"/>
    <w:rsid w:val="009547ED"/>
    <w:rsid w:val="009A4968"/>
    <w:rsid w:val="00A72E73"/>
    <w:rsid w:val="00AA06FB"/>
    <w:rsid w:val="00AC2A5B"/>
    <w:rsid w:val="00AC326A"/>
    <w:rsid w:val="00B84C89"/>
    <w:rsid w:val="00BE221B"/>
    <w:rsid w:val="00C92FB3"/>
    <w:rsid w:val="00CB64F7"/>
    <w:rsid w:val="00D05050"/>
    <w:rsid w:val="00D1471C"/>
    <w:rsid w:val="00D233C6"/>
    <w:rsid w:val="00D251C7"/>
    <w:rsid w:val="00D40080"/>
    <w:rsid w:val="00DA2219"/>
    <w:rsid w:val="00E01704"/>
    <w:rsid w:val="00E26DB4"/>
    <w:rsid w:val="00E32D44"/>
    <w:rsid w:val="00E435A7"/>
    <w:rsid w:val="00EB43B1"/>
    <w:rsid w:val="00F05062"/>
    <w:rsid w:val="00F143F5"/>
    <w:rsid w:val="00F66BA1"/>
    <w:rsid w:val="00FD2E43"/>
    <w:rsid w:val="00FD4F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37FC"/>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2FB3"/>
    <w:rPr>
      <w:sz w:val="16"/>
      <w:szCs w:val="16"/>
    </w:rPr>
  </w:style>
  <w:style w:type="paragraph" w:styleId="CommentText">
    <w:name w:val="annotation text"/>
    <w:basedOn w:val="Normal"/>
    <w:link w:val="CommentTextChar"/>
    <w:uiPriority w:val="99"/>
    <w:semiHidden/>
    <w:unhideWhenUsed/>
    <w:rsid w:val="00C92FB3"/>
    <w:pPr>
      <w:numPr>
        <w:numId w:val="4"/>
      </w:numPr>
      <w:spacing w:line="240" w:lineRule="auto"/>
    </w:pPr>
    <w:rPr>
      <w:sz w:val="20"/>
      <w:szCs w:val="20"/>
    </w:rPr>
  </w:style>
  <w:style w:type="character" w:customStyle="1" w:styleId="CommentTextChar">
    <w:name w:val="Comment Text Char"/>
    <w:basedOn w:val="DefaultParagraphFont"/>
    <w:link w:val="CommentText"/>
    <w:uiPriority w:val="99"/>
    <w:semiHidden/>
    <w:rsid w:val="00C92FB3"/>
    <w:rPr>
      <w:sz w:val="20"/>
      <w:szCs w:val="20"/>
    </w:rPr>
  </w:style>
  <w:style w:type="paragraph" w:styleId="CommentSubject">
    <w:name w:val="annotation subject"/>
    <w:basedOn w:val="CommentText"/>
    <w:next w:val="CommentText"/>
    <w:link w:val="CommentSubjectChar"/>
    <w:uiPriority w:val="99"/>
    <w:semiHidden/>
    <w:unhideWhenUsed/>
    <w:rsid w:val="00C92FB3"/>
    <w:pPr>
      <w:numPr>
        <w:numId w:val="0"/>
      </w:numPr>
    </w:pPr>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EAEXP2DD475P-1149199250-4790945</_dlc_DocId>
    <_dlc_DocIdUrl xmlns="8f557624-d6a7-40e5-a06f-ebe44359847b">
      <Url>https://erstdk.sharepoint.com/teams/share/_layouts/15/DocIdRedir.aspx?ID=EAEXP2DD475P-1149199250-4790945</Url>
      <Description>EAEXP2DD475P-1149199250-4790945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01F27-9DC0-4177-8D53-49BCCC27C234}">
  <ds:schemaRefs>
    <ds:schemaRef ds:uri="http://schemas.openxmlformats.org/officeDocument/2006/bibliography"/>
  </ds:schemaRefs>
</ds:datastoreItem>
</file>

<file path=customXml/itemProps2.xml><?xml version="1.0" encoding="utf-8"?>
<ds:datastoreItem xmlns:ds="http://schemas.openxmlformats.org/officeDocument/2006/customXml" ds:itemID="{677B4EF5-82C0-4EB2-818E-95039FE2369C}">
  <ds:schemaRefs>
    <ds:schemaRef ds:uri="http://schemas.microsoft.com/office/2006/metadata/properties"/>
    <ds:schemaRef ds:uri="http://schemas.microsoft.com/office/infopath/2007/PartnerControls"/>
    <ds:schemaRef ds:uri="8f557624-d6a7-40e5-a06f-ebe44359847b"/>
  </ds:schemaRefs>
</ds:datastoreItem>
</file>

<file path=customXml/itemProps3.xml><?xml version="1.0" encoding="utf-8"?>
<ds:datastoreItem xmlns:ds="http://schemas.openxmlformats.org/officeDocument/2006/customXml" ds:itemID="{88AA0D91-4B81-4360-9DF8-EBC66FAF6A1C}">
  <ds:schemaRefs>
    <ds:schemaRef ds:uri="http://schemas.microsoft.com/sharepoint/v3/contenttype/forms"/>
  </ds:schemaRefs>
</ds:datastoreItem>
</file>

<file path=customXml/itemProps4.xml><?xml version="1.0" encoding="utf-8"?>
<ds:datastoreItem xmlns:ds="http://schemas.openxmlformats.org/officeDocument/2006/customXml" ds:itemID="{0DB3A23C-E2CA-428E-A5FB-8C3327ECE763}">
  <ds:schemaRefs>
    <ds:schemaRef ds:uri="http://schemas.microsoft.com/sharepoint/events"/>
  </ds:schemaRefs>
</ds:datastoreItem>
</file>

<file path=customXml/itemProps5.xml><?xml version="1.0" encoding="utf-8"?>
<ds:datastoreItem xmlns:ds="http://schemas.openxmlformats.org/officeDocument/2006/customXml" ds:itemID="{92D8F9CC-29DD-4B97-BE66-E00CE8A17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763</Words>
  <Characters>4352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Ramskov Larsen</dc:creator>
  <cp:keywords/>
  <dc:description/>
  <cp:lastModifiedBy>Diana STOICA</cp:lastModifiedBy>
  <cp:revision>4</cp:revision>
  <dcterms:created xsi:type="dcterms:W3CDTF">2020-09-30T09:50:00Z</dcterms:created>
  <dcterms:modified xsi:type="dcterms:W3CDTF">2020-10-07T12:36:00Z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23c533e6-05db-4fac-b09f-b0f9ef0ad830</vt:lpwstr>
  </property>
</Properties>
</file>