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2021 m. kovo 18 d. Nr.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Įsakymas dėl tabako pakaitalų ženklinimo etiketėmis ir įspėjimų apie pavojų sveikatai</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Remiantis Įstatymo dėl tabako gaminių ir pan. 19 a straipsnio 2 dalimi, 22 c straipsniu ir 45 straipsnio 2 dalimi (žr. 2019 m. rugpjūčio 26 d. Įsakymą Nr. 965 su pakeitimais, padarytais 2020 m. gruodžio 21 d. Įstatymu Nr. 2071) nustatoma tai, kas nurodyta toliau.</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1 dalis</w:t>
      </w:r>
    </w:p>
    <w:p w14:paraId="5AC70E84" w14:textId="77777777" w:rsidR="0012504C" w:rsidRPr="0000570D" w:rsidRDefault="0012504C" w:rsidP="0012504C">
      <w:pPr>
        <w:autoSpaceDE w:val="0"/>
        <w:autoSpaceDN w:val="0"/>
        <w:adjustRightInd w:val="0"/>
        <w:spacing w:after="0" w:line="240" w:lineRule="auto"/>
        <w:jc w:val="center"/>
        <w:rPr>
          <w:i/>
        </w:rPr>
      </w:pPr>
      <w:r>
        <w:rPr>
          <w:i/>
        </w:rPr>
        <w:t>Apibrėžtys</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1 straipsnis.</w:t>
      </w:r>
      <w:r>
        <w:t xml:space="preserve"> Šiame įsakyme: </w:t>
      </w:r>
      <w:r>
        <w:br/>
        <w:t xml:space="preserve">tabako pakaitalas – produktas, kuriame yra nikotino, tačiau kuris nėra tabako gaminys (žr. 2 dalį) arba elektroninė cigaretė (žr. Įstatymo dėl elektroninių cigarečių ir pan. 2 straipsnio 1 dalį) ir kuris nėra patvirtintas leidimu prekiauti pagal Įstatymą dėl vaistų arba ES teisėkūros procedūra priimtais reglamentais, kuriais nustatomos bendros žmonėms skirtų vaistų ir įrangos, skirtos naudoti kartu su šiuo produktu, patvirtinimo procedūros.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2 dalis</w:t>
      </w:r>
    </w:p>
    <w:p w14:paraId="41B96C41" w14:textId="0A86CFCD" w:rsidR="0012504C" w:rsidRDefault="0012504C" w:rsidP="0012504C">
      <w:pPr>
        <w:autoSpaceDE w:val="0"/>
        <w:autoSpaceDN w:val="0"/>
        <w:adjustRightInd w:val="0"/>
        <w:spacing w:after="0" w:line="240" w:lineRule="auto"/>
        <w:jc w:val="center"/>
        <w:rPr>
          <w:i/>
        </w:rPr>
      </w:pPr>
      <w:r>
        <w:rPr>
          <w:i/>
        </w:rPr>
        <w:t xml:space="preserve">Ženklinimas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2 straipsnis.</w:t>
      </w:r>
      <w:r>
        <w:t xml:space="preserve"> Ant kiekvieno tabako pakaitalų atskiro pakelio ir visų išorinių pakuočių turi būti pateiktas sąrašas, kuriame nurodytos:</w:t>
      </w:r>
    </w:p>
    <w:p w14:paraId="2577DC3B" w14:textId="6492A0FC" w:rsidR="00F05062" w:rsidRPr="00F05062" w:rsidRDefault="00F05062" w:rsidP="00786C89">
      <w:pPr>
        <w:spacing w:after="0" w:line="240" w:lineRule="auto"/>
      </w:pPr>
      <w:r>
        <w:t>1) visos produkto sudedamosios dalys mažėjančia tvarka pagal svorį,</w:t>
      </w:r>
    </w:p>
    <w:p w14:paraId="4E66C84B" w14:textId="2F295A70" w:rsidR="0058303B" w:rsidRPr="00F05062" w:rsidRDefault="0058303B" w:rsidP="00786C89">
      <w:pPr>
        <w:spacing w:after="0" w:line="240" w:lineRule="auto"/>
      </w:pPr>
      <w:r>
        <w:t>2) partijos numeris.</w:t>
      </w:r>
    </w:p>
    <w:p w14:paraId="33A17C50" w14:textId="3615E3EF" w:rsidR="00F05062" w:rsidRPr="00F05062" w:rsidRDefault="00A87EE1" w:rsidP="00786C89">
      <w:pPr>
        <w:spacing w:after="0" w:line="240" w:lineRule="auto"/>
      </w:pPr>
      <w:r>
        <w:t>3) rekomendacija laikyti produktą vaikams nepasiekiamoje vietoje.</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3 straipsnis.</w:t>
      </w:r>
      <w:r>
        <w:t xml:space="preserve"> </w:t>
      </w:r>
      <w:r>
        <w:rPr>
          <w:i/>
          <w:iCs/>
        </w:rPr>
        <w:t>1</w:t>
      </w:r>
      <w:r>
        <w:t>. Asmuo, kuris prekiauja tabako pakaitalu šioje šalyje, turi užtikrinti, kad ant kiekvieno atskiro pakelio ir jokios išorinės pakuotės nebūtų pateikta elementų arba nurodytos savybės, kuriais:</w:t>
      </w:r>
    </w:p>
    <w:p w14:paraId="542AC7D3" w14:textId="597A0206" w:rsidR="0012504C" w:rsidRPr="0000570D" w:rsidRDefault="0012504C" w:rsidP="00CC6C07">
      <w:pPr>
        <w:spacing w:after="0"/>
      </w:pPr>
      <w:r>
        <w:t>1) būtų skatinama juos vartoti ar sudarytas klaidingas ypatybių, poveikio, rizikos arba iš gaminių išsiskiriančių medžiagų įspūdis,</w:t>
      </w:r>
    </w:p>
    <w:p w14:paraId="0840C571" w14:textId="7C62C2E7" w:rsidR="0012504C" w:rsidRPr="0000570D" w:rsidRDefault="0012504C" w:rsidP="00CC6C07">
      <w:pPr>
        <w:spacing w:after="0"/>
      </w:pPr>
      <w:r>
        <w:t>2) būtų sudaromas įspūdis, kad konkretus tabako pakaitalas yra mažiau žalingas nei kiti gaminiai,</w:t>
      </w:r>
    </w:p>
    <w:p w14:paraId="37E34715" w14:textId="496886AF" w:rsidR="0012504C" w:rsidRPr="0000570D" w:rsidRDefault="00740AC2" w:rsidP="00CC6C07">
      <w:pPr>
        <w:spacing w:after="0"/>
      </w:pPr>
      <w:r>
        <w:t>3) būtų sudaromas įspūdis, kad konkretus tabako gaminys pasižymi gaivinamosiomis, energijos suteikiančiomis, gydomosiomis, atjauninamosiomis, natūraliomis, ekologinėmis savybėmis ar kitais teigiamais tikslais arba kitu teigiamu poveikiu sveikatai ar gyvenimo būdui,</w:t>
      </w:r>
    </w:p>
    <w:p w14:paraId="252AD1F6" w14:textId="77777777" w:rsidR="0012504C" w:rsidRPr="0000570D" w:rsidRDefault="00740AC2" w:rsidP="00CC6C07">
      <w:pPr>
        <w:spacing w:after="0"/>
      </w:pPr>
      <w:r>
        <w:t>4) darytų gaminį panašų į maisto ar maisto produktą ar kosmetikos gaminį arba</w:t>
      </w:r>
    </w:p>
    <w:p w14:paraId="76C5A254" w14:textId="77777777" w:rsidR="0012504C" w:rsidRPr="0000570D" w:rsidRDefault="00740AC2" w:rsidP="00CC6C07">
      <w:pPr>
        <w:spacing w:after="0"/>
      </w:pPr>
      <w:r>
        <w:t>5) būtų sudaromas įspūdis, kad konkretus tabako gaminys yra lengviau biologiškai skaidomas ar duoda kitą naudą aplinkai.</w:t>
      </w:r>
    </w:p>
    <w:p w14:paraId="16F17A29" w14:textId="77777777" w:rsidR="00331A1D" w:rsidRPr="0000570D" w:rsidRDefault="00D40080" w:rsidP="00CC6C07">
      <w:pPr>
        <w:spacing w:after="0" w:line="240" w:lineRule="auto"/>
      </w:pPr>
      <w:r>
        <w:rPr>
          <w:i/>
          <w:iCs/>
        </w:rPr>
        <w:t>2</w:t>
      </w:r>
      <w:r>
        <w:t>. Pagal 3 straipsnio 1–5 punktus draudžiami elementai ir ypatybės, be kita ko, apima tekstą, simbolius, pavadinimus, prekių ženklus, paveikslus ar kitus ženklus.</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4 straipsnis.</w:t>
      </w:r>
      <w:r>
        <w:t xml:space="preserve"> Asmuo, kuris prekiauja tabako pakaitalais šioje šalyje, turi užtikrinti, kad kiekviename atskirame pakelyje ir jokioje išorinėje pakuotėje nebūtų kuponų, kuriais siūlomos nuolaidos, nemokamas platinimas, pasiūlymai „du už vieno kainą“ arba kitos reklaminės priemonės, ar būtų kaip nors kitaip susieti.</w:t>
      </w:r>
    </w:p>
    <w:p w14:paraId="7941AD9C" w14:textId="227A8631" w:rsidR="00785D60" w:rsidRDefault="00785D60" w:rsidP="0012504C"/>
    <w:p w14:paraId="517ABE98" w14:textId="77777777" w:rsidR="00340B61" w:rsidRPr="0000570D" w:rsidRDefault="00340B61" w:rsidP="0012504C"/>
    <w:p w14:paraId="67AE3514" w14:textId="77777777" w:rsidR="00434814" w:rsidRPr="009A4968" w:rsidRDefault="003C37AA" w:rsidP="009A4968">
      <w:pPr>
        <w:autoSpaceDE w:val="0"/>
        <w:autoSpaceDN w:val="0"/>
        <w:adjustRightInd w:val="0"/>
        <w:spacing w:after="0" w:line="240" w:lineRule="auto"/>
        <w:jc w:val="center"/>
      </w:pPr>
      <w:r>
        <w:lastRenderedPageBreak/>
        <w:t>3 dalis</w:t>
      </w:r>
    </w:p>
    <w:p w14:paraId="21372067" w14:textId="38AC81D0" w:rsidR="003C37AA" w:rsidRPr="009A4968" w:rsidRDefault="003C37AA" w:rsidP="009A4968">
      <w:pPr>
        <w:autoSpaceDE w:val="0"/>
        <w:autoSpaceDN w:val="0"/>
        <w:adjustRightInd w:val="0"/>
        <w:spacing w:after="0" w:line="240" w:lineRule="auto"/>
        <w:jc w:val="center"/>
        <w:rPr>
          <w:i/>
        </w:rPr>
      </w:pPr>
      <w:r>
        <w:rPr>
          <w:i/>
        </w:rPr>
        <w:t>Įspėjimai apie pavojų sveikatai</w:t>
      </w: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rFonts w:cstheme="minorHAnsi"/>
          <w:bCs/>
        </w:rPr>
      </w:pPr>
      <w:r>
        <w:rPr>
          <w:b/>
        </w:rPr>
        <w:t>5 straipsnis.</w:t>
      </w:r>
      <w:r>
        <w:t xml:space="preserve"> Ant kiekvieno atskiro tabako pakaitalų pakelio ir visų išorinių pakuočių turi būti pateikti šie įspėjimai apie pavojų sveikatai danų kalba: „Nikotinas yra itin didelę priklausomybę sukelianti medžiaga.“</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rFonts w:cstheme="minorHAnsi"/>
          <w:bCs/>
        </w:rPr>
      </w:pPr>
      <w:r>
        <w:rPr>
          <w:b/>
        </w:rPr>
        <w:t>6 straipsnis.</w:t>
      </w:r>
      <w:r>
        <w:t xml:space="preserve"> </w:t>
      </w:r>
      <w:r>
        <w:rPr>
          <w:i/>
          <w:iCs/>
        </w:rPr>
        <w:t>1</w:t>
      </w:r>
      <w:r>
        <w:t>. Ant kiekvieno atskiro tabako pakaitalo pakelio ir visų išorinių pakuočių pateiktas įspėjimas apie pavojų sveikatai turi:</w:t>
      </w:r>
    </w:p>
    <w:p w14:paraId="162E23F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būti atitinkamai nurodytas ant trijų didžiausių atskiro pakelio ir visų išorinių pakuočių paviršių,</w:t>
      </w:r>
    </w:p>
    <w:p w14:paraId="03271214" w14:textId="1AAC106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dengti 30 % atskiro pakelio ir visų išorinių pakuočių paviršiaus, </w:t>
      </w:r>
    </w:p>
    <w:p w14:paraId="0473D460" w14:textId="7C161F44" w:rsidR="009A4968" w:rsidRPr="009A4968" w:rsidRDefault="009A4968" w:rsidP="009A4968">
      <w:pPr>
        <w:numPr>
          <w:ilvl w:val="0"/>
          <w:numId w:val="1"/>
        </w:numPr>
        <w:autoSpaceDE w:val="0"/>
        <w:autoSpaceDN w:val="0"/>
        <w:adjustRightInd w:val="0"/>
        <w:spacing w:after="0" w:line="240" w:lineRule="auto"/>
        <w:rPr>
          <w:rFonts w:cstheme="minorHAnsi"/>
          <w:bCs/>
        </w:rPr>
      </w:pPr>
      <w:r>
        <w:t>būti atspausdintas juodos spalvos paryškintuoju „Helvetica“ šriftu baltame fone,</w:t>
      </w:r>
    </w:p>
    <w:p w14:paraId="6AA70D14" w14:textId="2BFC4F2C" w:rsidR="005914F3" w:rsidRDefault="00CC4EFB" w:rsidP="009A4968">
      <w:pPr>
        <w:numPr>
          <w:ilvl w:val="0"/>
          <w:numId w:val="1"/>
        </w:numPr>
        <w:autoSpaceDE w:val="0"/>
        <w:autoSpaceDN w:val="0"/>
        <w:adjustRightInd w:val="0"/>
        <w:spacing w:after="0" w:line="240" w:lineRule="auto"/>
        <w:rPr>
          <w:rFonts w:cstheme="minorHAnsi"/>
          <w:bCs/>
        </w:rPr>
      </w:pPr>
      <w:r>
        <w:t xml:space="preserve">būti sukurtas tokio dydžio šriftu, kad būtų nurodytas ant didžiausios įmanomos uždarytos pakelio ploto, skirto įspėjimui apie pavojui sveikatą pateikti, dalies, </w:t>
      </w:r>
    </w:p>
    <w:p w14:paraId="102AABAB" w14:textId="77777777"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būti nurodytas ploto, skirto įspėjimui pateikti, centre, </w:t>
      </w:r>
    </w:p>
    <w:p w14:paraId="50086D6D" w14:textId="7EC093AE" w:rsidR="009A4968" w:rsidRPr="009A4968" w:rsidRDefault="009A4968" w:rsidP="009A4968">
      <w:pPr>
        <w:numPr>
          <w:ilvl w:val="0"/>
          <w:numId w:val="1"/>
        </w:numPr>
        <w:autoSpaceDE w:val="0"/>
        <w:autoSpaceDN w:val="0"/>
        <w:adjustRightInd w:val="0"/>
        <w:spacing w:after="0" w:line="240" w:lineRule="auto"/>
        <w:rPr>
          <w:rFonts w:cstheme="minorHAnsi"/>
          <w:bCs/>
        </w:rPr>
      </w:pPr>
      <w:r>
        <w:t xml:space="preserve">būti pateiktas tiesia linija ir ta pačia skaitymo kryptimi, kaip ir įspėjimui skirto paviršiaus pagrindinis tekstas; </w:t>
      </w:r>
    </w:p>
    <w:p w14:paraId="3C686299" w14:textId="7E9B7D2A" w:rsidR="00E36D81" w:rsidRPr="0058303B" w:rsidRDefault="009A4968" w:rsidP="009F5645">
      <w:pPr>
        <w:numPr>
          <w:ilvl w:val="0"/>
          <w:numId w:val="1"/>
        </w:numPr>
        <w:autoSpaceDE w:val="0"/>
        <w:autoSpaceDN w:val="0"/>
        <w:adjustRightInd w:val="0"/>
        <w:spacing w:after="0" w:line="240" w:lineRule="auto"/>
        <w:rPr>
          <w:rFonts w:cstheme="minorHAnsi"/>
          <w:bCs/>
        </w:rPr>
      </w:pPr>
      <w:r>
        <w:t>ant dėžutės formos pakelių ir visų išorinių pakuočių turi būti pateiktas lygiagrečiai su atskiro pakelio ar išorinės pakuotės kraštu,</w:t>
      </w:r>
    </w:p>
    <w:p w14:paraId="0B9B6027" w14:textId="5075C191" w:rsidR="009A4968" w:rsidRPr="009A4968" w:rsidRDefault="00E36D81" w:rsidP="009F5645">
      <w:pPr>
        <w:autoSpaceDE w:val="0"/>
        <w:autoSpaceDN w:val="0"/>
        <w:adjustRightInd w:val="0"/>
        <w:spacing w:after="0" w:line="240" w:lineRule="auto"/>
        <w:rPr>
          <w:rFonts w:cstheme="minorHAnsi"/>
          <w:bCs/>
        </w:rPr>
      </w:pPr>
      <w:r>
        <w:rPr>
          <w:i/>
        </w:rPr>
        <w:t xml:space="preserve">2. </w:t>
      </w:r>
      <w:r>
        <w:t>Įspėjimo apie pavojų sveikatai matmenys apskaičiuojami atsižvelgiant į atitinkamą paviršių, kai pakuotė uždaroma.</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rFonts w:cstheme="minorHAnsi"/>
          <w:bCs/>
        </w:rPr>
      </w:pPr>
      <w:r>
        <w:rPr>
          <w:b/>
        </w:rPr>
        <w:t>7 straipsnis.</w:t>
      </w:r>
      <w:r>
        <w:t xml:space="preserve"> Kiekvienas ant atskiro pakelio ar visų išorinių pakuočių nurodytas įspėjimas apie pavojų sveikatai turi būti atspausdintas ar pritvirtintas taip, kad jo nebūtų galima pašalinti ar nutrinti ir jis būtų visiškai matomas, įskaitant tai, kad prekiaujant tabako pakaitalu jis nebūtų visiškai ar iš dalies paslėptas arba perskirtas kainų etiketėmis, pakuotės medžiaga, dangteliais, dėžutėmis ar kitais elementais.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rFonts w:cstheme="minorHAnsi"/>
          <w:bCs/>
        </w:rPr>
      </w:pPr>
      <w:r>
        <w:rPr>
          <w:b/>
        </w:rPr>
        <w:t>8 straipsnis.</w:t>
      </w:r>
      <w:r>
        <w:t xml:space="preserve"> Dėl įspėjimo apie pavojų sveikatai negalima teikti pastabų, jo negalima performuluoti arba jo negalima uždengti jokiomis ant atskiro pakelio ar visų išorinių pakuočių pateiktomis nuorodomis.</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rFonts w:cstheme="minorHAnsi"/>
          <w:bCs/>
        </w:rPr>
      </w:pPr>
      <w:r>
        <w:rPr>
          <w:b/>
        </w:rPr>
        <w:t>9 straipsnis.</w:t>
      </w:r>
      <w:r>
        <w:t xml:space="preserve"> </w:t>
      </w:r>
      <w:r>
        <w:rPr>
          <w:i/>
          <w:iCs/>
        </w:rPr>
        <w:t>1</w:t>
      </w:r>
      <w:r>
        <w:t>. Atidarius atskirą pakelį kiekvienas įspėjimas apie pavojų sveikatai turi išlikti nesugadintas.</w:t>
      </w:r>
    </w:p>
    <w:p w14:paraId="46B50393" w14:textId="4A2298B6" w:rsidR="009A4968" w:rsidRPr="009A4968" w:rsidRDefault="00250061" w:rsidP="00250061">
      <w:pPr>
        <w:autoSpaceDE w:val="0"/>
        <w:autoSpaceDN w:val="0"/>
        <w:adjustRightInd w:val="0"/>
        <w:spacing w:after="0" w:line="240" w:lineRule="auto"/>
        <w:rPr>
          <w:rFonts w:cstheme="minorHAnsi"/>
          <w:bCs/>
        </w:rPr>
      </w:pPr>
      <w:r>
        <w:rPr>
          <w:i/>
        </w:rPr>
        <w:t xml:space="preserve">2. </w:t>
      </w:r>
      <w:r>
        <w:t xml:space="preserve">Bent vieno iš kitų įspėjimų apie pavojų sveikatai atveju teksto įskaitomumas ir matomumas turi likti nepažeistas, jei jis perskiriamas, atidarius atskirą pakelį.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rFonts w:cstheme="minorHAnsi"/>
          <w:bCs/>
        </w:rPr>
      </w:pPr>
      <w:r>
        <w:rPr>
          <w:b/>
        </w:rPr>
        <w:t>10 straipsnis.</w:t>
      </w:r>
      <w:r>
        <w:t xml:space="preserve"> Vartotojams skirti atskirų pakelių ir visų išorinių pakuočių paveikslai turi atitikti šios dalies nuostatas.</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rFonts w:cstheme="minorHAnsi"/>
          <w:i/>
          <w:iCs/>
        </w:rPr>
      </w:pPr>
      <w:r>
        <w:rPr>
          <w:b/>
        </w:rPr>
        <w:t xml:space="preserve">11 straipsnis. </w:t>
      </w:r>
      <w:r>
        <w:rPr>
          <w:i/>
          <w:iCs/>
        </w:rPr>
        <w:t>1</w:t>
      </w:r>
      <w:r>
        <w:t>. Jei netaikoma griežtesnė bausmė pagal kitą įstatymą, tam, kas pažeidžia 2–10 straipsniuose nurodytas taisykles, bus skiriama bauda.</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iCs/>
        </w:rPr>
        <w:t>2</w:t>
      </w:r>
      <w:r>
        <w:t>. Subjektai ir t. t. (juridiniai asmenys) gali būti patraukti baudžiamojon atsakomybėn pagal Baudžiamojo kodekso 5 dalies nuostatas.</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4 dalis</w:t>
      </w:r>
    </w:p>
    <w:p w14:paraId="72320C85" w14:textId="77777777" w:rsidR="00740AC2" w:rsidRPr="00740AC2" w:rsidRDefault="00740AC2" w:rsidP="00740AC2">
      <w:pPr>
        <w:autoSpaceDE w:val="0"/>
        <w:autoSpaceDN w:val="0"/>
        <w:adjustRightInd w:val="0"/>
        <w:spacing w:after="0" w:line="240" w:lineRule="auto"/>
        <w:jc w:val="center"/>
        <w:rPr>
          <w:rFonts w:eastAsia="TimesNewRomanPSMT" w:cstheme="minorHAnsi"/>
          <w:i/>
        </w:rPr>
      </w:pPr>
      <w:r>
        <w:rPr>
          <w:i/>
        </w:rPr>
        <w:t>Įsigaliojimas</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12 straipsnis. </w:t>
      </w:r>
      <w:r>
        <w:t>Įsakymas įsigalioja 2021 m. liepos 1 d.</w:t>
      </w: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rFonts w:cstheme="minorHAnsi"/>
          <w:i/>
          <w:iCs/>
          <w:sz w:val="24"/>
          <w:szCs w:val="24"/>
        </w:rPr>
      </w:pPr>
      <w:r>
        <w:rPr>
          <w:i/>
          <w:sz w:val="24"/>
        </w:rPr>
        <w:t>Sveikatos apsaugos ministerija 2021 m. kovo 18 d.</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47DD6D90" w14:textId="6CEEC148" w:rsidR="00331A1D" w:rsidRDefault="00477D23" w:rsidP="00477D23">
      <w:pPr>
        <w:autoSpaceDE w:val="0"/>
        <w:autoSpaceDN w:val="0"/>
        <w:adjustRightInd w:val="0"/>
        <w:spacing w:after="0" w:line="240" w:lineRule="auto"/>
        <w:jc w:val="center"/>
      </w:pPr>
      <w:r>
        <w:rPr>
          <w:sz w:val="24"/>
        </w:rPr>
        <w:t>Magnus Heunicke / Zelle Huma Sheikh</w:t>
      </w: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40B61"/>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790</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Liana Brili</cp:lastModifiedBy>
  <cp:revision>8</cp:revision>
  <dcterms:created xsi:type="dcterms:W3CDTF">2021-03-24T09:43:00Z</dcterms:created>
  <dcterms:modified xsi:type="dcterms:W3CDTF">2021-11-03T16:34:00Z</dcterms:modified>
</cp:coreProperties>
</file>