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49440" w14:textId="4298D97C" w:rsidR="00270423" w:rsidRPr="00844884" w:rsidRDefault="00270423" w:rsidP="0027042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0611 DK- FR- ------ 20201008 --- --- PROJET</w:t>
      </w:r>
    </w:p>
    <w:p w14:paraId="67FEB43E" w14:textId="77777777" w:rsidR="00270423" w:rsidRPr="00844884" w:rsidRDefault="00270423" w:rsidP="00AC5EC1">
      <w:pPr>
        <w:pStyle w:val="NoSpacing"/>
        <w:jc w:val="center"/>
        <w:rPr>
          <w:b/>
          <w:sz w:val="24"/>
          <w:szCs w:val="24"/>
        </w:rPr>
      </w:pPr>
    </w:p>
    <w:p w14:paraId="44106FE6" w14:textId="4641DE6C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Règlement relatif à la réglementation de certains gaz à effet de serre industriels</w:t>
      </w:r>
      <w:r w:rsidR="00D4326E" w:rsidRPr="00844884">
        <w:rPr>
          <w:rStyle w:val="FootnoteReference"/>
          <w:b/>
          <w:sz w:val="24"/>
          <w:szCs w:val="24"/>
        </w:rPr>
        <w:footnoteReference w:id="1"/>
      </w:r>
    </w:p>
    <w:p w14:paraId="45A1B34E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7688EA0" w14:textId="6B4C493B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</w:rPr>
        <w:t>En application de l</w:t>
      </w:r>
      <w:r w:rsidR="001E289A">
        <w:rPr>
          <w:sz w:val="24"/>
        </w:rPr>
        <w:t>’</w:t>
      </w:r>
      <w:r>
        <w:rPr>
          <w:sz w:val="24"/>
        </w:rPr>
        <w:t>article 30, de l</w:t>
      </w:r>
      <w:r w:rsidR="001E289A">
        <w:rPr>
          <w:sz w:val="24"/>
        </w:rPr>
        <w:t>’</w:t>
      </w:r>
      <w:r>
        <w:rPr>
          <w:sz w:val="24"/>
        </w:rPr>
        <w:t>article</w:t>
      </w:r>
      <w:r w:rsidR="001E289A">
        <w:rPr>
          <w:sz w:val="24"/>
        </w:rPr>
        <w:t> </w:t>
      </w:r>
      <w:r>
        <w:rPr>
          <w:sz w:val="24"/>
        </w:rPr>
        <w:t>45, paragraphe 1, et de l</w:t>
      </w:r>
      <w:r w:rsidR="001E289A">
        <w:rPr>
          <w:sz w:val="24"/>
        </w:rPr>
        <w:t>’</w:t>
      </w:r>
      <w:r>
        <w:rPr>
          <w:sz w:val="24"/>
        </w:rPr>
        <w:t>article 59, paragraphe 4, de la loi sur les produits chimiques, cf. loi consolidée nº 115 du 26</w:t>
      </w:r>
      <w:r w:rsidR="001E289A">
        <w:rPr>
          <w:sz w:val="24"/>
        </w:rPr>
        <w:t> </w:t>
      </w:r>
      <w:r>
        <w:rPr>
          <w:sz w:val="24"/>
        </w:rPr>
        <w:t>janvier</w:t>
      </w:r>
      <w:r w:rsidR="001E289A">
        <w:rPr>
          <w:sz w:val="24"/>
        </w:rPr>
        <w:t> </w:t>
      </w:r>
      <w:r>
        <w:rPr>
          <w:sz w:val="24"/>
        </w:rPr>
        <w:t xml:space="preserve">2017, il est arrêté ce qui </w:t>
      </w:r>
      <w:proofErr w:type="gramStart"/>
      <w:r>
        <w:rPr>
          <w:sz w:val="24"/>
        </w:rPr>
        <w:t>suit:</w:t>
      </w:r>
      <w:proofErr w:type="gramEnd"/>
    </w:p>
    <w:p w14:paraId="3134816B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655B1EC" w14:textId="0F1DA585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Champ d</w:t>
      </w:r>
      <w:r w:rsidR="001E289A">
        <w:rPr>
          <w:i/>
          <w:sz w:val="24"/>
        </w:rPr>
        <w:t>’</w:t>
      </w:r>
      <w:r>
        <w:rPr>
          <w:i/>
          <w:sz w:val="24"/>
        </w:rPr>
        <w:t>application du règlement</w:t>
      </w:r>
    </w:p>
    <w:p w14:paraId="60979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31DF54E4" w14:textId="72D368A8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b/>
          <w:sz w:val="24"/>
        </w:rPr>
        <w:t>Article premier.</w:t>
      </w:r>
      <w:r>
        <w:rPr>
          <w:sz w:val="24"/>
        </w:rPr>
        <w:t xml:space="preserve"> Le règlement couvre les hydrocarbures perfluorés (PFC) et l</w:t>
      </w:r>
      <w:r w:rsidR="001E289A">
        <w:rPr>
          <w:sz w:val="24"/>
        </w:rPr>
        <w:t>’</w:t>
      </w:r>
      <w:r>
        <w:rPr>
          <w:sz w:val="24"/>
        </w:rPr>
        <w:t>hexafluorure de soufre (SF</w:t>
      </w:r>
      <w:r>
        <w:rPr>
          <w:sz w:val="24"/>
          <w:vertAlign w:val="subscript"/>
        </w:rPr>
        <w:t>6</w:t>
      </w:r>
      <w:r>
        <w:rPr>
          <w:sz w:val="24"/>
        </w:rPr>
        <w:t xml:space="preserve">) ainsi que les </w:t>
      </w:r>
      <w:proofErr w:type="spellStart"/>
      <w:r>
        <w:rPr>
          <w:sz w:val="24"/>
        </w:rPr>
        <w:t>hydrofluorocarbones</w:t>
      </w:r>
      <w:proofErr w:type="spellEnd"/>
      <w:r>
        <w:rPr>
          <w:sz w:val="24"/>
        </w:rPr>
        <w:t xml:space="preserve"> (HFCs) à l</w:t>
      </w:r>
      <w:r w:rsidR="001E289A">
        <w:rPr>
          <w:sz w:val="24"/>
        </w:rPr>
        <w:t>’</w:t>
      </w:r>
      <w:r>
        <w:rPr>
          <w:sz w:val="24"/>
        </w:rPr>
        <w:t xml:space="preserve">exception des </w:t>
      </w:r>
      <w:proofErr w:type="spellStart"/>
      <w:r>
        <w:rPr>
          <w:sz w:val="24"/>
        </w:rPr>
        <w:t>hydrofluoroléfines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HFOs</w:t>
      </w:r>
      <w:proofErr w:type="spellEnd"/>
      <w:r>
        <w:rPr>
          <w:sz w:val="24"/>
        </w:rPr>
        <w:t>), qu</w:t>
      </w:r>
      <w:r w:rsidR="001E289A">
        <w:rPr>
          <w:sz w:val="24"/>
        </w:rPr>
        <w:t>’</w:t>
      </w:r>
      <w:r>
        <w:rPr>
          <w:sz w:val="24"/>
        </w:rPr>
        <w:t>ils soient isolés ou contenus dans une préparation.</w:t>
      </w:r>
    </w:p>
    <w:p w14:paraId="2A9D4064" w14:textId="0454F86C" w:rsidR="00A67275" w:rsidRPr="00844884" w:rsidRDefault="00A67275" w:rsidP="00A67275">
      <w:pPr>
        <w:pStyle w:val="NoSpacing"/>
        <w:rPr>
          <w:sz w:val="24"/>
          <w:szCs w:val="24"/>
        </w:rPr>
      </w:pPr>
      <w:r>
        <w:rPr>
          <w:i/>
          <w:sz w:val="24"/>
        </w:rPr>
        <w:t>Paragraphe 2.</w:t>
      </w:r>
      <w:r>
        <w:rPr>
          <w:sz w:val="24"/>
        </w:rPr>
        <w:t xml:space="preserve"> Le règlement ne couvre pas l</w:t>
      </w:r>
      <w:r w:rsidR="001E289A">
        <w:rPr>
          <w:sz w:val="24"/>
        </w:rPr>
        <w:t>’</w:t>
      </w:r>
      <w:r>
        <w:rPr>
          <w:sz w:val="24"/>
        </w:rPr>
        <w:t>utilisation industrielle de gaz à effet de serre visée au paragraphe 1, à l</w:t>
      </w:r>
      <w:r w:rsidR="001E289A">
        <w:rPr>
          <w:sz w:val="24"/>
        </w:rPr>
        <w:t>’</w:t>
      </w:r>
      <w:r>
        <w:rPr>
          <w:sz w:val="24"/>
        </w:rPr>
        <w:t>exception de l</w:t>
      </w:r>
      <w:r w:rsidR="001E289A">
        <w:rPr>
          <w:sz w:val="24"/>
        </w:rPr>
        <w:t>’</w:t>
      </w:r>
      <w:r>
        <w:rPr>
          <w:sz w:val="24"/>
        </w:rPr>
        <w:t xml:space="preserve">utilisation en tant que gaz de protection dans les fonderies de métaux légers et pour la production de mousses plastiques souples. </w:t>
      </w:r>
      <w:proofErr w:type="gramStart"/>
      <w:r>
        <w:rPr>
          <w:sz w:val="24"/>
        </w:rPr>
        <w:t>«Utilisation</w:t>
      </w:r>
      <w:proofErr w:type="gramEnd"/>
      <w:r>
        <w:rPr>
          <w:sz w:val="24"/>
        </w:rPr>
        <w:t xml:space="preserve"> industrielle» signifie l</w:t>
      </w:r>
      <w:r w:rsidR="001E289A">
        <w:rPr>
          <w:sz w:val="24"/>
        </w:rPr>
        <w:t>’</w:t>
      </w:r>
      <w:r>
        <w:rPr>
          <w:sz w:val="24"/>
        </w:rPr>
        <w:t>utilisation dans la production de denrées, lorsque le gaz à effet de serre n</w:t>
      </w:r>
      <w:r w:rsidR="001E289A">
        <w:rPr>
          <w:sz w:val="24"/>
        </w:rPr>
        <w:t>’</w:t>
      </w:r>
      <w:r>
        <w:rPr>
          <w:sz w:val="24"/>
        </w:rPr>
        <w:t>est pas présent dans le produit fini.</w:t>
      </w:r>
    </w:p>
    <w:p w14:paraId="609A8499" w14:textId="52F58FE7" w:rsidR="00E025DF" w:rsidRPr="00844884" w:rsidRDefault="00E025DF" w:rsidP="00E025DF">
      <w:pPr>
        <w:pStyle w:val="NoSpacing"/>
        <w:rPr>
          <w:sz w:val="24"/>
          <w:szCs w:val="24"/>
        </w:rPr>
      </w:pPr>
    </w:p>
    <w:p w14:paraId="22DDC790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13D9AF5" w14:textId="5B5C059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Restrictions d</w:t>
      </w:r>
      <w:r w:rsidR="001E289A">
        <w:rPr>
          <w:i/>
          <w:sz w:val="24"/>
        </w:rPr>
        <w:t>’</w:t>
      </w:r>
      <w:r>
        <w:rPr>
          <w:i/>
          <w:sz w:val="24"/>
        </w:rPr>
        <w:t>utilisation, etc.</w:t>
      </w:r>
    </w:p>
    <w:p w14:paraId="236E72F6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5F3D058E" w14:textId="34FBDA41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Article 2.</w:t>
      </w:r>
      <w:r>
        <w:rPr>
          <w:sz w:val="24"/>
        </w:rPr>
        <w:t xml:space="preserve"> L</w:t>
      </w:r>
      <w:r w:rsidR="001E289A">
        <w:rPr>
          <w:sz w:val="24"/>
        </w:rPr>
        <w:t>’</w:t>
      </w:r>
      <w:r>
        <w:rPr>
          <w:sz w:val="24"/>
        </w:rPr>
        <w:t>importation, la vente et l</w:t>
      </w:r>
      <w:r w:rsidR="001E289A">
        <w:rPr>
          <w:sz w:val="24"/>
        </w:rPr>
        <w:t>’</w:t>
      </w:r>
      <w:r>
        <w:rPr>
          <w:sz w:val="24"/>
        </w:rPr>
        <w:t>utilisation de nouvelles denrées contenant des gaz à effet de serre visées à l</w:t>
      </w:r>
      <w:r w:rsidR="001E289A">
        <w:rPr>
          <w:sz w:val="24"/>
        </w:rPr>
        <w:t>’</w:t>
      </w:r>
      <w:r>
        <w:rPr>
          <w:sz w:val="24"/>
        </w:rPr>
        <w:t>article premier, paragraphe 1, sont interdites.</w:t>
      </w:r>
    </w:p>
    <w:p w14:paraId="430B0FA6" w14:textId="3780CE45" w:rsidR="00AC5EC1" w:rsidRPr="00F70518" w:rsidRDefault="00AC5EC1" w:rsidP="00AC5EC1">
      <w:pPr>
        <w:pStyle w:val="NoSpacing"/>
        <w:rPr>
          <w:spacing w:val="-4"/>
          <w:sz w:val="24"/>
          <w:szCs w:val="24"/>
        </w:rPr>
      </w:pPr>
      <w:r w:rsidRPr="00F70518">
        <w:rPr>
          <w:i/>
          <w:spacing w:val="-4"/>
          <w:sz w:val="24"/>
        </w:rPr>
        <w:t>Paragraphe 2.</w:t>
      </w:r>
      <w:r w:rsidRPr="00F70518">
        <w:rPr>
          <w:spacing w:val="-4"/>
          <w:sz w:val="24"/>
        </w:rPr>
        <w:t xml:space="preserve"> Nonobstant le paragraphe</w:t>
      </w:r>
      <w:r w:rsidR="001E289A" w:rsidRPr="00F70518">
        <w:rPr>
          <w:spacing w:val="-4"/>
          <w:sz w:val="24"/>
        </w:rPr>
        <w:t> </w:t>
      </w:r>
      <w:r w:rsidRPr="00F70518">
        <w:rPr>
          <w:spacing w:val="-4"/>
          <w:sz w:val="24"/>
        </w:rPr>
        <w:t>1, l</w:t>
      </w:r>
      <w:r w:rsidR="001E289A" w:rsidRPr="00F70518">
        <w:rPr>
          <w:spacing w:val="-4"/>
          <w:sz w:val="24"/>
        </w:rPr>
        <w:t>’</w:t>
      </w:r>
      <w:r w:rsidRPr="00F70518">
        <w:rPr>
          <w:spacing w:val="-4"/>
          <w:sz w:val="24"/>
        </w:rPr>
        <w:t>importation, la vente et l</w:t>
      </w:r>
      <w:r w:rsidR="001E289A" w:rsidRPr="00F70518">
        <w:rPr>
          <w:spacing w:val="-4"/>
          <w:sz w:val="24"/>
        </w:rPr>
        <w:t>’</w:t>
      </w:r>
      <w:r w:rsidRPr="00F70518">
        <w:rPr>
          <w:spacing w:val="-4"/>
          <w:sz w:val="24"/>
        </w:rPr>
        <w:t>utilisation de nouvelles denrées énumérées dans l</w:t>
      </w:r>
      <w:r w:rsidR="001E289A" w:rsidRPr="00F70518">
        <w:rPr>
          <w:spacing w:val="-4"/>
          <w:sz w:val="24"/>
        </w:rPr>
        <w:t>’</w:t>
      </w:r>
      <w:r w:rsidRPr="00F70518">
        <w:rPr>
          <w:spacing w:val="-4"/>
          <w:sz w:val="24"/>
        </w:rPr>
        <w:t>annexe 1 sont autorisées pour les gaz à effet de serre qui y sont spécifiés.</w:t>
      </w:r>
    </w:p>
    <w:p w14:paraId="1A641ED6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0DFFAED1" w14:textId="351290FD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Article 3.</w:t>
      </w:r>
      <w:r>
        <w:rPr>
          <w:sz w:val="24"/>
        </w:rPr>
        <w:t xml:space="preserve"> L</w:t>
      </w:r>
      <w:r w:rsidR="001E289A">
        <w:rPr>
          <w:sz w:val="24"/>
        </w:rPr>
        <w:t>’</w:t>
      </w:r>
      <w:r>
        <w:rPr>
          <w:sz w:val="24"/>
        </w:rPr>
        <w:t>importation, la vente et l</w:t>
      </w:r>
      <w:r w:rsidR="001E289A">
        <w:rPr>
          <w:sz w:val="24"/>
        </w:rPr>
        <w:t>’</w:t>
      </w:r>
      <w:r>
        <w:rPr>
          <w:sz w:val="24"/>
        </w:rPr>
        <w:t>utilisation des gaz à effet de serre, qu</w:t>
      </w:r>
      <w:r w:rsidR="001E289A">
        <w:rPr>
          <w:sz w:val="24"/>
        </w:rPr>
        <w:t>’</w:t>
      </w:r>
      <w:r>
        <w:rPr>
          <w:sz w:val="24"/>
        </w:rPr>
        <w:t>ils soient nouveaux ou récupérés, visés à l</w:t>
      </w:r>
      <w:r w:rsidR="001E289A">
        <w:rPr>
          <w:sz w:val="24"/>
        </w:rPr>
        <w:t>’</w:t>
      </w:r>
      <w:r>
        <w:rPr>
          <w:sz w:val="24"/>
        </w:rPr>
        <w:t>article premier, paragraphe 1, sont interdites.</w:t>
      </w:r>
    </w:p>
    <w:p w14:paraId="24E24ECF" w14:textId="422A617F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Paragraphe 2.</w:t>
      </w:r>
      <w:r>
        <w:rPr>
          <w:sz w:val="24"/>
        </w:rPr>
        <w:t xml:space="preserve"> Nonobstant le paragraphe</w:t>
      </w:r>
      <w:r w:rsidR="001E289A">
        <w:rPr>
          <w:sz w:val="24"/>
        </w:rPr>
        <w:t> </w:t>
      </w:r>
      <w:r>
        <w:rPr>
          <w:sz w:val="24"/>
        </w:rPr>
        <w:t>1, l</w:t>
      </w:r>
      <w:r w:rsidR="001E289A">
        <w:rPr>
          <w:sz w:val="24"/>
        </w:rPr>
        <w:t>’</w:t>
      </w:r>
      <w:r>
        <w:rPr>
          <w:sz w:val="24"/>
        </w:rPr>
        <w:t>importation, la vente et l</w:t>
      </w:r>
      <w:r w:rsidR="001E289A">
        <w:rPr>
          <w:sz w:val="24"/>
        </w:rPr>
        <w:t>’</w:t>
      </w:r>
      <w:r>
        <w:rPr>
          <w:sz w:val="24"/>
        </w:rPr>
        <w:t>utilisation sont autorisées pour les utilisations énumérées dans l</w:t>
      </w:r>
      <w:r w:rsidR="001E289A">
        <w:rPr>
          <w:sz w:val="24"/>
        </w:rPr>
        <w:t>’</w:t>
      </w:r>
      <w:r>
        <w:rPr>
          <w:sz w:val="24"/>
        </w:rPr>
        <w:t>annexe 2, pour les gaz à effet de serre qui y sont spécifiés.</w:t>
      </w:r>
    </w:p>
    <w:p w14:paraId="18F62E99" w14:textId="3864BFEF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7665D6D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D1B0120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Dispositions administratives</w:t>
      </w:r>
    </w:p>
    <w:p w14:paraId="4007235C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CE44847" w14:textId="78387C93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Article 4.</w:t>
      </w:r>
      <w:r>
        <w:rPr>
          <w:sz w:val="24"/>
        </w:rPr>
        <w:t xml:space="preserve"> Le suivi et le contrôle du respect des réglementations de l’arrêté relèvent du ministère danois de l’environnement, cf. dispositions spécifiques de la loi.</w:t>
      </w:r>
    </w:p>
    <w:p w14:paraId="0CB5AD0E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Paragraphe 2.</w:t>
      </w:r>
      <w:r>
        <w:rPr>
          <w:sz w:val="24"/>
        </w:rPr>
        <w:t xml:space="preserve"> Dans des cas exceptionnels, le ministère de l’environnement peut autoriser des dérogations aux règles du règlement.</w:t>
      </w:r>
    </w:p>
    <w:p w14:paraId="30BC9CDF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Paragraphe 3.</w:t>
      </w:r>
      <w:r>
        <w:rPr>
          <w:sz w:val="24"/>
        </w:rPr>
        <w:t xml:space="preserve"> Les décisions de l’Agence de la protection de l’environnement en vertu du paragraphe 2 ne peuvent pas faire l’objet d’un recours auprès d’une autre autorité administrative.</w:t>
      </w:r>
    </w:p>
    <w:p w14:paraId="4EDAE5FC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EB5DF9F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lastRenderedPageBreak/>
        <w:t>Sanction et entrée en vigueur</w:t>
      </w:r>
    </w:p>
    <w:p w14:paraId="62509FE4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A12D275" w14:textId="77777777" w:rsidR="00133317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Article 5.</w:t>
      </w:r>
      <w:r>
        <w:rPr>
          <w:sz w:val="24"/>
        </w:rPr>
        <w:t xml:space="preserve"> Sauf si une peine plus lourde est prévue par une autre législation, encourt une amende </w:t>
      </w:r>
      <w:proofErr w:type="gramStart"/>
      <w:r>
        <w:rPr>
          <w:sz w:val="24"/>
        </w:rPr>
        <w:t>quiconque:</w:t>
      </w:r>
      <w:proofErr w:type="gramEnd"/>
    </w:p>
    <w:p w14:paraId="4F20AA2B" w14:textId="65E6567D" w:rsidR="00433485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</w:rPr>
        <w:t>importe</w:t>
      </w:r>
      <w:proofErr w:type="gramEnd"/>
      <w:r>
        <w:rPr>
          <w:sz w:val="24"/>
        </w:rPr>
        <w:t>, vend ou utilise de nouvelles denrées contenant des gaz à effet de serre, en infraction avec l</w:t>
      </w:r>
      <w:r w:rsidR="001E289A">
        <w:rPr>
          <w:sz w:val="24"/>
        </w:rPr>
        <w:t>’</w:t>
      </w:r>
      <w:r>
        <w:rPr>
          <w:sz w:val="24"/>
        </w:rPr>
        <w:t>article 2 ou</w:t>
      </w:r>
    </w:p>
    <w:p w14:paraId="332D2164" w14:textId="61F62E09" w:rsidR="00AC5EC1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</w:rPr>
        <w:t>importe</w:t>
      </w:r>
      <w:proofErr w:type="gramEnd"/>
      <w:r>
        <w:rPr>
          <w:sz w:val="24"/>
        </w:rPr>
        <w:t>, vend ou utilise des gaz à effet de serre en infraction avec l</w:t>
      </w:r>
      <w:r w:rsidR="001E289A">
        <w:rPr>
          <w:sz w:val="24"/>
        </w:rPr>
        <w:t>’</w:t>
      </w:r>
      <w:r>
        <w:rPr>
          <w:sz w:val="24"/>
        </w:rPr>
        <w:t>article 3.</w:t>
      </w:r>
    </w:p>
    <w:p w14:paraId="6566D723" w14:textId="590D3B82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Paragraphe 2.</w:t>
      </w:r>
      <w:r>
        <w:rPr>
          <w:sz w:val="24"/>
        </w:rPr>
        <w:t xml:space="preserve"> La sanction peut être portée à une peine d</w:t>
      </w:r>
      <w:r w:rsidR="001E289A">
        <w:rPr>
          <w:sz w:val="24"/>
        </w:rPr>
        <w:t>’</w:t>
      </w:r>
      <w:r>
        <w:rPr>
          <w:sz w:val="24"/>
        </w:rPr>
        <w:t>emprisonnement allant jusqu</w:t>
      </w:r>
      <w:r w:rsidR="001E289A">
        <w:rPr>
          <w:sz w:val="24"/>
        </w:rPr>
        <w:t>’</w:t>
      </w:r>
      <w:r>
        <w:rPr>
          <w:sz w:val="24"/>
        </w:rPr>
        <w:t>à 2 ans si l</w:t>
      </w:r>
      <w:r w:rsidR="001E289A">
        <w:rPr>
          <w:sz w:val="24"/>
        </w:rPr>
        <w:t>’</w:t>
      </w:r>
      <w:r>
        <w:rPr>
          <w:sz w:val="24"/>
        </w:rPr>
        <w:t>infraction est commise intentionnellement ou par négligence grave et si cette infraction induit vise ou donne lieu à un avantage économique pour la personne concernée ou un tiers.</w:t>
      </w:r>
    </w:p>
    <w:p w14:paraId="35584371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Paragraphe 3.</w:t>
      </w:r>
      <w:r>
        <w:rPr>
          <w:sz w:val="24"/>
        </w:rPr>
        <w:t xml:space="preserve"> Des sanctions pénales peuvent être infligées à toute entreprise, etc. (personne morale), conformément aux dispositions du chapitre 5 du Code pénal.</w:t>
      </w:r>
    </w:p>
    <w:p w14:paraId="162004D8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5668E2F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Article 6.</w:t>
      </w:r>
      <w:r>
        <w:rPr>
          <w:sz w:val="24"/>
        </w:rPr>
        <w:t xml:space="preserve"> Le règlement entre en vigueur le 1</w:t>
      </w:r>
      <w:r>
        <w:rPr>
          <w:sz w:val="24"/>
          <w:vertAlign w:val="superscript"/>
        </w:rPr>
        <w:t>er</w:t>
      </w:r>
      <w:r>
        <w:rPr>
          <w:sz w:val="24"/>
        </w:rPr>
        <w:t> juillet 2021.</w:t>
      </w:r>
    </w:p>
    <w:p w14:paraId="2A69985D" w14:textId="311AA4B8" w:rsidR="00D4326E" w:rsidRPr="00844884" w:rsidRDefault="00AC5EC1" w:rsidP="002447A2">
      <w:pPr>
        <w:pStyle w:val="NoSpacing"/>
        <w:rPr>
          <w:sz w:val="24"/>
          <w:szCs w:val="24"/>
        </w:rPr>
      </w:pPr>
      <w:r>
        <w:rPr>
          <w:i/>
          <w:sz w:val="24"/>
        </w:rPr>
        <w:t>Paragraphe 2.</w:t>
      </w:r>
      <w:r>
        <w:rPr>
          <w:sz w:val="24"/>
        </w:rPr>
        <w:t xml:space="preserve"> Le règlement nº 1326 du 19 novembre 2018 relatif à la réglementation de certains gaz à effet de serre industriels est abrogé.</w:t>
      </w:r>
    </w:p>
    <w:p w14:paraId="3006E1DB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</w:rPr>
        <w:lastRenderedPageBreak/>
        <w:t>Annexe 1</w:t>
      </w:r>
    </w:p>
    <w:p w14:paraId="13135FA2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94891DB" w14:textId="4CC291FC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Les denrées suivantes avec les gaz à effet de serre spécifiés sont exemptées de l</w:t>
      </w:r>
      <w:r w:rsidR="001E289A">
        <w:rPr>
          <w:b/>
          <w:sz w:val="24"/>
        </w:rPr>
        <w:t>’</w:t>
      </w:r>
      <w:r>
        <w:rPr>
          <w:b/>
          <w:sz w:val="24"/>
        </w:rPr>
        <w:t>interdiction de l</w:t>
      </w:r>
      <w:r w:rsidR="001E289A">
        <w:rPr>
          <w:b/>
          <w:sz w:val="24"/>
        </w:rPr>
        <w:t>’</w:t>
      </w:r>
      <w:r>
        <w:rPr>
          <w:b/>
          <w:sz w:val="24"/>
        </w:rPr>
        <w:t>article</w:t>
      </w:r>
      <w:r w:rsidR="001E289A">
        <w:rPr>
          <w:b/>
          <w:sz w:val="24"/>
        </w:rPr>
        <w:t> </w:t>
      </w:r>
      <w:r>
        <w:rPr>
          <w:b/>
          <w:sz w:val="24"/>
        </w:rPr>
        <w:t>2</w:t>
      </w:r>
    </w:p>
    <w:p w14:paraId="20106DC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992"/>
        <w:gridCol w:w="1559"/>
      </w:tblGrid>
      <w:tr w:rsidR="00A648B8" w:rsidRPr="005E55BB" w14:paraId="120D4823" w14:textId="77777777" w:rsidTr="00A648B8">
        <w:tc>
          <w:tcPr>
            <w:tcW w:w="6521" w:type="dxa"/>
            <w:gridSpan w:val="2"/>
          </w:tcPr>
          <w:p w14:paraId="314F4DDF" w14:textId="34869869" w:rsidR="00A648B8" w:rsidRPr="005E55BB" w:rsidRDefault="00A648B8" w:rsidP="00AC5EC1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5E55BB">
              <w:rPr>
                <w:b/>
                <w:spacing w:val="-4"/>
                <w:sz w:val="24"/>
              </w:rPr>
              <w:t>Denrée</w:t>
            </w:r>
          </w:p>
        </w:tc>
        <w:tc>
          <w:tcPr>
            <w:tcW w:w="1559" w:type="dxa"/>
          </w:tcPr>
          <w:p w14:paraId="4A6B25CC" w14:textId="77777777" w:rsidR="00A648B8" w:rsidRPr="005E55BB" w:rsidRDefault="00A648B8" w:rsidP="00202F67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5E55BB">
              <w:rPr>
                <w:b/>
                <w:spacing w:val="-4"/>
                <w:sz w:val="24"/>
              </w:rPr>
              <w:t>Gaz à effet de serre</w:t>
            </w:r>
          </w:p>
        </w:tc>
      </w:tr>
      <w:tr w:rsidR="00A648B8" w:rsidRPr="005E55BB" w14:paraId="452AB1F9" w14:textId="77777777" w:rsidTr="00A648B8">
        <w:tc>
          <w:tcPr>
            <w:tcW w:w="0" w:type="auto"/>
          </w:tcPr>
          <w:p w14:paraId="22952FC6" w14:textId="77777777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1. </w:t>
            </w:r>
          </w:p>
        </w:tc>
        <w:tc>
          <w:tcPr>
            <w:tcW w:w="5757" w:type="dxa"/>
          </w:tcPr>
          <w:p w14:paraId="5056763A" w14:textId="68544609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Appareillage à haute tension (tensions supérieures à 1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 xml:space="preserve">kV). </w:t>
            </w:r>
          </w:p>
        </w:tc>
        <w:tc>
          <w:tcPr>
            <w:tcW w:w="1559" w:type="dxa"/>
          </w:tcPr>
          <w:p w14:paraId="20026ADC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SF</w:t>
            </w:r>
            <w:r w:rsidRPr="005E55BB">
              <w:rPr>
                <w:spacing w:val="-4"/>
                <w:sz w:val="24"/>
                <w:vertAlign w:val="subscript"/>
              </w:rPr>
              <w:t>6</w:t>
            </w:r>
          </w:p>
        </w:tc>
      </w:tr>
      <w:tr w:rsidR="00A648B8" w:rsidRPr="005E55BB" w14:paraId="1D9A3F86" w14:textId="77777777" w:rsidTr="00A648B8">
        <w:tc>
          <w:tcPr>
            <w:tcW w:w="0" w:type="auto"/>
          </w:tcPr>
          <w:p w14:paraId="11FA756D" w14:textId="77777777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2. </w:t>
            </w:r>
          </w:p>
        </w:tc>
        <w:tc>
          <w:tcPr>
            <w:tcW w:w="5757" w:type="dxa"/>
          </w:tcPr>
          <w:p w14:paraId="50779384" w14:textId="22F0A192" w:rsidR="00A648B8" w:rsidRPr="005E55BB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Pompes à chaleur avec des charges de 50 kg ou moins et qui ont été entièrement assemblés en usine en tant qu</w:t>
            </w:r>
            <w:r w:rsidR="001E289A" w:rsidRPr="005E55BB">
              <w:rPr>
                <w:spacing w:val="-4"/>
                <w:sz w:val="24"/>
              </w:rPr>
              <w:t>’</w:t>
            </w:r>
            <w:r w:rsidRPr="005E55BB">
              <w:rPr>
                <w:spacing w:val="-4"/>
                <w:sz w:val="24"/>
              </w:rPr>
              <w:t>unités compactes principalement assemblées avec des soudures ou des soudures.</w:t>
            </w:r>
          </w:p>
        </w:tc>
        <w:tc>
          <w:tcPr>
            <w:tcW w:w="1559" w:type="dxa"/>
          </w:tcPr>
          <w:p w14:paraId="1662FC48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3E514B95" w14:textId="77777777" w:rsidTr="00A648B8">
        <w:tc>
          <w:tcPr>
            <w:tcW w:w="0" w:type="auto"/>
          </w:tcPr>
          <w:p w14:paraId="4183ADDA" w14:textId="77777777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3. </w:t>
            </w:r>
          </w:p>
        </w:tc>
        <w:tc>
          <w:tcPr>
            <w:tcW w:w="5757" w:type="dxa"/>
          </w:tcPr>
          <w:p w14:paraId="73B16A8B" w14:textId="6BA96708" w:rsidR="00A648B8" w:rsidRPr="005E55BB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Systèmes de refroidissement pour la récupération de chaleur avec des charges de 50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>kg ou moins et qui ont été entièrement assemblés en usine sous forme d</w:t>
            </w:r>
            <w:r w:rsidR="001E289A" w:rsidRPr="005E55BB">
              <w:rPr>
                <w:spacing w:val="-4"/>
                <w:sz w:val="24"/>
              </w:rPr>
              <w:t>’</w:t>
            </w:r>
            <w:r w:rsidRPr="005E55BB">
              <w:rPr>
                <w:spacing w:val="-4"/>
                <w:sz w:val="24"/>
              </w:rPr>
              <w:t>unités compactes principalement assemblées avec des soudures ou des soudures.</w:t>
            </w:r>
          </w:p>
        </w:tc>
        <w:tc>
          <w:tcPr>
            <w:tcW w:w="1559" w:type="dxa"/>
          </w:tcPr>
          <w:p w14:paraId="78515B57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48246B75" w14:textId="77777777" w:rsidTr="00A648B8">
        <w:tc>
          <w:tcPr>
            <w:tcW w:w="0" w:type="auto"/>
          </w:tcPr>
          <w:p w14:paraId="4FCD7B6E" w14:textId="77777777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4. </w:t>
            </w:r>
          </w:p>
        </w:tc>
        <w:tc>
          <w:tcPr>
            <w:tcW w:w="5757" w:type="dxa"/>
          </w:tcPr>
          <w:p w14:paraId="1904FECF" w14:textId="17FC90E2" w:rsidR="00A648B8" w:rsidRPr="005E55BB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Pompes à chaleur non couvertes par le n°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>2, équipements de réfrigération, climatiseurs (refroidissement de confort) et déshumidificateurs avec une charge équivalant à 5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>tonnes de CO</w:t>
            </w:r>
            <w:r w:rsidRPr="005E55BB">
              <w:rPr>
                <w:spacing w:val="-4"/>
                <w:sz w:val="24"/>
                <w:vertAlign w:val="subscript"/>
              </w:rPr>
              <w:t xml:space="preserve">2 </w:t>
            </w:r>
            <w:r w:rsidRPr="005E55BB">
              <w:rPr>
                <w:spacing w:val="-4"/>
                <w:sz w:val="24"/>
              </w:rPr>
              <w:t>ou moins</w:t>
            </w:r>
            <w:r w:rsidRPr="005E55BB">
              <w:rPr>
                <w:rStyle w:val="FootnoteReference"/>
                <w:spacing w:val="-4"/>
                <w:sz w:val="24"/>
                <w:szCs w:val="24"/>
              </w:rPr>
              <w:footnoteReference w:id="2"/>
            </w:r>
            <w:r w:rsidRPr="005E55BB">
              <w:rPr>
                <w:spacing w:val="-4"/>
                <w:sz w:val="24"/>
              </w:rPr>
              <w:t>.</w:t>
            </w:r>
          </w:p>
        </w:tc>
        <w:tc>
          <w:tcPr>
            <w:tcW w:w="1559" w:type="dxa"/>
          </w:tcPr>
          <w:p w14:paraId="6FB0087D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43EC6865" w14:textId="77777777" w:rsidTr="00A648B8">
        <w:tc>
          <w:tcPr>
            <w:tcW w:w="0" w:type="auto"/>
          </w:tcPr>
          <w:p w14:paraId="383B476A" w14:textId="77777777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5.</w:t>
            </w:r>
          </w:p>
        </w:tc>
        <w:tc>
          <w:tcPr>
            <w:tcW w:w="5757" w:type="dxa"/>
          </w:tcPr>
          <w:p w14:paraId="552F742A" w14:textId="372A4770" w:rsidR="00A648B8" w:rsidRPr="005E55BB" w:rsidRDefault="00A648B8" w:rsidP="00D177F6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Équipements de réfrigération non couverts par le point 4, avec des charges comprises entre 0,15 kg et 10 kg, et qui ont été entièrement assemblés en usine sous forme d</w:t>
            </w:r>
            <w:r w:rsidR="001E289A" w:rsidRPr="005E55BB">
              <w:rPr>
                <w:spacing w:val="-4"/>
                <w:sz w:val="24"/>
              </w:rPr>
              <w:t>’</w:t>
            </w:r>
            <w:r w:rsidRPr="005E55BB">
              <w:rPr>
                <w:spacing w:val="-4"/>
                <w:sz w:val="24"/>
              </w:rPr>
              <w:t>unités compactes, essentiellement par soudage ou par brasage tendre.</w:t>
            </w:r>
          </w:p>
        </w:tc>
        <w:tc>
          <w:tcPr>
            <w:tcW w:w="1559" w:type="dxa"/>
          </w:tcPr>
          <w:p w14:paraId="1888541D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  <w:p w14:paraId="410FA2BE" w14:textId="77777777" w:rsidR="00A648B8" w:rsidRPr="005E55BB" w:rsidRDefault="00A648B8" w:rsidP="0014388C">
            <w:pPr>
              <w:rPr>
                <w:spacing w:val="-4"/>
              </w:rPr>
            </w:pPr>
          </w:p>
          <w:p w14:paraId="0FE3346F" w14:textId="77777777" w:rsidR="00A648B8" w:rsidRPr="005E55BB" w:rsidRDefault="00A648B8" w:rsidP="0014388C">
            <w:pPr>
              <w:pStyle w:val="NoSpacing"/>
              <w:rPr>
                <w:spacing w:val="-4"/>
                <w:sz w:val="24"/>
                <w:szCs w:val="24"/>
              </w:rPr>
            </w:pPr>
          </w:p>
        </w:tc>
      </w:tr>
      <w:tr w:rsidR="00A648B8" w:rsidRPr="005E55BB" w14:paraId="12401CFF" w14:textId="77777777" w:rsidTr="00A648B8">
        <w:tc>
          <w:tcPr>
            <w:tcW w:w="0" w:type="auto"/>
          </w:tcPr>
          <w:p w14:paraId="5F6DD264" w14:textId="18352B4D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6. </w:t>
            </w:r>
          </w:p>
        </w:tc>
        <w:tc>
          <w:tcPr>
            <w:tcW w:w="5757" w:type="dxa"/>
          </w:tcPr>
          <w:p w14:paraId="132D2F28" w14:textId="14191B63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Refroidisseurs de vaccins.</w:t>
            </w:r>
          </w:p>
        </w:tc>
        <w:tc>
          <w:tcPr>
            <w:tcW w:w="1559" w:type="dxa"/>
          </w:tcPr>
          <w:p w14:paraId="4776C96D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7D16CF08" w14:textId="77777777" w:rsidTr="00A648B8">
        <w:tc>
          <w:tcPr>
            <w:tcW w:w="0" w:type="auto"/>
          </w:tcPr>
          <w:p w14:paraId="40A5209A" w14:textId="4ACAEBBC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7. </w:t>
            </w:r>
          </w:p>
        </w:tc>
        <w:tc>
          <w:tcPr>
            <w:tcW w:w="5757" w:type="dxa"/>
          </w:tcPr>
          <w:p w14:paraId="19E0961B" w14:textId="4C6A57F9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Équipement de réfrigération mobile.</w:t>
            </w:r>
          </w:p>
        </w:tc>
        <w:tc>
          <w:tcPr>
            <w:tcW w:w="1559" w:type="dxa"/>
          </w:tcPr>
          <w:p w14:paraId="57EB3B56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5641BCDB" w14:textId="77777777" w:rsidTr="00A648B8">
        <w:tc>
          <w:tcPr>
            <w:tcW w:w="0" w:type="auto"/>
          </w:tcPr>
          <w:p w14:paraId="6F1150D4" w14:textId="65C25F11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8. </w:t>
            </w:r>
          </w:p>
        </w:tc>
        <w:tc>
          <w:tcPr>
            <w:tcW w:w="5757" w:type="dxa"/>
          </w:tcPr>
          <w:p w14:paraId="0656B6A7" w14:textId="79B8FE8A" w:rsidR="00A648B8" w:rsidRPr="005E55BB" w:rsidRDefault="00A648B8" w:rsidP="00CE5CBA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Climatiseurs dans les véhicules ou les avions.</w:t>
            </w:r>
          </w:p>
        </w:tc>
        <w:tc>
          <w:tcPr>
            <w:tcW w:w="1559" w:type="dxa"/>
          </w:tcPr>
          <w:p w14:paraId="47A9CBDB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0E078C0E" w14:textId="77777777" w:rsidTr="00A648B8">
        <w:tc>
          <w:tcPr>
            <w:tcW w:w="0" w:type="auto"/>
          </w:tcPr>
          <w:p w14:paraId="32F6FB12" w14:textId="7FF64B35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9. </w:t>
            </w:r>
          </w:p>
        </w:tc>
        <w:tc>
          <w:tcPr>
            <w:tcW w:w="5757" w:type="dxa"/>
          </w:tcPr>
          <w:p w14:paraId="480AAF64" w14:textId="7CAD4BC8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Congélateurs basse température (températures inférieures à -50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>°C).</w:t>
            </w:r>
          </w:p>
        </w:tc>
        <w:tc>
          <w:tcPr>
            <w:tcW w:w="1559" w:type="dxa"/>
          </w:tcPr>
          <w:p w14:paraId="5CF75E9A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748DD4C6" w14:textId="77777777" w:rsidTr="00A648B8">
        <w:tc>
          <w:tcPr>
            <w:tcW w:w="0" w:type="auto"/>
          </w:tcPr>
          <w:p w14:paraId="5294B4D9" w14:textId="26B02CDD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10. </w:t>
            </w:r>
          </w:p>
        </w:tc>
        <w:tc>
          <w:tcPr>
            <w:tcW w:w="5757" w:type="dxa"/>
          </w:tcPr>
          <w:p w14:paraId="2DEAD8C7" w14:textId="32F716E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Aérosols médicaux.</w:t>
            </w:r>
          </w:p>
        </w:tc>
        <w:tc>
          <w:tcPr>
            <w:tcW w:w="1559" w:type="dxa"/>
          </w:tcPr>
          <w:p w14:paraId="258B0C02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0089A89C" w14:textId="77777777" w:rsidTr="00A648B8">
        <w:tc>
          <w:tcPr>
            <w:tcW w:w="0" w:type="auto"/>
          </w:tcPr>
          <w:p w14:paraId="00289EFA" w14:textId="4FB5D075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11. </w:t>
            </w:r>
          </w:p>
        </w:tc>
        <w:tc>
          <w:tcPr>
            <w:tcW w:w="5757" w:type="dxa"/>
          </w:tcPr>
          <w:p w14:paraId="316797CA" w14:textId="369E3539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Équipement de laboratoire.</w:t>
            </w:r>
          </w:p>
        </w:tc>
        <w:tc>
          <w:tcPr>
            <w:tcW w:w="1559" w:type="dxa"/>
          </w:tcPr>
          <w:p w14:paraId="6E36F859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  <w:tr w:rsidR="00A648B8" w:rsidRPr="005E55BB" w14:paraId="44AE11D6" w14:textId="77777777" w:rsidTr="00A648B8">
        <w:tc>
          <w:tcPr>
            <w:tcW w:w="0" w:type="auto"/>
          </w:tcPr>
          <w:p w14:paraId="3C161C86" w14:textId="0D0AFEDC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12. </w:t>
            </w:r>
          </w:p>
        </w:tc>
        <w:tc>
          <w:tcPr>
            <w:tcW w:w="5757" w:type="dxa"/>
          </w:tcPr>
          <w:p w14:paraId="37510ED5" w14:textId="33BD6BFC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Installations pour le test des équipements de refroidissement.</w:t>
            </w:r>
          </w:p>
        </w:tc>
        <w:tc>
          <w:tcPr>
            <w:tcW w:w="1559" w:type="dxa"/>
          </w:tcPr>
          <w:p w14:paraId="3BB2D1A1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A648B8" w:rsidRPr="005E55BB" w14:paraId="7D6BFAEA" w14:textId="77777777" w:rsidTr="00A648B8">
        <w:tc>
          <w:tcPr>
            <w:tcW w:w="0" w:type="auto"/>
          </w:tcPr>
          <w:p w14:paraId="64EF29BD" w14:textId="79DFF60A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13. </w:t>
            </w:r>
          </w:p>
        </w:tc>
        <w:tc>
          <w:tcPr>
            <w:tcW w:w="5757" w:type="dxa"/>
          </w:tcPr>
          <w:p w14:paraId="4621202F" w14:textId="60B388EF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Dispositifs de commande automatiques (thermostats, vannes, etc.).</w:t>
            </w:r>
          </w:p>
        </w:tc>
        <w:tc>
          <w:tcPr>
            <w:tcW w:w="1559" w:type="dxa"/>
          </w:tcPr>
          <w:p w14:paraId="7FDC93D2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  <w:tr w:rsidR="00A648B8" w:rsidRPr="005E55BB" w14:paraId="74A0F934" w14:textId="77777777" w:rsidTr="00A648B8">
        <w:tc>
          <w:tcPr>
            <w:tcW w:w="0" w:type="auto"/>
          </w:tcPr>
          <w:p w14:paraId="3285DC65" w14:textId="1FEEDFB6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14. </w:t>
            </w:r>
          </w:p>
        </w:tc>
        <w:tc>
          <w:tcPr>
            <w:tcW w:w="5757" w:type="dxa"/>
          </w:tcPr>
          <w:p w14:paraId="5464CC0F" w14:textId="1EE3C1F4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Denrées à usage militaire.</w:t>
            </w:r>
          </w:p>
        </w:tc>
        <w:tc>
          <w:tcPr>
            <w:tcW w:w="1559" w:type="dxa"/>
          </w:tcPr>
          <w:p w14:paraId="39F52C39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  <w:tr w:rsidR="00A648B8" w:rsidRPr="005E55BB" w14:paraId="4E62F6FC" w14:textId="77777777" w:rsidTr="00A648B8">
        <w:tc>
          <w:tcPr>
            <w:tcW w:w="0" w:type="auto"/>
          </w:tcPr>
          <w:p w14:paraId="5E852D82" w14:textId="37B20F2A" w:rsidR="00A648B8" w:rsidRPr="005E55BB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15. </w:t>
            </w:r>
          </w:p>
        </w:tc>
        <w:tc>
          <w:tcPr>
            <w:tcW w:w="5757" w:type="dxa"/>
          </w:tcPr>
          <w:p w14:paraId="362FCA8A" w14:textId="543E485A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Denrées utilisées à bord de navires</w:t>
            </w:r>
          </w:p>
        </w:tc>
        <w:tc>
          <w:tcPr>
            <w:tcW w:w="1559" w:type="dxa"/>
          </w:tcPr>
          <w:p w14:paraId="6279E2B4" w14:textId="77777777" w:rsidR="00A648B8" w:rsidRPr="005E55BB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</w:tbl>
    <w:p w14:paraId="45A9F1CC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</w:rPr>
        <w:t xml:space="preserve"> </w:t>
      </w:r>
    </w:p>
    <w:p w14:paraId="23ADE731" w14:textId="662DEC27" w:rsidR="00913B34" w:rsidRPr="00844884" w:rsidRDefault="00913B34">
      <w:pPr>
        <w:rPr>
          <w:b/>
          <w:sz w:val="24"/>
          <w:szCs w:val="24"/>
        </w:rPr>
      </w:pPr>
    </w:p>
    <w:p w14:paraId="618B1299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</w:rPr>
        <w:lastRenderedPageBreak/>
        <w:t>Annexe 2</w:t>
      </w:r>
    </w:p>
    <w:p w14:paraId="2F556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79B3B04A" w14:textId="2DCE4B05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L</w:t>
      </w:r>
      <w:r w:rsidR="001E289A">
        <w:rPr>
          <w:b/>
          <w:sz w:val="24"/>
        </w:rPr>
        <w:t>’</w:t>
      </w:r>
      <w:r>
        <w:rPr>
          <w:b/>
          <w:sz w:val="24"/>
        </w:rPr>
        <w:t xml:space="preserve">utilisation des gaz à effet de serre suivants </w:t>
      </w:r>
      <w:r w:rsidR="001E289A">
        <w:rPr>
          <w:b/>
          <w:sz w:val="24"/>
        </w:rPr>
        <w:t>es</w:t>
      </w:r>
      <w:r>
        <w:rPr>
          <w:b/>
          <w:sz w:val="24"/>
        </w:rPr>
        <w:t>t exempté</w:t>
      </w:r>
      <w:r w:rsidR="001E289A">
        <w:rPr>
          <w:b/>
          <w:sz w:val="24"/>
        </w:rPr>
        <w:t>e</w:t>
      </w:r>
      <w:r>
        <w:rPr>
          <w:b/>
          <w:sz w:val="24"/>
        </w:rPr>
        <w:t xml:space="preserve"> de l</w:t>
      </w:r>
      <w:r w:rsidR="001E289A">
        <w:rPr>
          <w:b/>
          <w:sz w:val="24"/>
        </w:rPr>
        <w:t>’</w:t>
      </w:r>
      <w:r>
        <w:rPr>
          <w:b/>
          <w:sz w:val="24"/>
        </w:rPr>
        <w:t>interdiction de l</w:t>
      </w:r>
      <w:r w:rsidR="001E289A">
        <w:rPr>
          <w:b/>
          <w:sz w:val="24"/>
        </w:rPr>
        <w:t>’</w:t>
      </w:r>
      <w:r>
        <w:rPr>
          <w:b/>
          <w:sz w:val="24"/>
        </w:rPr>
        <w:t>article 3</w:t>
      </w:r>
    </w:p>
    <w:p w14:paraId="7D7EEFA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010"/>
        <w:gridCol w:w="3097"/>
      </w:tblGrid>
      <w:tr w:rsidR="00913B34" w:rsidRPr="005E55BB" w14:paraId="3A953337" w14:textId="77777777" w:rsidTr="00293B5E">
        <w:tc>
          <w:tcPr>
            <w:tcW w:w="6629" w:type="dxa"/>
            <w:gridSpan w:val="2"/>
          </w:tcPr>
          <w:p w14:paraId="09BBF14C" w14:textId="71979729" w:rsidR="00913B34" w:rsidRPr="005E55BB" w:rsidRDefault="00913B34" w:rsidP="00913B34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5E55BB">
              <w:rPr>
                <w:b/>
                <w:spacing w:val="-4"/>
                <w:sz w:val="24"/>
              </w:rPr>
              <w:t>Application</w:t>
            </w:r>
          </w:p>
        </w:tc>
        <w:tc>
          <w:tcPr>
            <w:tcW w:w="3149" w:type="dxa"/>
          </w:tcPr>
          <w:p w14:paraId="0A24A331" w14:textId="77777777" w:rsidR="00913B34" w:rsidRPr="005E55BB" w:rsidRDefault="00913B34" w:rsidP="00A57AFD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5E55BB">
              <w:rPr>
                <w:b/>
                <w:spacing w:val="-4"/>
                <w:sz w:val="24"/>
              </w:rPr>
              <w:t>Gaz à effet de serre</w:t>
            </w:r>
          </w:p>
        </w:tc>
      </w:tr>
      <w:tr w:rsidR="00913B34" w:rsidRPr="005E55BB" w14:paraId="61F0E27E" w14:textId="77777777" w:rsidTr="00293B5E">
        <w:tc>
          <w:tcPr>
            <w:tcW w:w="534" w:type="dxa"/>
          </w:tcPr>
          <w:p w14:paraId="08DAA977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1. </w:t>
            </w:r>
          </w:p>
        </w:tc>
        <w:tc>
          <w:tcPr>
            <w:tcW w:w="6095" w:type="dxa"/>
          </w:tcPr>
          <w:p w14:paraId="47A3DD99" w14:textId="317809A9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Entretien des équipements de réfrigération, des climatiseurs, des pompes à chaleur et des déshumidificateurs.</w:t>
            </w:r>
          </w:p>
        </w:tc>
        <w:tc>
          <w:tcPr>
            <w:tcW w:w="3149" w:type="dxa"/>
          </w:tcPr>
          <w:p w14:paraId="7479063A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913B34" w:rsidRPr="005E55BB" w14:paraId="3F324DDC" w14:textId="77777777" w:rsidTr="00293B5E">
        <w:tc>
          <w:tcPr>
            <w:tcW w:w="534" w:type="dxa"/>
          </w:tcPr>
          <w:p w14:paraId="712DECB0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2. </w:t>
            </w:r>
          </w:p>
        </w:tc>
        <w:tc>
          <w:tcPr>
            <w:tcW w:w="6095" w:type="dxa"/>
          </w:tcPr>
          <w:p w14:paraId="09DE11E1" w14:textId="562D8311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Entretien de la climatisation dans les véhicules ou les avions.</w:t>
            </w:r>
          </w:p>
        </w:tc>
        <w:tc>
          <w:tcPr>
            <w:tcW w:w="3149" w:type="dxa"/>
          </w:tcPr>
          <w:p w14:paraId="2760949F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HFCs</w:t>
            </w:r>
          </w:p>
        </w:tc>
      </w:tr>
      <w:tr w:rsidR="00913B34" w:rsidRPr="005E55BB" w14:paraId="1AC6B87E" w14:textId="77777777" w:rsidTr="00293B5E">
        <w:tc>
          <w:tcPr>
            <w:tcW w:w="534" w:type="dxa"/>
          </w:tcPr>
          <w:p w14:paraId="07E1D04F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3. </w:t>
            </w:r>
          </w:p>
        </w:tc>
        <w:tc>
          <w:tcPr>
            <w:tcW w:w="6095" w:type="dxa"/>
          </w:tcPr>
          <w:p w14:paraId="7D0122F0" w14:textId="21BB7F42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Entretien des appareillages haute tension (tensions supérieures à 1</w:t>
            </w:r>
            <w:r w:rsidR="001E289A" w:rsidRPr="005E55BB">
              <w:rPr>
                <w:spacing w:val="-4"/>
                <w:sz w:val="24"/>
              </w:rPr>
              <w:t> </w:t>
            </w:r>
            <w:r w:rsidRPr="005E55BB">
              <w:rPr>
                <w:spacing w:val="-4"/>
                <w:sz w:val="24"/>
              </w:rPr>
              <w:t>kV).</w:t>
            </w:r>
          </w:p>
        </w:tc>
        <w:tc>
          <w:tcPr>
            <w:tcW w:w="3149" w:type="dxa"/>
          </w:tcPr>
          <w:p w14:paraId="2FA652E4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SF</w:t>
            </w:r>
            <w:r w:rsidRPr="005E55BB">
              <w:rPr>
                <w:spacing w:val="-4"/>
                <w:sz w:val="24"/>
                <w:vertAlign w:val="subscript"/>
              </w:rPr>
              <w:t>6</w:t>
            </w:r>
          </w:p>
        </w:tc>
      </w:tr>
      <w:tr w:rsidR="00913B34" w:rsidRPr="005E55BB" w14:paraId="02B0D016" w14:textId="77777777" w:rsidTr="00293B5E">
        <w:tc>
          <w:tcPr>
            <w:tcW w:w="534" w:type="dxa"/>
          </w:tcPr>
          <w:p w14:paraId="54A06E13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4. </w:t>
            </w:r>
          </w:p>
        </w:tc>
        <w:tc>
          <w:tcPr>
            <w:tcW w:w="6095" w:type="dxa"/>
          </w:tcPr>
          <w:p w14:paraId="29ABA080" w14:textId="2C558004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Entretien de l</w:t>
            </w:r>
            <w:r w:rsidR="001E289A" w:rsidRPr="005E55BB">
              <w:rPr>
                <w:spacing w:val="-4"/>
                <w:sz w:val="24"/>
              </w:rPr>
              <w:t>’</w:t>
            </w:r>
            <w:r w:rsidRPr="005E55BB">
              <w:rPr>
                <w:spacing w:val="-4"/>
                <w:sz w:val="24"/>
              </w:rPr>
              <w:t>équipement de laboratoire.</w:t>
            </w:r>
          </w:p>
        </w:tc>
        <w:tc>
          <w:tcPr>
            <w:tcW w:w="3149" w:type="dxa"/>
          </w:tcPr>
          <w:p w14:paraId="383920EC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  <w:tr w:rsidR="00913B34" w:rsidRPr="005E55BB" w14:paraId="69EECA1B" w14:textId="77777777" w:rsidTr="00293B5E">
        <w:tc>
          <w:tcPr>
            <w:tcW w:w="534" w:type="dxa"/>
          </w:tcPr>
          <w:p w14:paraId="542B8102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5. </w:t>
            </w:r>
          </w:p>
        </w:tc>
        <w:tc>
          <w:tcPr>
            <w:tcW w:w="6095" w:type="dxa"/>
          </w:tcPr>
          <w:p w14:paraId="2400F93B" w14:textId="10F59DD1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Utilisation militaire.</w:t>
            </w:r>
          </w:p>
        </w:tc>
        <w:tc>
          <w:tcPr>
            <w:tcW w:w="3149" w:type="dxa"/>
          </w:tcPr>
          <w:p w14:paraId="54660C32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  <w:tr w:rsidR="00913B34" w:rsidRPr="005E55BB" w14:paraId="6299D85E" w14:textId="77777777" w:rsidTr="00293B5E">
        <w:tc>
          <w:tcPr>
            <w:tcW w:w="534" w:type="dxa"/>
          </w:tcPr>
          <w:p w14:paraId="08CC55E3" w14:textId="77777777" w:rsidR="00913B34" w:rsidRPr="005E55BB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 xml:space="preserve">6. </w:t>
            </w:r>
          </w:p>
        </w:tc>
        <w:tc>
          <w:tcPr>
            <w:tcW w:w="6095" w:type="dxa"/>
          </w:tcPr>
          <w:p w14:paraId="2207A468" w14:textId="648198CA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Utilisation à bord des navires</w:t>
            </w:r>
          </w:p>
        </w:tc>
        <w:tc>
          <w:tcPr>
            <w:tcW w:w="3149" w:type="dxa"/>
          </w:tcPr>
          <w:p w14:paraId="1A3AF370" w14:textId="77777777" w:rsidR="00913B34" w:rsidRPr="005E55BB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5E55BB">
              <w:rPr>
                <w:spacing w:val="-4"/>
                <w:sz w:val="24"/>
              </w:rPr>
              <w:t>Tous</w:t>
            </w:r>
          </w:p>
        </w:tc>
      </w:tr>
    </w:tbl>
    <w:p w14:paraId="430E6F55" w14:textId="77777777" w:rsidR="00372CA9" w:rsidRPr="00844884" w:rsidRDefault="00372CA9" w:rsidP="00913B34">
      <w:pPr>
        <w:pStyle w:val="NoSpacing"/>
        <w:rPr>
          <w:sz w:val="24"/>
          <w:szCs w:val="24"/>
        </w:rPr>
      </w:pPr>
    </w:p>
    <w:sectPr w:rsidR="00372CA9" w:rsidRPr="00844884" w:rsidSect="004232BB">
      <w:head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3FE8D" w14:textId="77777777" w:rsidR="003E2E6F" w:rsidRDefault="003E2E6F" w:rsidP="00AC5EC1">
      <w:pPr>
        <w:spacing w:after="0" w:line="240" w:lineRule="auto"/>
      </w:pPr>
      <w:r>
        <w:separator/>
      </w:r>
    </w:p>
  </w:endnote>
  <w:endnote w:type="continuationSeparator" w:id="0">
    <w:p w14:paraId="6463E0F4" w14:textId="77777777" w:rsidR="003E2E6F" w:rsidRDefault="003E2E6F" w:rsidP="00A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D003" w14:textId="77777777" w:rsidR="003E2E6F" w:rsidRDefault="003E2E6F" w:rsidP="00AC5EC1">
      <w:pPr>
        <w:spacing w:after="0" w:line="240" w:lineRule="auto"/>
      </w:pPr>
      <w:r>
        <w:separator/>
      </w:r>
    </w:p>
  </w:footnote>
  <w:footnote w:type="continuationSeparator" w:id="0">
    <w:p w14:paraId="66294E19" w14:textId="77777777" w:rsidR="003E2E6F" w:rsidRDefault="003E2E6F" w:rsidP="00AC5EC1">
      <w:pPr>
        <w:spacing w:after="0" w:line="240" w:lineRule="auto"/>
      </w:pPr>
      <w:r>
        <w:continuationSeparator/>
      </w:r>
    </w:p>
  </w:footnote>
  <w:footnote w:id="1">
    <w:p w14:paraId="59B28892" w14:textId="5B162848" w:rsidR="00D4326E" w:rsidRDefault="00D4326E">
      <w:pPr>
        <w:pStyle w:val="FootnoteText"/>
      </w:pPr>
      <w:r>
        <w:rPr>
          <w:rStyle w:val="FootnoteReference"/>
        </w:rPr>
        <w:footnoteRef/>
      </w:r>
      <w:r>
        <w:t xml:space="preserve"> Une note sur la notification conformément à la directive sur la procédure d</w:t>
      </w:r>
      <w:r w:rsidR="001E289A">
        <w:t>’</w:t>
      </w:r>
      <w:r>
        <w:t>information doit être insérée ici une fois que cette notification a été faite.</w:t>
      </w:r>
    </w:p>
  </w:footnote>
  <w:footnote w:id="2">
    <w:p w14:paraId="312E29FF" w14:textId="551AE877" w:rsidR="00A648B8" w:rsidRDefault="00A648B8" w:rsidP="00924C32">
      <w:pPr>
        <w:pStyle w:val="FootnoteText"/>
      </w:pPr>
      <w:r>
        <w:rPr>
          <w:rStyle w:val="FootnoteReference"/>
        </w:rPr>
        <w:footnoteRef/>
      </w:r>
      <w:r>
        <w:t xml:space="preserve"> La quantité et les équivalents CO</w:t>
      </w:r>
      <w:r>
        <w:rPr>
          <w:vertAlign w:val="subscript"/>
        </w:rPr>
        <w:t>2</w:t>
      </w:r>
      <w:r>
        <w:t xml:space="preserve"> sont définis conformément aux règles applicables à l</w:t>
      </w:r>
      <w:r w:rsidR="001E289A">
        <w:t>’</w:t>
      </w:r>
      <w:r>
        <w:t>étiquetage en vertu de l</w:t>
      </w:r>
      <w:r w:rsidR="001E289A">
        <w:t>’</w:t>
      </w:r>
      <w:r>
        <w:t>article 12, paragraphe 3, alinéa c, du règlement (UE) nº 517/2014 du Parlement européen et du Conseil du 16 avril 2014 relatif aux gaz à effet de serre fluorés et abrogeant le règlement (CE) nº 842/2006.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DCDF" w14:textId="1B37B487" w:rsidR="004232BB" w:rsidRPr="00606779" w:rsidRDefault="004232BB" w:rsidP="004232BB">
    <w:pPr>
      <w:pStyle w:val="Header"/>
      <w:jc w:val="center"/>
      <w:rPr>
        <w:b/>
        <w:sz w:val="28"/>
        <w:szCs w:val="28"/>
      </w:rPr>
    </w:pPr>
    <w:r>
      <w:rPr>
        <w:b/>
        <w:sz w:val="28"/>
      </w:rPr>
      <w:t>PROJET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1DE8"/>
    <w:multiLevelType w:val="hybridMultilevel"/>
    <w:tmpl w:val="2BFCA6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C1"/>
    <w:rsid w:val="00000384"/>
    <w:rsid w:val="000016B1"/>
    <w:rsid w:val="00001AB7"/>
    <w:rsid w:val="00002CBC"/>
    <w:rsid w:val="00004186"/>
    <w:rsid w:val="00004612"/>
    <w:rsid w:val="00004911"/>
    <w:rsid w:val="000069CE"/>
    <w:rsid w:val="000071CF"/>
    <w:rsid w:val="000075B8"/>
    <w:rsid w:val="0000770A"/>
    <w:rsid w:val="00007C6C"/>
    <w:rsid w:val="00007DA7"/>
    <w:rsid w:val="000105D4"/>
    <w:rsid w:val="00010BBF"/>
    <w:rsid w:val="00012A6C"/>
    <w:rsid w:val="00014B6E"/>
    <w:rsid w:val="000163C2"/>
    <w:rsid w:val="00020930"/>
    <w:rsid w:val="00021633"/>
    <w:rsid w:val="0002296A"/>
    <w:rsid w:val="00023060"/>
    <w:rsid w:val="00023200"/>
    <w:rsid w:val="0002363D"/>
    <w:rsid w:val="0002782B"/>
    <w:rsid w:val="0003169C"/>
    <w:rsid w:val="00032BCD"/>
    <w:rsid w:val="00032D45"/>
    <w:rsid w:val="00032E4E"/>
    <w:rsid w:val="000337E1"/>
    <w:rsid w:val="00035737"/>
    <w:rsid w:val="00041A15"/>
    <w:rsid w:val="00041B5E"/>
    <w:rsid w:val="0004273A"/>
    <w:rsid w:val="00044C93"/>
    <w:rsid w:val="00045D4B"/>
    <w:rsid w:val="00046185"/>
    <w:rsid w:val="00047355"/>
    <w:rsid w:val="00050FBB"/>
    <w:rsid w:val="0005443C"/>
    <w:rsid w:val="00056648"/>
    <w:rsid w:val="00060880"/>
    <w:rsid w:val="00060961"/>
    <w:rsid w:val="0006193E"/>
    <w:rsid w:val="00061F80"/>
    <w:rsid w:val="00062B88"/>
    <w:rsid w:val="000649C1"/>
    <w:rsid w:val="00064DA9"/>
    <w:rsid w:val="00065F61"/>
    <w:rsid w:val="00066B41"/>
    <w:rsid w:val="000673BA"/>
    <w:rsid w:val="000703A0"/>
    <w:rsid w:val="00071CEE"/>
    <w:rsid w:val="000725B7"/>
    <w:rsid w:val="00075B8F"/>
    <w:rsid w:val="00075F95"/>
    <w:rsid w:val="00077AAD"/>
    <w:rsid w:val="00080568"/>
    <w:rsid w:val="000817AE"/>
    <w:rsid w:val="00081CFF"/>
    <w:rsid w:val="0008355B"/>
    <w:rsid w:val="00083AFA"/>
    <w:rsid w:val="00086BA1"/>
    <w:rsid w:val="00086D90"/>
    <w:rsid w:val="000919D0"/>
    <w:rsid w:val="00093E7E"/>
    <w:rsid w:val="00094F05"/>
    <w:rsid w:val="000950E7"/>
    <w:rsid w:val="00096391"/>
    <w:rsid w:val="00096A9D"/>
    <w:rsid w:val="00096C14"/>
    <w:rsid w:val="000A01BC"/>
    <w:rsid w:val="000A1633"/>
    <w:rsid w:val="000A61C3"/>
    <w:rsid w:val="000A61FC"/>
    <w:rsid w:val="000A6416"/>
    <w:rsid w:val="000B1589"/>
    <w:rsid w:val="000B3E0D"/>
    <w:rsid w:val="000B3F1A"/>
    <w:rsid w:val="000B3FBD"/>
    <w:rsid w:val="000B52D1"/>
    <w:rsid w:val="000B77BE"/>
    <w:rsid w:val="000B7FC0"/>
    <w:rsid w:val="000C0763"/>
    <w:rsid w:val="000C2C5B"/>
    <w:rsid w:val="000C3E67"/>
    <w:rsid w:val="000C49BA"/>
    <w:rsid w:val="000C4DFC"/>
    <w:rsid w:val="000C523D"/>
    <w:rsid w:val="000C56F6"/>
    <w:rsid w:val="000C69BE"/>
    <w:rsid w:val="000D0062"/>
    <w:rsid w:val="000D07D8"/>
    <w:rsid w:val="000D0F66"/>
    <w:rsid w:val="000D13A0"/>
    <w:rsid w:val="000D22E7"/>
    <w:rsid w:val="000D256D"/>
    <w:rsid w:val="000D2570"/>
    <w:rsid w:val="000D29EC"/>
    <w:rsid w:val="000D2E9E"/>
    <w:rsid w:val="000D3A79"/>
    <w:rsid w:val="000D434D"/>
    <w:rsid w:val="000D5555"/>
    <w:rsid w:val="000D69FC"/>
    <w:rsid w:val="000D7315"/>
    <w:rsid w:val="000E2F14"/>
    <w:rsid w:val="000E36F0"/>
    <w:rsid w:val="000E4FB8"/>
    <w:rsid w:val="000E6142"/>
    <w:rsid w:val="000E65A7"/>
    <w:rsid w:val="000F198A"/>
    <w:rsid w:val="000F2932"/>
    <w:rsid w:val="000F3D6C"/>
    <w:rsid w:val="000F5C64"/>
    <w:rsid w:val="000F66F0"/>
    <w:rsid w:val="000F7709"/>
    <w:rsid w:val="0010008A"/>
    <w:rsid w:val="00100514"/>
    <w:rsid w:val="001005A5"/>
    <w:rsid w:val="001019E1"/>
    <w:rsid w:val="00102B10"/>
    <w:rsid w:val="00104766"/>
    <w:rsid w:val="00105698"/>
    <w:rsid w:val="00111151"/>
    <w:rsid w:val="00111BDA"/>
    <w:rsid w:val="00112A5B"/>
    <w:rsid w:val="00112B94"/>
    <w:rsid w:val="00112D8B"/>
    <w:rsid w:val="00114FF5"/>
    <w:rsid w:val="0011511D"/>
    <w:rsid w:val="0011630E"/>
    <w:rsid w:val="00116EEE"/>
    <w:rsid w:val="00121614"/>
    <w:rsid w:val="00122D52"/>
    <w:rsid w:val="00124C30"/>
    <w:rsid w:val="00126F5F"/>
    <w:rsid w:val="0012724B"/>
    <w:rsid w:val="001275F6"/>
    <w:rsid w:val="00133083"/>
    <w:rsid w:val="00133317"/>
    <w:rsid w:val="00134898"/>
    <w:rsid w:val="00135307"/>
    <w:rsid w:val="00137B52"/>
    <w:rsid w:val="00137F7F"/>
    <w:rsid w:val="00142682"/>
    <w:rsid w:val="00142AE2"/>
    <w:rsid w:val="001434B8"/>
    <w:rsid w:val="00143830"/>
    <w:rsid w:val="0014388C"/>
    <w:rsid w:val="00144140"/>
    <w:rsid w:val="00144477"/>
    <w:rsid w:val="00144B31"/>
    <w:rsid w:val="0014587B"/>
    <w:rsid w:val="001473A9"/>
    <w:rsid w:val="00151714"/>
    <w:rsid w:val="00152BE1"/>
    <w:rsid w:val="00154284"/>
    <w:rsid w:val="0015596F"/>
    <w:rsid w:val="0015651B"/>
    <w:rsid w:val="001567EF"/>
    <w:rsid w:val="001570CC"/>
    <w:rsid w:val="00157883"/>
    <w:rsid w:val="00160940"/>
    <w:rsid w:val="00161D5D"/>
    <w:rsid w:val="00162009"/>
    <w:rsid w:val="001622B0"/>
    <w:rsid w:val="00163FA2"/>
    <w:rsid w:val="00164ADF"/>
    <w:rsid w:val="0016586A"/>
    <w:rsid w:val="001658D4"/>
    <w:rsid w:val="00170752"/>
    <w:rsid w:val="00170DA5"/>
    <w:rsid w:val="00171D8A"/>
    <w:rsid w:val="001734A3"/>
    <w:rsid w:val="001734D8"/>
    <w:rsid w:val="0017553D"/>
    <w:rsid w:val="00176708"/>
    <w:rsid w:val="00176E20"/>
    <w:rsid w:val="00177004"/>
    <w:rsid w:val="00181572"/>
    <w:rsid w:val="001816EF"/>
    <w:rsid w:val="0018245E"/>
    <w:rsid w:val="00182BE0"/>
    <w:rsid w:val="00184114"/>
    <w:rsid w:val="001854BC"/>
    <w:rsid w:val="00186E97"/>
    <w:rsid w:val="00187947"/>
    <w:rsid w:val="0019013B"/>
    <w:rsid w:val="001902B8"/>
    <w:rsid w:val="00190ADD"/>
    <w:rsid w:val="00190D60"/>
    <w:rsid w:val="001913B3"/>
    <w:rsid w:val="00191FDD"/>
    <w:rsid w:val="001957B3"/>
    <w:rsid w:val="001961C4"/>
    <w:rsid w:val="00196705"/>
    <w:rsid w:val="001A0AD6"/>
    <w:rsid w:val="001A1073"/>
    <w:rsid w:val="001A149B"/>
    <w:rsid w:val="001A15A3"/>
    <w:rsid w:val="001A238E"/>
    <w:rsid w:val="001A29FB"/>
    <w:rsid w:val="001A4C38"/>
    <w:rsid w:val="001A4F66"/>
    <w:rsid w:val="001A6D34"/>
    <w:rsid w:val="001A6ED2"/>
    <w:rsid w:val="001B1751"/>
    <w:rsid w:val="001B5520"/>
    <w:rsid w:val="001B5E7F"/>
    <w:rsid w:val="001B6B83"/>
    <w:rsid w:val="001C0C5A"/>
    <w:rsid w:val="001C0F80"/>
    <w:rsid w:val="001C175B"/>
    <w:rsid w:val="001C24B1"/>
    <w:rsid w:val="001C24CF"/>
    <w:rsid w:val="001C26E0"/>
    <w:rsid w:val="001C3162"/>
    <w:rsid w:val="001C33C2"/>
    <w:rsid w:val="001C3C14"/>
    <w:rsid w:val="001C5284"/>
    <w:rsid w:val="001C68FD"/>
    <w:rsid w:val="001C6AB9"/>
    <w:rsid w:val="001C7144"/>
    <w:rsid w:val="001C7A73"/>
    <w:rsid w:val="001C7AAB"/>
    <w:rsid w:val="001D48FD"/>
    <w:rsid w:val="001D4B06"/>
    <w:rsid w:val="001D5A79"/>
    <w:rsid w:val="001D6403"/>
    <w:rsid w:val="001E11DF"/>
    <w:rsid w:val="001E14CC"/>
    <w:rsid w:val="001E1935"/>
    <w:rsid w:val="001E1DF1"/>
    <w:rsid w:val="001E2198"/>
    <w:rsid w:val="001E289A"/>
    <w:rsid w:val="001E3142"/>
    <w:rsid w:val="001E5244"/>
    <w:rsid w:val="001E5F55"/>
    <w:rsid w:val="001E73B9"/>
    <w:rsid w:val="001E76B9"/>
    <w:rsid w:val="001F1E83"/>
    <w:rsid w:val="001F1F89"/>
    <w:rsid w:val="001F2DD4"/>
    <w:rsid w:val="001F350A"/>
    <w:rsid w:val="001F5501"/>
    <w:rsid w:val="001F5C69"/>
    <w:rsid w:val="001F64DF"/>
    <w:rsid w:val="001F64EF"/>
    <w:rsid w:val="00200CA6"/>
    <w:rsid w:val="00201E1A"/>
    <w:rsid w:val="00202396"/>
    <w:rsid w:val="002026AE"/>
    <w:rsid w:val="00202B4F"/>
    <w:rsid w:val="002031A2"/>
    <w:rsid w:val="002045A0"/>
    <w:rsid w:val="002077E8"/>
    <w:rsid w:val="00211493"/>
    <w:rsid w:val="00213B73"/>
    <w:rsid w:val="00213FEA"/>
    <w:rsid w:val="00214A17"/>
    <w:rsid w:val="00214DC9"/>
    <w:rsid w:val="00214FAE"/>
    <w:rsid w:val="00215650"/>
    <w:rsid w:val="00217D71"/>
    <w:rsid w:val="00220CBC"/>
    <w:rsid w:val="00221209"/>
    <w:rsid w:val="00221E4E"/>
    <w:rsid w:val="0022308C"/>
    <w:rsid w:val="00223244"/>
    <w:rsid w:val="00224517"/>
    <w:rsid w:val="0022453A"/>
    <w:rsid w:val="00225695"/>
    <w:rsid w:val="002263B7"/>
    <w:rsid w:val="002263E2"/>
    <w:rsid w:val="0023088E"/>
    <w:rsid w:val="00230E24"/>
    <w:rsid w:val="002324AD"/>
    <w:rsid w:val="00233415"/>
    <w:rsid w:val="00233501"/>
    <w:rsid w:val="002356B7"/>
    <w:rsid w:val="0023630C"/>
    <w:rsid w:val="00236499"/>
    <w:rsid w:val="00237D59"/>
    <w:rsid w:val="002404F5"/>
    <w:rsid w:val="002409B8"/>
    <w:rsid w:val="00241FDC"/>
    <w:rsid w:val="00242B20"/>
    <w:rsid w:val="002447A2"/>
    <w:rsid w:val="00246736"/>
    <w:rsid w:val="00246CF5"/>
    <w:rsid w:val="002478B6"/>
    <w:rsid w:val="00251395"/>
    <w:rsid w:val="002517CB"/>
    <w:rsid w:val="00253758"/>
    <w:rsid w:val="00253B67"/>
    <w:rsid w:val="00254627"/>
    <w:rsid w:val="0025522E"/>
    <w:rsid w:val="00256204"/>
    <w:rsid w:val="00256E68"/>
    <w:rsid w:val="0025742A"/>
    <w:rsid w:val="00260B6D"/>
    <w:rsid w:val="00260BD6"/>
    <w:rsid w:val="002617F3"/>
    <w:rsid w:val="002625B4"/>
    <w:rsid w:val="00262EE5"/>
    <w:rsid w:val="0026360A"/>
    <w:rsid w:val="002641CF"/>
    <w:rsid w:val="00264CBD"/>
    <w:rsid w:val="002660C1"/>
    <w:rsid w:val="00270423"/>
    <w:rsid w:val="002711BD"/>
    <w:rsid w:val="00271F08"/>
    <w:rsid w:val="00273E0D"/>
    <w:rsid w:val="00274302"/>
    <w:rsid w:val="00274AEF"/>
    <w:rsid w:val="00275770"/>
    <w:rsid w:val="00276002"/>
    <w:rsid w:val="00277B10"/>
    <w:rsid w:val="002815C3"/>
    <w:rsid w:val="00283D7C"/>
    <w:rsid w:val="00284F67"/>
    <w:rsid w:val="002853C3"/>
    <w:rsid w:val="00286B2B"/>
    <w:rsid w:val="002879C0"/>
    <w:rsid w:val="00287DF2"/>
    <w:rsid w:val="0029130A"/>
    <w:rsid w:val="002916A4"/>
    <w:rsid w:val="002917EB"/>
    <w:rsid w:val="00291AB3"/>
    <w:rsid w:val="00293B5E"/>
    <w:rsid w:val="0029409F"/>
    <w:rsid w:val="0029448A"/>
    <w:rsid w:val="00294A08"/>
    <w:rsid w:val="00294DF2"/>
    <w:rsid w:val="00294F34"/>
    <w:rsid w:val="002963DC"/>
    <w:rsid w:val="00296628"/>
    <w:rsid w:val="00297242"/>
    <w:rsid w:val="002A2C51"/>
    <w:rsid w:val="002A2CBA"/>
    <w:rsid w:val="002A3ED6"/>
    <w:rsid w:val="002A6A4A"/>
    <w:rsid w:val="002A6D04"/>
    <w:rsid w:val="002A7B20"/>
    <w:rsid w:val="002B1119"/>
    <w:rsid w:val="002B1FBA"/>
    <w:rsid w:val="002B34F1"/>
    <w:rsid w:val="002B41E8"/>
    <w:rsid w:val="002B5844"/>
    <w:rsid w:val="002B65A4"/>
    <w:rsid w:val="002B6757"/>
    <w:rsid w:val="002B6EFF"/>
    <w:rsid w:val="002C012D"/>
    <w:rsid w:val="002C07F3"/>
    <w:rsid w:val="002C1B3D"/>
    <w:rsid w:val="002C1ECA"/>
    <w:rsid w:val="002C28B1"/>
    <w:rsid w:val="002C5AE5"/>
    <w:rsid w:val="002C76E7"/>
    <w:rsid w:val="002C7E9F"/>
    <w:rsid w:val="002D1451"/>
    <w:rsid w:val="002D351D"/>
    <w:rsid w:val="002D3C51"/>
    <w:rsid w:val="002D4464"/>
    <w:rsid w:val="002D46E0"/>
    <w:rsid w:val="002D4D2A"/>
    <w:rsid w:val="002E03B9"/>
    <w:rsid w:val="002E0BBD"/>
    <w:rsid w:val="002E1A48"/>
    <w:rsid w:val="002E363E"/>
    <w:rsid w:val="002E3A5D"/>
    <w:rsid w:val="002E3BDF"/>
    <w:rsid w:val="002E41FC"/>
    <w:rsid w:val="002E55C5"/>
    <w:rsid w:val="002E6294"/>
    <w:rsid w:val="002E64C3"/>
    <w:rsid w:val="002E7991"/>
    <w:rsid w:val="002F008A"/>
    <w:rsid w:val="002F0ACD"/>
    <w:rsid w:val="002F1831"/>
    <w:rsid w:val="002F4A79"/>
    <w:rsid w:val="002F4D42"/>
    <w:rsid w:val="002F5A66"/>
    <w:rsid w:val="00300774"/>
    <w:rsid w:val="0030081F"/>
    <w:rsid w:val="00302A55"/>
    <w:rsid w:val="00302CC4"/>
    <w:rsid w:val="003036DE"/>
    <w:rsid w:val="00304FF8"/>
    <w:rsid w:val="00305029"/>
    <w:rsid w:val="00311650"/>
    <w:rsid w:val="00313BB3"/>
    <w:rsid w:val="00313C58"/>
    <w:rsid w:val="00317DA6"/>
    <w:rsid w:val="003200A7"/>
    <w:rsid w:val="0032027C"/>
    <w:rsid w:val="00321B26"/>
    <w:rsid w:val="0032255D"/>
    <w:rsid w:val="00322ECE"/>
    <w:rsid w:val="00323646"/>
    <w:rsid w:val="0032606A"/>
    <w:rsid w:val="00326AAD"/>
    <w:rsid w:val="00327800"/>
    <w:rsid w:val="003308B1"/>
    <w:rsid w:val="00333B3A"/>
    <w:rsid w:val="00335DF3"/>
    <w:rsid w:val="003367C0"/>
    <w:rsid w:val="0033684A"/>
    <w:rsid w:val="003370F5"/>
    <w:rsid w:val="00337912"/>
    <w:rsid w:val="0034203D"/>
    <w:rsid w:val="0034210E"/>
    <w:rsid w:val="00342163"/>
    <w:rsid w:val="00342D45"/>
    <w:rsid w:val="00343BE5"/>
    <w:rsid w:val="00344EDA"/>
    <w:rsid w:val="00345B6E"/>
    <w:rsid w:val="003460FA"/>
    <w:rsid w:val="0034678D"/>
    <w:rsid w:val="0035064C"/>
    <w:rsid w:val="00350F16"/>
    <w:rsid w:val="00350FB6"/>
    <w:rsid w:val="003535E6"/>
    <w:rsid w:val="0035561E"/>
    <w:rsid w:val="003564EC"/>
    <w:rsid w:val="00356C87"/>
    <w:rsid w:val="00356DC7"/>
    <w:rsid w:val="0035779D"/>
    <w:rsid w:val="00361BBB"/>
    <w:rsid w:val="003630F1"/>
    <w:rsid w:val="00363B0E"/>
    <w:rsid w:val="00365021"/>
    <w:rsid w:val="003659F6"/>
    <w:rsid w:val="00366EF2"/>
    <w:rsid w:val="003678A1"/>
    <w:rsid w:val="003705AB"/>
    <w:rsid w:val="003718D2"/>
    <w:rsid w:val="003724CD"/>
    <w:rsid w:val="00372CA9"/>
    <w:rsid w:val="00375004"/>
    <w:rsid w:val="0037645F"/>
    <w:rsid w:val="00376572"/>
    <w:rsid w:val="003770FB"/>
    <w:rsid w:val="00377B27"/>
    <w:rsid w:val="00380934"/>
    <w:rsid w:val="00381B92"/>
    <w:rsid w:val="00382D3D"/>
    <w:rsid w:val="003837B9"/>
    <w:rsid w:val="0038542A"/>
    <w:rsid w:val="00387441"/>
    <w:rsid w:val="00392090"/>
    <w:rsid w:val="00392A88"/>
    <w:rsid w:val="00392F7F"/>
    <w:rsid w:val="00394EB9"/>
    <w:rsid w:val="00394F41"/>
    <w:rsid w:val="003950B4"/>
    <w:rsid w:val="00395727"/>
    <w:rsid w:val="00396069"/>
    <w:rsid w:val="00397638"/>
    <w:rsid w:val="003A0BE8"/>
    <w:rsid w:val="003A1AD2"/>
    <w:rsid w:val="003A2274"/>
    <w:rsid w:val="003A2B5E"/>
    <w:rsid w:val="003A3973"/>
    <w:rsid w:val="003A4AD8"/>
    <w:rsid w:val="003A529A"/>
    <w:rsid w:val="003A535F"/>
    <w:rsid w:val="003A5A9B"/>
    <w:rsid w:val="003A63C2"/>
    <w:rsid w:val="003A6478"/>
    <w:rsid w:val="003A7BF3"/>
    <w:rsid w:val="003B0753"/>
    <w:rsid w:val="003B0E78"/>
    <w:rsid w:val="003B1354"/>
    <w:rsid w:val="003B1FF7"/>
    <w:rsid w:val="003B24EE"/>
    <w:rsid w:val="003B2CB3"/>
    <w:rsid w:val="003B6BDA"/>
    <w:rsid w:val="003B7B8F"/>
    <w:rsid w:val="003C0F0B"/>
    <w:rsid w:val="003C3744"/>
    <w:rsid w:val="003C469E"/>
    <w:rsid w:val="003D0B37"/>
    <w:rsid w:val="003D24BE"/>
    <w:rsid w:val="003D3007"/>
    <w:rsid w:val="003D4F3C"/>
    <w:rsid w:val="003D4FA7"/>
    <w:rsid w:val="003D5FC1"/>
    <w:rsid w:val="003D658B"/>
    <w:rsid w:val="003D753D"/>
    <w:rsid w:val="003D7AC3"/>
    <w:rsid w:val="003D7E7F"/>
    <w:rsid w:val="003E0217"/>
    <w:rsid w:val="003E03DB"/>
    <w:rsid w:val="003E08E3"/>
    <w:rsid w:val="003E20EF"/>
    <w:rsid w:val="003E2E6F"/>
    <w:rsid w:val="003E517D"/>
    <w:rsid w:val="003E5A77"/>
    <w:rsid w:val="003E5F95"/>
    <w:rsid w:val="003E750F"/>
    <w:rsid w:val="003E7744"/>
    <w:rsid w:val="003E7D03"/>
    <w:rsid w:val="003F00B6"/>
    <w:rsid w:val="003F018D"/>
    <w:rsid w:val="003F1163"/>
    <w:rsid w:val="003F13B6"/>
    <w:rsid w:val="003F15C0"/>
    <w:rsid w:val="003F1601"/>
    <w:rsid w:val="003F2BB5"/>
    <w:rsid w:val="003F3069"/>
    <w:rsid w:val="003F4F33"/>
    <w:rsid w:val="003F7033"/>
    <w:rsid w:val="004026EC"/>
    <w:rsid w:val="004027A2"/>
    <w:rsid w:val="00405094"/>
    <w:rsid w:val="00406009"/>
    <w:rsid w:val="004061D4"/>
    <w:rsid w:val="004061D9"/>
    <w:rsid w:val="004069E7"/>
    <w:rsid w:val="00407B71"/>
    <w:rsid w:val="00407BA9"/>
    <w:rsid w:val="0041029F"/>
    <w:rsid w:val="00410505"/>
    <w:rsid w:val="004122A1"/>
    <w:rsid w:val="00412C22"/>
    <w:rsid w:val="00414547"/>
    <w:rsid w:val="004159A4"/>
    <w:rsid w:val="00417422"/>
    <w:rsid w:val="004178AF"/>
    <w:rsid w:val="00423092"/>
    <w:rsid w:val="004232BB"/>
    <w:rsid w:val="004238F0"/>
    <w:rsid w:val="00423A90"/>
    <w:rsid w:val="00424B34"/>
    <w:rsid w:val="0042585E"/>
    <w:rsid w:val="00426371"/>
    <w:rsid w:val="00426CEB"/>
    <w:rsid w:val="00427C37"/>
    <w:rsid w:val="00427EA0"/>
    <w:rsid w:val="004311AB"/>
    <w:rsid w:val="004331FD"/>
    <w:rsid w:val="00433485"/>
    <w:rsid w:val="00433C1E"/>
    <w:rsid w:val="004346D5"/>
    <w:rsid w:val="00435FA9"/>
    <w:rsid w:val="00436D53"/>
    <w:rsid w:val="00441AB5"/>
    <w:rsid w:val="00442820"/>
    <w:rsid w:val="00443AD5"/>
    <w:rsid w:val="00443C8A"/>
    <w:rsid w:val="004445E6"/>
    <w:rsid w:val="00445419"/>
    <w:rsid w:val="004463C0"/>
    <w:rsid w:val="00447139"/>
    <w:rsid w:val="00447308"/>
    <w:rsid w:val="0045200E"/>
    <w:rsid w:val="004525DE"/>
    <w:rsid w:val="00453680"/>
    <w:rsid w:val="004557EA"/>
    <w:rsid w:val="004558BD"/>
    <w:rsid w:val="00455E22"/>
    <w:rsid w:val="00455E91"/>
    <w:rsid w:val="00456CD4"/>
    <w:rsid w:val="00457933"/>
    <w:rsid w:val="0046007F"/>
    <w:rsid w:val="0046102C"/>
    <w:rsid w:val="00461D5A"/>
    <w:rsid w:val="00462A08"/>
    <w:rsid w:val="00462EC6"/>
    <w:rsid w:val="00462F11"/>
    <w:rsid w:val="00463064"/>
    <w:rsid w:val="004639A3"/>
    <w:rsid w:val="00463C9D"/>
    <w:rsid w:val="0046536D"/>
    <w:rsid w:val="00465EC7"/>
    <w:rsid w:val="004676B0"/>
    <w:rsid w:val="004679AB"/>
    <w:rsid w:val="004700F6"/>
    <w:rsid w:val="004725A8"/>
    <w:rsid w:val="00473AEC"/>
    <w:rsid w:val="00474EDF"/>
    <w:rsid w:val="00475244"/>
    <w:rsid w:val="0047574D"/>
    <w:rsid w:val="00476654"/>
    <w:rsid w:val="0047679D"/>
    <w:rsid w:val="004769CB"/>
    <w:rsid w:val="00476D9B"/>
    <w:rsid w:val="00477126"/>
    <w:rsid w:val="00477610"/>
    <w:rsid w:val="004821BA"/>
    <w:rsid w:val="0048367D"/>
    <w:rsid w:val="00483DED"/>
    <w:rsid w:val="00485D05"/>
    <w:rsid w:val="0048765C"/>
    <w:rsid w:val="004908C5"/>
    <w:rsid w:val="00490DB8"/>
    <w:rsid w:val="004913AC"/>
    <w:rsid w:val="00493170"/>
    <w:rsid w:val="00493DC3"/>
    <w:rsid w:val="00494263"/>
    <w:rsid w:val="0049503E"/>
    <w:rsid w:val="004950F7"/>
    <w:rsid w:val="00495833"/>
    <w:rsid w:val="004958C8"/>
    <w:rsid w:val="00496664"/>
    <w:rsid w:val="00496792"/>
    <w:rsid w:val="00496C1F"/>
    <w:rsid w:val="004975A4"/>
    <w:rsid w:val="004A16D4"/>
    <w:rsid w:val="004A1702"/>
    <w:rsid w:val="004A4711"/>
    <w:rsid w:val="004A4D20"/>
    <w:rsid w:val="004A552D"/>
    <w:rsid w:val="004A572F"/>
    <w:rsid w:val="004A5802"/>
    <w:rsid w:val="004A63E6"/>
    <w:rsid w:val="004B1427"/>
    <w:rsid w:val="004B2D7F"/>
    <w:rsid w:val="004B5103"/>
    <w:rsid w:val="004B62A2"/>
    <w:rsid w:val="004B7824"/>
    <w:rsid w:val="004C09B8"/>
    <w:rsid w:val="004C0D96"/>
    <w:rsid w:val="004C0ED3"/>
    <w:rsid w:val="004C10A7"/>
    <w:rsid w:val="004C25C5"/>
    <w:rsid w:val="004C36FF"/>
    <w:rsid w:val="004C4F66"/>
    <w:rsid w:val="004C5750"/>
    <w:rsid w:val="004C5876"/>
    <w:rsid w:val="004C734F"/>
    <w:rsid w:val="004D08C6"/>
    <w:rsid w:val="004D153E"/>
    <w:rsid w:val="004D1B79"/>
    <w:rsid w:val="004D1D52"/>
    <w:rsid w:val="004D2436"/>
    <w:rsid w:val="004D24E9"/>
    <w:rsid w:val="004D31BD"/>
    <w:rsid w:val="004D42A1"/>
    <w:rsid w:val="004D552B"/>
    <w:rsid w:val="004D61D9"/>
    <w:rsid w:val="004D6952"/>
    <w:rsid w:val="004E0365"/>
    <w:rsid w:val="004E087B"/>
    <w:rsid w:val="004E0A66"/>
    <w:rsid w:val="004E1D13"/>
    <w:rsid w:val="004E2237"/>
    <w:rsid w:val="004E2562"/>
    <w:rsid w:val="004E3162"/>
    <w:rsid w:val="004E56DC"/>
    <w:rsid w:val="004E5CA6"/>
    <w:rsid w:val="004E6334"/>
    <w:rsid w:val="004E7440"/>
    <w:rsid w:val="004F0266"/>
    <w:rsid w:val="004F0AC9"/>
    <w:rsid w:val="004F1BD7"/>
    <w:rsid w:val="004F3486"/>
    <w:rsid w:val="004F49B5"/>
    <w:rsid w:val="004F62D0"/>
    <w:rsid w:val="004F6B7A"/>
    <w:rsid w:val="004F6C52"/>
    <w:rsid w:val="004F740D"/>
    <w:rsid w:val="00500BF5"/>
    <w:rsid w:val="00502266"/>
    <w:rsid w:val="0050260D"/>
    <w:rsid w:val="00502FF1"/>
    <w:rsid w:val="00503B39"/>
    <w:rsid w:val="00503DC0"/>
    <w:rsid w:val="0050465F"/>
    <w:rsid w:val="00504793"/>
    <w:rsid w:val="00506994"/>
    <w:rsid w:val="00507FD9"/>
    <w:rsid w:val="00510142"/>
    <w:rsid w:val="00510352"/>
    <w:rsid w:val="00510AE8"/>
    <w:rsid w:val="00511438"/>
    <w:rsid w:val="00512401"/>
    <w:rsid w:val="00513791"/>
    <w:rsid w:val="005139D2"/>
    <w:rsid w:val="005171E0"/>
    <w:rsid w:val="00517987"/>
    <w:rsid w:val="005202BD"/>
    <w:rsid w:val="00520A39"/>
    <w:rsid w:val="00521601"/>
    <w:rsid w:val="00521FFD"/>
    <w:rsid w:val="00523B66"/>
    <w:rsid w:val="00526A8C"/>
    <w:rsid w:val="005271FB"/>
    <w:rsid w:val="00532444"/>
    <w:rsid w:val="005338AE"/>
    <w:rsid w:val="0053508A"/>
    <w:rsid w:val="0053533B"/>
    <w:rsid w:val="00535494"/>
    <w:rsid w:val="0053592B"/>
    <w:rsid w:val="005370A4"/>
    <w:rsid w:val="0053790C"/>
    <w:rsid w:val="005402A3"/>
    <w:rsid w:val="00543EF2"/>
    <w:rsid w:val="0054661A"/>
    <w:rsid w:val="0054717E"/>
    <w:rsid w:val="005474FF"/>
    <w:rsid w:val="00547CB6"/>
    <w:rsid w:val="0055068F"/>
    <w:rsid w:val="0055072F"/>
    <w:rsid w:val="00551403"/>
    <w:rsid w:val="005521FF"/>
    <w:rsid w:val="00553092"/>
    <w:rsid w:val="005534A2"/>
    <w:rsid w:val="0055367E"/>
    <w:rsid w:val="0055393A"/>
    <w:rsid w:val="005540D2"/>
    <w:rsid w:val="005541A3"/>
    <w:rsid w:val="00554F38"/>
    <w:rsid w:val="00555187"/>
    <w:rsid w:val="00555649"/>
    <w:rsid w:val="0055672F"/>
    <w:rsid w:val="00557135"/>
    <w:rsid w:val="00560A73"/>
    <w:rsid w:val="00564CBB"/>
    <w:rsid w:val="0056566C"/>
    <w:rsid w:val="005667C9"/>
    <w:rsid w:val="005702FB"/>
    <w:rsid w:val="00570337"/>
    <w:rsid w:val="00570ACE"/>
    <w:rsid w:val="00571747"/>
    <w:rsid w:val="00571BAD"/>
    <w:rsid w:val="00572FE8"/>
    <w:rsid w:val="00573513"/>
    <w:rsid w:val="00573761"/>
    <w:rsid w:val="005738B0"/>
    <w:rsid w:val="005741ED"/>
    <w:rsid w:val="00574476"/>
    <w:rsid w:val="00576DC5"/>
    <w:rsid w:val="005774EA"/>
    <w:rsid w:val="00577B0D"/>
    <w:rsid w:val="00580506"/>
    <w:rsid w:val="00580636"/>
    <w:rsid w:val="005806D5"/>
    <w:rsid w:val="00580F63"/>
    <w:rsid w:val="00582726"/>
    <w:rsid w:val="0058288C"/>
    <w:rsid w:val="0058335B"/>
    <w:rsid w:val="0058395F"/>
    <w:rsid w:val="00583C70"/>
    <w:rsid w:val="00585130"/>
    <w:rsid w:val="005853F7"/>
    <w:rsid w:val="00587A0E"/>
    <w:rsid w:val="00592A71"/>
    <w:rsid w:val="00592FEF"/>
    <w:rsid w:val="005949C4"/>
    <w:rsid w:val="005A0BED"/>
    <w:rsid w:val="005A1A3A"/>
    <w:rsid w:val="005A3AB3"/>
    <w:rsid w:val="005A4207"/>
    <w:rsid w:val="005A5443"/>
    <w:rsid w:val="005A59A1"/>
    <w:rsid w:val="005A675F"/>
    <w:rsid w:val="005A7E8D"/>
    <w:rsid w:val="005B221B"/>
    <w:rsid w:val="005B22AA"/>
    <w:rsid w:val="005B290C"/>
    <w:rsid w:val="005B2A54"/>
    <w:rsid w:val="005B2E0A"/>
    <w:rsid w:val="005B3052"/>
    <w:rsid w:val="005B3B9F"/>
    <w:rsid w:val="005B3FB5"/>
    <w:rsid w:val="005B4978"/>
    <w:rsid w:val="005B5744"/>
    <w:rsid w:val="005C0760"/>
    <w:rsid w:val="005C09C8"/>
    <w:rsid w:val="005C1D4C"/>
    <w:rsid w:val="005C23FD"/>
    <w:rsid w:val="005C3595"/>
    <w:rsid w:val="005C41F5"/>
    <w:rsid w:val="005C449F"/>
    <w:rsid w:val="005C5F32"/>
    <w:rsid w:val="005C6508"/>
    <w:rsid w:val="005C6B3F"/>
    <w:rsid w:val="005C7DA6"/>
    <w:rsid w:val="005D021F"/>
    <w:rsid w:val="005D0605"/>
    <w:rsid w:val="005D06F2"/>
    <w:rsid w:val="005D15C7"/>
    <w:rsid w:val="005D3CC8"/>
    <w:rsid w:val="005D5B19"/>
    <w:rsid w:val="005D659A"/>
    <w:rsid w:val="005E1961"/>
    <w:rsid w:val="005E1C0B"/>
    <w:rsid w:val="005E2B6A"/>
    <w:rsid w:val="005E3124"/>
    <w:rsid w:val="005E356D"/>
    <w:rsid w:val="005E3A34"/>
    <w:rsid w:val="005E4E7B"/>
    <w:rsid w:val="005E55BB"/>
    <w:rsid w:val="005E65D0"/>
    <w:rsid w:val="005F2522"/>
    <w:rsid w:val="005F3602"/>
    <w:rsid w:val="005F370B"/>
    <w:rsid w:val="006003DC"/>
    <w:rsid w:val="00601594"/>
    <w:rsid w:val="00603D87"/>
    <w:rsid w:val="00603FB1"/>
    <w:rsid w:val="00604777"/>
    <w:rsid w:val="006057D7"/>
    <w:rsid w:val="00606779"/>
    <w:rsid w:val="006070F4"/>
    <w:rsid w:val="0060731F"/>
    <w:rsid w:val="006101DB"/>
    <w:rsid w:val="00610A2A"/>
    <w:rsid w:val="006121F3"/>
    <w:rsid w:val="00612D73"/>
    <w:rsid w:val="006153CC"/>
    <w:rsid w:val="00616D7D"/>
    <w:rsid w:val="006170A6"/>
    <w:rsid w:val="0061793E"/>
    <w:rsid w:val="00617D62"/>
    <w:rsid w:val="00617FF4"/>
    <w:rsid w:val="006209E8"/>
    <w:rsid w:val="00621E15"/>
    <w:rsid w:val="00622FE3"/>
    <w:rsid w:val="00623AF7"/>
    <w:rsid w:val="0062413B"/>
    <w:rsid w:val="00624365"/>
    <w:rsid w:val="00625E91"/>
    <w:rsid w:val="006278F9"/>
    <w:rsid w:val="0063009F"/>
    <w:rsid w:val="00630489"/>
    <w:rsid w:val="00630EC1"/>
    <w:rsid w:val="006317C5"/>
    <w:rsid w:val="0063260A"/>
    <w:rsid w:val="00632928"/>
    <w:rsid w:val="00632E5E"/>
    <w:rsid w:val="006330C0"/>
    <w:rsid w:val="0063397E"/>
    <w:rsid w:val="006350AE"/>
    <w:rsid w:val="00635493"/>
    <w:rsid w:val="0063782A"/>
    <w:rsid w:val="00637A17"/>
    <w:rsid w:val="006406DB"/>
    <w:rsid w:val="00642835"/>
    <w:rsid w:val="00642EA4"/>
    <w:rsid w:val="00643B0C"/>
    <w:rsid w:val="00643F4B"/>
    <w:rsid w:val="00643FA3"/>
    <w:rsid w:val="006441F5"/>
    <w:rsid w:val="006454AC"/>
    <w:rsid w:val="006502E7"/>
    <w:rsid w:val="006510AE"/>
    <w:rsid w:val="006513D8"/>
    <w:rsid w:val="00651C6A"/>
    <w:rsid w:val="00652B71"/>
    <w:rsid w:val="0065337C"/>
    <w:rsid w:val="006540D6"/>
    <w:rsid w:val="0065532F"/>
    <w:rsid w:val="006562BF"/>
    <w:rsid w:val="00656C1F"/>
    <w:rsid w:val="00657C8E"/>
    <w:rsid w:val="00657CBE"/>
    <w:rsid w:val="00661121"/>
    <w:rsid w:val="0066166E"/>
    <w:rsid w:val="00661799"/>
    <w:rsid w:val="00663255"/>
    <w:rsid w:val="006669BF"/>
    <w:rsid w:val="00667571"/>
    <w:rsid w:val="00667A16"/>
    <w:rsid w:val="0067012E"/>
    <w:rsid w:val="006715A7"/>
    <w:rsid w:val="00671DD5"/>
    <w:rsid w:val="006724AD"/>
    <w:rsid w:val="00673791"/>
    <w:rsid w:val="0067398B"/>
    <w:rsid w:val="00675299"/>
    <w:rsid w:val="0067582E"/>
    <w:rsid w:val="006775CD"/>
    <w:rsid w:val="00677A13"/>
    <w:rsid w:val="00677CC8"/>
    <w:rsid w:val="00680998"/>
    <w:rsid w:val="006810E2"/>
    <w:rsid w:val="00685A5B"/>
    <w:rsid w:val="006863F1"/>
    <w:rsid w:val="0069074C"/>
    <w:rsid w:val="0069546A"/>
    <w:rsid w:val="006A0A0E"/>
    <w:rsid w:val="006A1568"/>
    <w:rsid w:val="006A1995"/>
    <w:rsid w:val="006A31AC"/>
    <w:rsid w:val="006A3377"/>
    <w:rsid w:val="006A52E4"/>
    <w:rsid w:val="006A5758"/>
    <w:rsid w:val="006A57A1"/>
    <w:rsid w:val="006A5EC0"/>
    <w:rsid w:val="006A669C"/>
    <w:rsid w:val="006A7905"/>
    <w:rsid w:val="006B036B"/>
    <w:rsid w:val="006B0EA8"/>
    <w:rsid w:val="006B10B6"/>
    <w:rsid w:val="006B20EB"/>
    <w:rsid w:val="006B21B4"/>
    <w:rsid w:val="006B4832"/>
    <w:rsid w:val="006B5404"/>
    <w:rsid w:val="006B67A5"/>
    <w:rsid w:val="006B6909"/>
    <w:rsid w:val="006C06E4"/>
    <w:rsid w:val="006C0B6B"/>
    <w:rsid w:val="006C0F67"/>
    <w:rsid w:val="006C164A"/>
    <w:rsid w:val="006C1A43"/>
    <w:rsid w:val="006C37CC"/>
    <w:rsid w:val="006C3D4F"/>
    <w:rsid w:val="006C40D9"/>
    <w:rsid w:val="006C4D4E"/>
    <w:rsid w:val="006C5071"/>
    <w:rsid w:val="006C50AA"/>
    <w:rsid w:val="006C58CA"/>
    <w:rsid w:val="006C5D5E"/>
    <w:rsid w:val="006C6A3A"/>
    <w:rsid w:val="006C6CF1"/>
    <w:rsid w:val="006D0D02"/>
    <w:rsid w:val="006D12B2"/>
    <w:rsid w:val="006D21D6"/>
    <w:rsid w:val="006D3AF4"/>
    <w:rsid w:val="006D4957"/>
    <w:rsid w:val="006D57A8"/>
    <w:rsid w:val="006D5C9F"/>
    <w:rsid w:val="006D6ABE"/>
    <w:rsid w:val="006D7127"/>
    <w:rsid w:val="006D7632"/>
    <w:rsid w:val="006D7D01"/>
    <w:rsid w:val="006E0D0A"/>
    <w:rsid w:val="006E0E68"/>
    <w:rsid w:val="006E0FB7"/>
    <w:rsid w:val="006E19EB"/>
    <w:rsid w:val="006E1F2E"/>
    <w:rsid w:val="006E3817"/>
    <w:rsid w:val="006E4FE0"/>
    <w:rsid w:val="006E5A01"/>
    <w:rsid w:val="006E6038"/>
    <w:rsid w:val="006E6D00"/>
    <w:rsid w:val="006E71C7"/>
    <w:rsid w:val="006E7800"/>
    <w:rsid w:val="006F06E8"/>
    <w:rsid w:val="006F1830"/>
    <w:rsid w:val="006F1DC4"/>
    <w:rsid w:val="006F2831"/>
    <w:rsid w:val="006F2967"/>
    <w:rsid w:val="006F3DD9"/>
    <w:rsid w:val="006F5319"/>
    <w:rsid w:val="006F775A"/>
    <w:rsid w:val="0070077F"/>
    <w:rsid w:val="00700CA8"/>
    <w:rsid w:val="00701496"/>
    <w:rsid w:val="00701FD8"/>
    <w:rsid w:val="007049A5"/>
    <w:rsid w:val="00707FB4"/>
    <w:rsid w:val="00710A0D"/>
    <w:rsid w:val="00710A99"/>
    <w:rsid w:val="0071285F"/>
    <w:rsid w:val="00712D88"/>
    <w:rsid w:val="007143C3"/>
    <w:rsid w:val="007145F3"/>
    <w:rsid w:val="00714821"/>
    <w:rsid w:val="007154AE"/>
    <w:rsid w:val="00715944"/>
    <w:rsid w:val="00716C1B"/>
    <w:rsid w:val="00716C3F"/>
    <w:rsid w:val="0071715A"/>
    <w:rsid w:val="00717B01"/>
    <w:rsid w:val="00720F5C"/>
    <w:rsid w:val="00721A8E"/>
    <w:rsid w:val="0073060A"/>
    <w:rsid w:val="00731233"/>
    <w:rsid w:val="007321E9"/>
    <w:rsid w:val="00733020"/>
    <w:rsid w:val="007342B7"/>
    <w:rsid w:val="007342F7"/>
    <w:rsid w:val="00735480"/>
    <w:rsid w:val="00736C2D"/>
    <w:rsid w:val="00737CF7"/>
    <w:rsid w:val="00740122"/>
    <w:rsid w:val="00740B0C"/>
    <w:rsid w:val="00741ED7"/>
    <w:rsid w:val="00741FC5"/>
    <w:rsid w:val="007430A0"/>
    <w:rsid w:val="00743735"/>
    <w:rsid w:val="00744E49"/>
    <w:rsid w:val="00745FDB"/>
    <w:rsid w:val="007472ED"/>
    <w:rsid w:val="00747C52"/>
    <w:rsid w:val="00747DCB"/>
    <w:rsid w:val="00750722"/>
    <w:rsid w:val="0075496B"/>
    <w:rsid w:val="0075519C"/>
    <w:rsid w:val="00757113"/>
    <w:rsid w:val="00761A08"/>
    <w:rsid w:val="007623D3"/>
    <w:rsid w:val="00762F01"/>
    <w:rsid w:val="007638CA"/>
    <w:rsid w:val="00763939"/>
    <w:rsid w:val="007639A8"/>
    <w:rsid w:val="00763D4A"/>
    <w:rsid w:val="007641B7"/>
    <w:rsid w:val="0076432A"/>
    <w:rsid w:val="007703F1"/>
    <w:rsid w:val="00770459"/>
    <w:rsid w:val="00772A60"/>
    <w:rsid w:val="00773AEC"/>
    <w:rsid w:val="0077499C"/>
    <w:rsid w:val="0077799E"/>
    <w:rsid w:val="007806C3"/>
    <w:rsid w:val="00781788"/>
    <w:rsid w:val="00781C36"/>
    <w:rsid w:val="00781F60"/>
    <w:rsid w:val="00783CD1"/>
    <w:rsid w:val="007841EC"/>
    <w:rsid w:val="00784AC2"/>
    <w:rsid w:val="007859F3"/>
    <w:rsid w:val="00787601"/>
    <w:rsid w:val="00790D09"/>
    <w:rsid w:val="00791E51"/>
    <w:rsid w:val="00792440"/>
    <w:rsid w:val="00794D94"/>
    <w:rsid w:val="00794E1B"/>
    <w:rsid w:val="007954DA"/>
    <w:rsid w:val="007A150B"/>
    <w:rsid w:val="007A2598"/>
    <w:rsid w:val="007A2D74"/>
    <w:rsid w:val="007A3BEF"/>
    <w:rsid w:val="007A41DE"/>
    <w:rsid w:val="007A4BCE"/>
    <w:rsid w:val="007A6647"/>
    <w:rsid w:val="007A67DE"/>
    <w:rsid w:val="007A7084"/>
    <w:rsid w:val="007A755A"/>
    <w:rsid w:val="007B12AF"/>
    <w:rsid w:val="007B1540"/>
    <w:rsid w:val="007B24FF"/>
    <w:rsid w:val="007B3EEB"/>
    <w:rsid w:val="007B69AB"/>
    <w:rsid w:val="007C0AE5"/>
    <w:rsid w:val="007C2AC3"/>
    <w:rsid w:val="007C2FF7"/>
    <w:rsid w:val="007C350A"/>
    <w:rsid w:val="007C423F"/>
    <w:rsid w:val="007C66F7"/>
    <w:rsid w:val="007C6BCF"/>
    <w:rsid w:val="007D08DE"/>
    <w:rsid w:val="007D0C8F"/>
    <w:rsid w:val="007D0F14"/>
    <w:rsid w:val="007D0FD5"/>
    <w:rsid w:val="007D197F"/>
    <w:rsid w:val="007D1C46"/>
    <w:rsid w:val="007D36F4"/>
    <w:rsid w:val="007D41A9"/>
    <w:rsid w:val="007D4627"/>
    <w:rsid w:val="007D4770"/>
    <w:rsid w:val="007D4A3E"/>
    <w:rsid w:val="007D4BE3"/>
    <w:rsid w:val="007D518F"/>
    <w:rsid w:val="007E05D6"/>
    <w:rsid w:val="007E0E4C"/>
    <w:rsid w:val="007E13D1"/>
    <w:rsid w:val="007E1FE3"/>
    <w:rsid w:val="007E249B"/>
    <w:rsid w:val="007E2AB0"/>
    <w:rsid w:val="007E2D83"/>
    <w:rsid w:val="007E36BC"/>
    <w:rsid w:val="007E391A"/>
    <w:rsid w:val="007E3B6D"/>
    <w:rsid w:val="007E654B"/>
    <w:rsid w:val="007E7460"/>
    <w:rsid w:val="007E74EE"/>
    <w:rsid w:val="007F0C12"/>
    <w:rsid w:val="007F132E"/>
    <w:rsid w:val="007F49DB"/>
    <w:rsid w:val="007F49DD"/>
    <w:rsid w:val="007F551F"/>
    <w:rsid w:val="007F6057"/>
    <w:rsid w:val="007F6B2D"/>
    <w:rsid w:val="007F778C"/>
    <w:rsid w:val="008000ED"/>
    <w:rsid w:val="00804CBF"/>
    <w:rsid w:val="008052BE"/>
    <w:rsid w:val="008053F8"/>
    <w:rsid w:val="00805785"/>
    <w:rsid w:val="00806078"/>
    <w:rsid w:val="0080784B"/>
    <w:rsid w:val="008079EC"/>
    <w:rsid w:val="0081060B"/>
    <w:rsid w:val="00810ACC"/>
    <w:rsid w:val="008111FB"/>
    <w:rsid w:val="00811543"/>
    <w:rsid w:val="00811F2F"/>
    <w:rsid w:val="00812D84"/>
    <w:rsid w:val="0081337F"/>
    <w:rsid w:val="00814343"/>
    <w:rsid w:val="008170E5"/>
    <w:rsid w:val="00817A22"/>
    <w:rsid w:val="00817C5B"/>
    <w:rsid w:val="00822144"/>
    <w:rsid w:val="008232CC"/>
    <w:rsid w:val="00824225"/>
    <w:rsid w:val="00825475"/>
    <w:rsid w:val="00825761"/>
    <w:rsid w:val="00827D2E"/>
    <w:rsid w:val="008301C6"/>
    <w:rsid w:val="008301DF"/>
    <w:rsid w:val="0083106A"/>
    <w:rsid w:val="00831476"/>
    <w:rsid w:val="0083378D"/>
    <w:rsid w:val="008359ED"/>
    <w:rsid w:val="00836606"/>
    <w:rsid w:val="00836D8A"/>
    <w:rsid w:val="008375EB"/>
    <w:rsid w:val="00837D03"/>
    <w:rsid w:val="0084131F"/>
    <w:rsid w:val="00841E98"/>
    <w:rsid w:val="008446FA"/>
    <w:rsid w:val="00844884"/>
    <w:rsid w:val="00845645"/>
    <w:rsid w:val="00845A1F"/>
    <w:rsid w:val="00845B52"/>
    <w:rsid w:val="00847E4B"/>
    <w:rsid w:val="0085224B"/>
    <w:rsid w:val="0085659D"/>
    <w:rsid w:val="00857BEF"/>
    <w:rsid w:val="008602E1"/>
    <w:rsid w:val="008606E3"/>
    <w:rsid w:val="00860A40"/>
    <w:rsid w:val="00864106"/>
    <w:rsid w:val="0086427C"/>
    <w:rsid w:val="0086549E"/>
    <w:rsid w:val="00865A6F"/>
    <w:rsid w:val="00866115"/>
    <w:rsid w:val="00867393"/>
    <w:rsid w:val="008702CF"/>
    <w:rsid w:val="008707F4"/>
    <w:rsid w:val="00872325"/>
    <w:rsid w:val="00872E13"/>
    <w:rsid w:val="00875373"/>
    <w:rsid w:val="00876D89"/>
    <w:rsid w:val="008772B8"/>
    <w:rsid w:val="00877D43"/>
    <w:rsid w:val="008815BD"/>
    <w:rsid w:val="008839F6"/>
    <w:rsid w:val="008840A1"/>
    <w:rsid w:val="00884FBF"/>
    <w:rsid w:val="00885055"/>
    <w:rsid w:val="00885265"/>
    <w:rsid w:val="0088558E"/>
    <w:rsid w:val="008862DA"/>
    <w:rsid w:val="00886DC2"/>
    <w:rsid w:val="00887934"/>
    <w:rsid w:val="0089092B"/>
    <w:rsid w:val="00891167"/>
    <w:rsid w:val="0089312A"/>
    <w:rsid w:val="0089419C"/>
    <w:rsid w:val="00894514"/>
    <w:rsid w:val="0089530A"/>
    <w:rsid w:val="00895F3C"/>
    <w:rsid w:val="008A0224"/>
    <w:rsid w:val="008A272D"/>
    <w:rsid w:val="008A2927"/>
    <w:rsid w:val="008A4A79"/>
    <w:rsid w:val="008A519F"/>
    <w:rsid w:val="008A5D14"/>
    <w:rsid w:val="008A6A08"/>
    <w:rsid w:val="008A7BA2"/>
    <w:rsid w:val="008B0489"/>
    <w:rsid w:val="008B261A"/>
    <w:rsid w:val="008B2D07"/>
    <w:rsid w:val="008B3EC9"/>
    <w:rsid w:val="008B6130"/>
    <w:rsid w:val="008B6556"/>
    <w:rsid w:val="008C0202"/>
    <w:rsid w:val="008C089F"/>
    <w:rsid w:val="008C189E"/>
    <w:rsid w:val="008C1C7D"/>
    <w:rsid w:val="008C24FC"/>
    <w:rsid w:val="008C3148"/>
    <w:rsid w:val="008C3547"/>
    <w:rsid w:val="008C6646"/>
    <w:rsid w:val="008D10B4"/>
    <w:rsid w:val="008D1D76"/>
    <w:rsid w:val="008D2B42"/>
    <w:rsid w:val="008D3322"/>
    <w:rsid w:val="008D3463"/>
    <w:rsid w:val="008D4A13"/>
    <w:rsid w:val="008D4B12"/>
    <w:rsid w:val="008D50E2"/>
    <w:rsid w:val="008D522A"/>
    <w:rsid w:val="008D6BB3"/>
    <w:rsid w:val="008D745C"/>
    <w:rsid w:val="008E1373"/>
    <w:rsid w:val="008E177B"/>
    <w:rsid w:val="008E1C52"/>
    <w:rsid w:val="008E27CD"/>
    <w:rsid w:val="008E39C5"/>
    <w:rsid w:val="008E459F"/>
    <w:rsid w:val="008E6244"/>
    <w:rsid w:val="008E7D4D"/>
    <w:rsid w:val="008E7FB1"/>
    <w:rsid w:val="008F14FC"/>
    <w:rsid w:val="008F1D8A"/>
    <w:rsid w:val="008F29E9"/>
    <w:rsid w:val="008F2CC3"/>
    <w:rsid w:val="008F3563"/>
    <w:rsid w:val="008F455A"/>
    <w:rsid w:val="008F4D5E"/>
    <w:rsid w:val="008F5968"/>
    <w:rsid w:val="008F6E9E"/>
    <w:rsid w:val="008F748F"/>
    <w:rsid w:val="008F7C00"/>
    <w:rsid w:val="0090321B"/>
    <w:rsid w:val="00904D31"/>
    <w:rsid w:val="00906E40"/>
    <w:rsid w:val="009102C2"/>
    <w:rsid w:val="009128DD"/>
    <w:rsid w:val="00912901"/>
    <w:rsid w:val="00913B34"/>
    <w:rsid w:val="0091478D"/>
    <w:rsid w:val="0091498A"/>
    <w:rsid w:val="009157B5"/>
    <w:rsid w:val="00917D2C"/>
    <w:rsid w:val="00920E12"/>
    <w:rsid w:val="009213F8"/>
    <w:rsid w:val="00921AEC"/>
    <w:rsid w:val="00923775"/>
    <w:rsid w:val="00923B5C"/>
    <w:rsid w:val="009248E1"/>
    <w:rsid w:val="00924C32"/>
    <w:rsid w:val="00924FD1"/>
    <w:rsid w:val="009250FF"/>
    <w:rsid w:val="00925103"/>
    <w:rsid w:val="0092510B"/>
    <w:rsid w:val="00925B57"/>
    <w:rsid w:val="00926805"/>
    <w:rsid w:val="0092738C"/>
    <w:rsid w:val="00930F4D"/>
    <w:rsid w:val="0093163B"/>
    <w:rsid w:val="0093187E"/>
    <w:rsid w:val="00933D0D"/>
    <w:rsid w:val="00934640"/>
    <w:rsid w:val="00936F12"/>
    <w:rsid w:val="00940929"/>
    <w:rsid w:val="009427F4"/>
    <w:rsid w:val="0094287B"/>
    <w:rsid w:val="00944EB9"/>
    <w:rsid w:val="00944ECB"/>
    <w:rsid w:val="009463CD"/>
    <w:rsid w:val="009468FE"/>
    <w:rsid w:val="00950CCA"/>
    <w:rsid w:val="009523EE"/>
    <w:rsid w:val="0095406D"/>
    <w:rsid w:val="009542FD"/>
    <w:rsid w:val="00954CCB"/>
    <w:rsid w:val="00956658"/>
    <w:rsid w:val="009576F9"/>
    <w:rsid w:val="009577FC"/>
    <w:rsid w:val="0096053C"/>
    <w:rsid w:val="00962BA7"/>
    <w:rsid w:val="00963846"/>
    <w:rsid w:val="00965E5E"/>
    <w:rsid w:val="00966D31"/>
    <w:rsid w:val="009676D0"/>
    <w:rsid w:val="00970F77"/>
    <w:rsid w:val="00971089"/>
    <w:rsid w:val="00971231"/>
    <w:rsid w:val="00971F83"/>
    <w:rsid w:val="0097285C"/>
    <w:rsid w:val="00972E26"/>
    <w:rsid w:val="009745ED"/>
    <w:rsid w:val="00975FED"/>
    <w:rsid w:val="00977026"/>
    <w:rsid w:val="00977700"/>
    <w:rsid w:val="009800E5"/>
    <w:rsid w:val="00981202"/>
    <w:rsid w:val="0098199D"/>
    <w:rsid w:val="00982123"/>
    <w:rsid w:val="00982D03"/>
    <w:rsid w:val="0098763A"/>
    <w:rsid w:val="00987A01"/>
    <w:rsid w:val="0099030F"/>
    <w:rsid w:val="00991BBF"/>
    <w:rsid w:val="00991CA7"/>
    <w:rsid w:val="0099290A"/>
    <w:rsid w:val="00992E25"/>
    <w:rsid w:val="00993BB0"/>
    <w:rsid w:val="00994D2C"/>
    <w:rsid w:val="009A1FDC"/>
    <w:rsid w:val="009A425E"/>
    <w:rsid w:val="009A4DC0"/>
    <w:rsid w:val="009A57DE"/>
    <w:rsid w:val="009A6478"/>
    <w:rsid w:val="009A6508"/>
    <w:rsid w:val="009A78AC"/>
    <w:rsid w:val="009B2380"/>
    <w:rsid w:val="009B30FE"/>
    <w:rsid w:val="009B3A61"/>
    <w:rsid w:val="009B3D89"/>
    <w:rsid w:val="009B42DD"/>
    <w:rsid w:val="009B4D34"/>
    <w:rsid w:val="009B50FE"/>
    <w:rsid w:val="009B5A5D"/>
    <w:rsid w:val="009B5BFB"/>
    <w:rsid w:val="009B619E"/>
    <w:rsid w:val="009C2DB1"/>
    <w:rsid w:val="009C3952"/>
    <w:rsid w:val="009C4033"/>
    <w:rsid w:val="009C4CA7"/>
    <w:rsid w:val="009C521B"/>
    <w:rsid w:val="009D0460"/>
    <w:rsid w:val="009D1C99"/>
    <w:rsid w:val="009D3537"/>
    <w:rsid w:val="009D4D9C"/>
    <w:rsid w:val="009D55FC"/>
    <w:rsid w:val="009D584B"/>
    <w:rsid w:val="009D6324"/>
    <w:rsid w:val="009D74BF"/>
    <w:rsid w:val="009E2CA8"/>
    <w:rsid w:val="009E2D28"/>
    <w:rsid w:val="009E3729"/>
    <w:rsid w:val="009E50D3"/>
    <w:rsid w:val="009E5501"/>
    <w:rsid w:val="009E55D7"/>
    <w:rsid w:val="009F0607"/>
    <w:rsid w:val="009F09D2"/>
    <w:rsid w:val="009F0CC4"/>
    <w:rsid w:val="009F1D10"/>
    <w:rsid w:val="009F1E4E"/>
    <w:rsid w:val="009F39ED"/>
    <w:rsid w:val="009F63B3"/>
    <w:rsid w:val="009F6A88"/>
    <w:rsid w:val="009F7D76"/>
    <w:rsid w:val="00A004BA"/>
    <w:rsid w:val="00A01A07"/>
    <w:rsid w:val="00A025EB"/>
    <w:rsid w:val="00A03057"/>
    <w:rsid w:val="00A05465"/>
    <w:rsid w:val="00A07F3C"/>
    <w:rsid w:val="00A11A46"/>
    <w:rsid w:val="00A11EDD"/>
    <w:rsid w:val="00A13B7E"/>
    <w:rsid w:val="00A145A1"/>
    <w:rsid w:val="00A14636"/>
    <w:rsid w:val="00A146F0"/>
    <w:rsid w:val="00A153C4"/>
    <w:rsid w:val="00A17AA6"/>
    <w:rsid w:val="00A20AA6"/>
    <w:rsid w:val="00A2251D"/>
    <w:rsid w:val="00A22E76"/>
    <w:rsid w:val="00A23964"/>
    <w:rsid w:val="00A23A0B"/>
    <w:rsid w:val="00A24A5E"/>
    <w:rsid w:val="00A27FBE"/>
    <w:rsid w:val="00A30B0F"/>
    <w:rsid w:val="00A30E46"/>
    <w:rsid w:val="00A32499"/>
    <w:rsid w:val="00A32B2C"/>
    <w:rsid w:val="00A3554D"/>
    <w:rsid w:val="00A35731"/>
    <w:rsid w:val="00A36667"/>
    <w:rsid w:val="00A36F88"/>
    <w:rsid w:val="00A3700C"/>
    <w:rsid w:val="00A37A9A"/>
    <w:rsid w:val="00A402B1"/>
    <w:rsid w:val="00A411C5"/>
    <w:rsid w:val="00A4245D"/>
    <w:rsid w:val="00A43CB7"/>
    <w:rsid w:val="00A445E9"/>
    <w:rsid w:val="00A448EB"/>
    <w:rsid w:val="00A44E4D"/>
    <w:rsid w:val="00A45A23"/>
    <w:rsid w:val="00A45E40"/>
    <w:rsid w:val="00A5081C"/>
    <w:rsid w:val="00A50820"/>
    <w:rsid w:val="00A51220"/>
    <w:rsid w:val="00A51975"/>
    <w:rsid w:val="00A52EAA"/>
    <w:rsid w:val="00A54EEF"/>
    <w:rsid w:val="00A55C9B"/>
    <w:rsid w:val="00A56030"/>
    <w:rsid w:val="00A56B42"/>
    <w:rsid w:val="00A56CEF"/>
    <w:rsid w:val="00A61785"/>
    <w:rsid w:val="00A648B8"/>
    <w:rsid w:val="00A67212"/>
    <w:rsid w:val="00A67275"/>
    <w:rsid w:val="00A672BD"/>
    <w:rsid w:val="00A70A47"/>
    <w:rsid w:val="00A71283"/>
    <w:rsid w:val="00A722D9"/>
    <w:rsid w:val="00A736F0"/>
    <w:rsid w:val="00A737E3"/>
    <w:rsid w:val="00A74D4A"/>
    <w:rsid w:val="00A7730C"/>
    <w:rsid w:val="00A805AC"/>
    <w:rsid w:val="00A80F36"/>
    <w:rsid w:val="00A81863"/>
    <w:rsid w:val="00A82B2E"/>
    <w:rsid w:val="00A831F6"/>
    <w:rsid w:val="00A836BE"/>
    <w:rsid w:val="00A85252"/>
    <w:rsid w:val="00A8627D"/>
    <w:rsid w:val="00A8663D"/>
    <w:rsid w:val="00A86739"/>
    <w:rsid w:val="00A91E76"/>
    <w:rsid w:val="00A92E99"/>
    <w:rsid w:val="00A9506E"/>
    <w:rsid w:val="00A96233"/>
    <w:rsid w:val="00A9782B"/>
    <w:rsid w:val="00A97B18"/>
    <w:rsid w:val="00AA0CBF"/>
    <w:rsid w:val="00AA13E0"/>
    <w:rsid w:val="00AA1DC2"/>
    <w:rsid w:val="00AA22B6"/>
    <w:rsid w:val="00AA426D"/>
    <w:rsid w:val="00AA4695"/>
    <w:rsid w:val="00AA6B66"/>
    <w:rsid w:val="00AA7C20"/>
    <w:rsid w:val="00AA7E33"/>
    <w:rsid w:val="00AB32AB"/>
    <w:rsid w:val="00AB44F3"/>
    <w:rsid w:val="00AB7859"/>
    <w:rsid w:val="00AB7BF1"/>
    <w:rsid w:val="00AC09F3"/>
    <w:rsid w:val="00AC2EE3"/>
    <w:rsid w:val="00AC2F7E"/>
    <w:rsid w:val="00AC3A05"/>
    <w:rsid w:val="00AC5631"/>
    <w:rsid w:val="00AC5EC1"/>
    <w:rsid w:val="00AC6D87"/>
    <w:rsid w:val="00AC6E50"/>
    <w:rsid w:val="00AD09BE"/>
    <w:rsid w:val="00AD1948"/>
    <w:rsid w:val="00AD1A80"/>
    <w:rsid w:val="00AD36D5"/>
    <w:rsid w:val="00AD3880"/>
    <w:rsid w:val="00AD3F9C"/>
    <w:rsid w:val="00AD6822"/>
    <w:rsid w:val="00AD7CAD"/>
    <w:rsid w:val="00AE035D"/>
    <w:rsid w:val="00AE0E80"/>
    <w:rsid w:val="00AE0FDE"/>
    <w:rsid w:val="00AE34AF"/>
    <w:rsid w:val="00AE4011"/>
    <w:rsid w:val="00AE6019"/>
    <w:rsid w:val="00AE703E"/>
    <w:rsid w:val="00AE7206"/>
    <w:rsid w:val="00AE78C4"/>
    <w:rsid w:val="00AF113C"/>
    <w:rsid w:val="00AF2A87"/>
    <w:rsid w:val="00AF4A0A"/>
    <w:rsid w:val="00AF6757"/>
    <w:rsid w:val="00B011F6"/>
    <w:rsid w:val="00B01274"/>
    <w:rsid w:val="00B012D6"/>
    <w:rsid w:val="00B0156B"/>
    <w:rsid w:val="00B02E88"/>
    <w:rsid w:val="00B03A62"/>
    <w:rsid w:val="00B06AAC"/>
    <w:rsid w:val="00B07C42"/>
    <w:rsid w:val="00B107ED"/>
    <w:rsid w:val="00B10DDE"/>
    <w:rsid w:val="00B117D3"/>
    <w:rsid w:val="00B118AD"/>
    <w:rsid w:val="00B11FA1"/>
    <w:rsid w:val="00B12E28"/>
    <w:rsid w:val="00B1378A"/>
    <w:rsid w:val="00B15734"/>
    <w:rsid w:val="00B171AA"/>
    <w:rsid w:val="00B17734"/>
    <w:rsid w:val="00B2022C"/>
    <w:rsid w:val="00B20288"/>
    <w:rsid w:val="00B20ABA"/>
    <w:rsid w:val="00B2181E"/>
    <w:rsid w:val="00B21C60"/>
    <w:rsid w:val="00B239F7"/>
    <w:rsid w:val="00B23C2D"/>
    <w:rsid w:val="00B26254"/>
    <w:rsid w:val="00B26AF0"/>
    <w:rsid w:val="00B30DA0"/>
    <w:rsid w:val="00B33A6A"/>
    <w:rsid w:val="00B37B3B"/>
    <w:rsid w:val="00B40988"/>
    <w:rsid w:val="00B41A5E"/>
    <w:rsid w:val="00B42187"/>
    <w:rsid w:val="00B42D7D"/>
    <w:rsid w:val="00B44450"/>
    <w:rsid w:val="00B455C6"/>
    <w:rsid w:val="00B46240"/>
    <w:rsid w:val="00B563ED"/>
    <w:rsid w:val="00B572A7"/>
    <w:rsid w:val="00B574F6"/>
    <w:rsid w:val="00B578A9"/>
    <w:rsid w:val="00B61DAF"/>
    <w:rsid w:val="00B62F5A"/>
    <w:rsid w:val="00B6503E"/>
    <w:rsid w:val="00B65334"/>
    <w:rsid w:val="00B658AF"/>
    <w:rsid w:val="00B66807"/>
    <w:rsid w:val="00B678A5"/>
    <w:rsid w:val="00B70FFE"/>
    <w:rsid w:val="00B71946"/>
    <w:rsid w:val="00B72383"/>
    <w:rsid w:val="00B729EB"/>
    <w:rsid w:val="00B73815"/>
    <w:rsid w:val="00B73D8D"/>
    <w:rsid w:val="00B758EF"/>
    <w:rsid w:val="00B75943"/>
    <w:rsid w:val="00B77291"/>
    <w:rsid w:val="00B77929"/>
    <w:rsid w:val="00B80D47"/>
    <w:rsid w:val="00B80EF5"/>
    <w:rsid w:val="00B810A2"/>
    <w:rsid w:val="00B825AD"/>
    <w:rsid w:val="00B82EFE"/>
    <w:rsid w:val="00B83213"/>
    <w:rsid w:val="00B83382"/>
    <w:rsid w:val="00B864D4"/>
    <w:rsid w:val="00B87AB5"/>
    <w:rsid w:val="00B87B05"/>
    <w:rsid w:val="00B90935"/>
    <w:rsid w:val="00B91122"/>
    <w:rsid w:val="00B91966"/>
    <w:rsid w:val="00B92FA3"/>
    <w:rsid w:val="00B95553"/>
    <w:rsid w:val="00B95AC1"/>
    <w:rsid w:val="00B95E39"/>
    <w:rsid w:val="00B96540"/>
    <w:rsid w:val="00B96E7C"/>
    <w:rsid w:val="00B97697"/>
    <w:rsid w:val="00BA0295"/>
    <w:rsid w:val="00BA237B"/>
    <w:rsid w:val="00BA3FDD"/>
    <w:rsid w:val="00BA4A90"/>
    <w:rsid w:val="00BA52CC"/>
    <w:rsid w:val="00BA6026"/>
    <w:rsid w:val="00BA6951"/>
    <w:rsid w:val="00BB0E41"/>
    <w:rsid w:val="00BB16C1"/>
    <w:rsid w:val="00BB593C"/>
    <w:rsid w:val="00BC1244"/>
    <w:rsid w:val="00BC13E2"/>
    <w:rsid w:val="00BC20E6"/>
    <w:rsid w:val="00BC29A8"/>
    <w:rsid w:val="00BC3971"/>
    <w:rsid w:val="00BC6DEA"/>
    <w:rsid w:val="00BC7B64"/>
    <w:rsid w:val="00BC7B8F"/>
    <w:rsid w:val="00BC7D8C"/>
    <w:rsid w:val="00BD0AB1"/>
    <w:rsid w:val="00BD0B88"/>
    <w:rsid w:val="00BD1694"/>
    <w:rsid w:val="00BD4561"/>
    <w:rsid w:val="00BD47F1"/>
    <w:rsid w:val="00BD5BFD"/>
    <w:rsid w:val="00BD677B"/>
    <w:rsid w:val="00BD7A21"/>
    <w:rsid w:val="00BE02B9"/>
    <w:rsid w:val="00BE04DB"/>
    <w:rsid w:val="00BE17C7"/>
    <w:rsid w:val="00BE180C"/>
    <w:rsid w:val="00BE1D9C"/>
    <w:rsid w:val="00BE2B4B"/>
    <w:rsid w:val="00BE2E03"/>
    <w:rsid w:val="00BE4374"/>
    <w:rsid w:val="00BE46E8"/>
    <w:rsid w:val="00BE63C3"/>
    <w:rsid w:val="00BE7F77"/>
    <w:rsid w:val="00BF030F"/>
    <w:rsid w:val="00BF0379"/>
    <w:rsid w:val="00BF1128"/>
    <w:rsid w:val="00BF2119"/>
    <w:rsid w:val="00BF324A"/>
    <w:rsid w:val="00BF4E8E"/>
    <w:rsid w:val="00BF5C6E"/>
    <w:rsid w:val="00BF638F"/>
    <w:rsid w:val="00BF78CF"/>
    <w:rsid w:val="00C00D08"/>
    <w:rsid w:val="00C03257"/>
    <w:rsid w:val="00C03BDF"/>
    <w:rsid w:val="00C0690F"/>
    <w:rsid w:val="00C06955"/>
    <w:rsid w:val="00C06B5F"/>
    <w:rsid w:val="00C07D2C"/>
    <w:rsid w:val="00C103FD"/>
    <w:rsid w:val="00C10CAD"/>
    <w:rsid w:val="00C11C99"/>
    <w:rsid w:val="00C133B6"/>
    <w:rsid w:val="00C134FE"/>
    <w:rsid w:val="00C13A5F"/>
    <w:rsid w:val="00C15970"/>
    <w:rsid w:val="00C15ECA"/>
    <w:rsid w:val="00C15F88"/>
    <w:rsid w:val="00C16BD2"/>
    <w:rsid w:val="00C173CC"/>
    <w:rsid w:val="00C202B7"/>
    <w:rsid w:val="00C216D4"/>
    <w:rsid w:val="00C217F3"/>
    <w:rsid w:val="00C247E0"/>
    <w:rsid w:val="00C248FA"/>
    <w:rsid w:val="00C24FE4"/>
    <w:rsid w:val="00C30AFD"/>
    <w:rsid w:val="00C31210"/>
    <w:rsid w:val="00C312BB"/>
    <w:rsid w:val="00C316B9"/>
    <w:rsid w:val="00C32E66"/>
    <w:rsid w:val="00C344A4"/>
    <w:rsid w:val="00C34CEA"/>
    <w:rsid w:val="00C354BD"/>
    <w:rsid w:val="00C36189"/>
    <w:rsid w:val="00C363E3"/>
    <w:rsid w:val="00C36595"/>
    <w:rsid w:val="00C37022"/>
    <w:rsid w:val="00C40673"/>
    <w:rsid w:val="00C41133"/>
    <w:rsid w:val="00C41984"/>
    <w:rsid w:val="00C43542"/>
    <w:rsid w:val="00C4434F"/>
    <w:rsid w:val="00C44CEF"/>
    <w:rsid w:val="00C44FCB"/>
    <w:rsid w:val="00C455C4"/>
    <w:rsid w:val="00C458A5"/>
    <w:rsid w:val="00C470F8"/>
    <w:rsid w:val="00C504ED"/>
    <w:rsid w:val="00C50769"/>
    <w:rsid w:val="00C52ABB"/>
    <w:rsid w:val="00C53B06"/>
    <w:rsid w:val="00C54093"/>
    <w:rsid w:val="00C5566B"/>
    <w:rsid w:val="00C5623F"/>
    <w:rsid w:val="00C578FE"/>
    <w:rsid w:val="00C6075B"/>
    <w:rsid w:val="00C6346F"/>
    <w:rsid w:val="00C634A0"/>
    <w:rsid w:val="00C6511D"/>
    <w:rsid w:val="00C654C3"/>
    <w:rsid w:val="00C6631E"/>
    <w:rsid w:val="00C667E9"/>
    <w:rsid w:val="00C70624"/>
    <w:rsid w:val="00C71ECA"/>
    <w:rsid w:val="00C72D42"/>
    <w:rsid w:val="00C734AB"/>
    <w:rsid w:val="00C7449D"/>
    <w:rsid w:val="00C75BEF"/>
    <w:rsid w:val="00C76487"/>
    <w:rsid w:val="00C80C64"/>
    <w:rsid w:val="00C80E2B"/>
    <w:rsid w:val="00C81679"/>
    <w:rsid w:val="00C8219F"/>
    <w:rsid w:val="00C8247C"/>
    <w:rsid w:val="00C83004"/>
    <w:rsid w:val="00C84BF8"/>
    <w:rsid w:val="00C86181"/>
    <w:rsid w:val="00C867AE"/>
    <w:rsid w:val="00C9059C"/>
    <w:rsid w:val="00C907B3"/>
    <w:rsid w:val="00C919C3"/>
    <w:rsid w:val="00C91AE7"/>
    <w:rsid w:val="00C930F2"/>
    <w:rsid w:val="00C935AF"/>
    <w:rsid w:val="00C93C80"/>
    <w:rsid w:val="00C94774"/>
    <w:rsid w:val="00C94B05"/>
    <w:rsid w:val="00C95BA7"/>
    <w:rsid w:val="00C9639D"/>
    <w:rsid w:val="00C9662D"/>
    <w:rsid w:val="00C96652"/>
    <w:rsid w:val="00C96A3F"/>
    <w:rsid w:val="00CA21E0"/>
    <w:rsid w:val="00CA307F"/>
    <w:rsid w:val="00CA4C4F"/>
    <w:rsid w:val="00CA530E"/>
    <w:rsid w:val="00CA59F8"/>
    <w:rsid w:val="00CB06D1"/>
    <w:rsid w:val="00CB0B79"/>
    <w:rsid w:val="00CB2BBF"/>
    <w:rsid w:val="00CB2C59"/>
    <w:rsid w:val="00CB2D33"/>
    <w:rsid w:val="00CB4D6D"/>
    <w:rsid w:val="00CB54FE"/>
    <w:rsid w:val="00CB65D6"/>
    <w:rsid w:val="00CB6950"/>
    <w:rsid w:val="00CB6C45"/>
    <w:rsid w:val="00CB7818"/>
    <w:rsid w:val="00CC0162"/>
    <w:rsid w:val="00CC1B37"/>
    <w:rsid w:val="00CC23EE"/>
    <w:rsid w:val="00CC2431"/>
    <w:rsid w:val="00CC251E"/>
    <w:rsid w:val="00CC27DA"/>
    <w:rsid w:val="00CC2EE2"/>
    <w:rsid w:val="00CC3D3F"/>
    <w:rsid w:val="00CC3EAE"/>
    <w:rsid w:val="00CC4168"/>
    <w:rsid w:val="00CC44EE"/>
    <w:rsid w:val="00CC4A70"/>
    <w:rsid w:val="00CC4D7D"/>
    <w:rsid w:val="00CC5913"/>
    <w:rsid w:val="00CD04A0"/>
    <w:rsid w:val="00CD085E"/>
    <w:rsid w:val="00CD20A5"/>
    <w:rsid w:val="00CD2A7C"/>
    <w:rsid w:val="00CD53A1"/>
    <w:rsid w:val="00CD64F8"/>
    <w:rsid w:val="00CD6698"/>
    <w:rsid w:val="00CD6B7F"/>
    <w:rsid w:val="00CD7E2D"/>
    <w:rsid w:val="00CE0A73"/>
    <w:rsid w:val="00CE1947"/>
    <w:rsid w:val="00CE3191"/>
    <w:rsid w:val="00CE336E"/>
    <w:rsid w:val="00CE5BAB"/>
    <w:rsid w:val="00CE5CBA"/>
    <w:rsid w:val="00CE71D3"/>
    <w:rsid w:val="00CF105F"/>
    <w:rsid w:val="00CF14D5"/>
    <w:rsid w:val="00CF2C4F"/>
    <w:rsid w:val="00CF37A6"/>
    <w:rsid w:val="00CF3C40"/>
    <w:rsid w:val="00CF5523"/>
    <w:rsid w:val="00CF646D"/>
    <w:rsid w:val="00CF6ABE"/>
    <w:rsid w:val="00D01524"/>
    <w:rsid w:val="00D0183B"/>
    <w:rsid w:val="00D034A2"/>
    <w:rsid w:val="00D04298"/>
    <w:rsid w:val="00D05FA1"/>
    <w:rsid w:val="00D06257"/>
    <w:rsid w:val="00D07656"/>
    <w:rsid w:val="00D104B5"/>
    <w:rsid w:val="00D117E1"/>
    <w:rsid w:val="00D11F3F"/>
    <w:rsid w:val="00D12928"/>
    <w:rsid w:val="00D13337"/>
    <w:rsid w:val="00D13705"/>
    <w:rsid w:val="00D13D1D"/>
    <w:rsid w:val="00D13EEF"/>
    <w:rsid w:val="00D14239"/>
    <w:rsid w:val="00D1641B"/>
    <w:rsid w:val="00D166E8"/>
    <w:rsid w:val="00D16F3E"/>
    <w:rsid w:val="00D177F6"/>
    <w:rsid w:val="00D20B3C"/>
    <w:rsid w:val="00D21534"/>
    <w:rsid w:val="00D21D95"/>
    <w:rsid w:val="00D22B1E"/>
    <w:rsid w:val="00D23788"/>
    <w:rsid w:val="00D23E82"/>
    <w:rsid w:val="00D24607"/>
    <w:rsid w:val="00D25341"/>
    <w:rsid w:val="00D25BC3"/>
    <w:rsid w:val="00D26A5D"/>
    <w:rsid w:val="00D27035"/>
    <w:rsid w:val="00D27F0A"/>
    <w:rsid w:val="00D30331"/>
    <w:rsid w:val="00D334C9"/>
    <w:rsid w:val="00D33D57"/>
    <w:rsid w:val="00D34DE9"/>
    <w:rsid w:val="00D34E2E"/>
    <w:rsid w:val="00D358DC"/>
    <w:rsid w:val="00D35A10"/>
    <w:rsid w:val="00D35D66"/>
    <w:rsid w:val="00D3746D"/>
    <w:rsid w:val="00D37D10"/>
    <w:rsid w:val="00D40B5A"/>
    <w:rsid w:val="00D41F55"/>
    <w:rsid w:val="00D420E6"/>
    <w:rsid w:val="00D4326E"/>
    <w:rsid w:val="00D43BD8"/>
    <w:rsid w:val="00D44B13"/>
    <w:rsid w:val="00D45E52"/>
    <w:rsid w:val="00D47091"/>
    <w:rsid w:val="00D47701"/>
    <w:rsid w:val="00D47760"/>
    <w:rsid w:val="00D47E0E"/>
    <w:rsid w:val="00D52FDB"/>
    <w:rsid w:val="00D531C0"/>
    <w:rsid w:val="00D540F7"/>
    <w:rsid w:val="00D54F9E"/>
    <w:rsid w:val="00D55B3E"/>
    <w:rsid w:val="00D56B76"/>
    <w:rsid w:val="00D571E2"/>
    <w:rsid w:val="00D575F3"/>
    <w:rsid w:val="00D57CC5"/>
    <w:rsid w:val="00D6041B"/>
    <w:rsid w:val="00D60895"/>
    <w:rsid w:val="00D60AF7"/>
    <w:rsid w:val="00D617E6"/>
    <w:rsid w:val="00D61A24"/>
    <w:rsid w:val="00D625F8"/>
    <w:rsid w:val="00D62AAB"/>
    <w:rsid w:val="00D63120"/>
    <w:rsid w:val="00D651A3"/>
    <w:rsid w:val="00D679F0"/>
    <w:rsid w:val="00D70337"/>
    <w:rsid w:val="00D70FA1"/>
    <w:rsid w:val="00D72A37"/>
    <w:rsid w:val="00D739C9"/>
    <w:rsid w:val="00D74459"/>
    <w:rsid w:val="00D76AFF"/>
    <w:rsid w:val="00D80CFE"/>
    <w:rsid w:val="00D81192"/>
    <w:rsid w:val="00D8173D"/>
    <w:rsid w:val="00D81BD1"/>
    <w:rsid w:val="00D827EC"/>
    <w:rsid w:val="00D84358"/>
    <w:rsid w:val="00D85043"/>
    <w:rsid w:val="00D85537"/>
    <w:rsid w:val="00D86983"/>
    <w:rsid w:val="00D8715B"/>
    <w:rsid w:val="00D90F6F"/>
    <w:rsid w:val="00D91676"/>
    <w:rsid w:val="00D91E42"/>
    <w:rsid w:val="00D934B0"/>
    <w:rsid w:val="00D93719"/>
    <w:rsid w:val="00D93CF2"/>
    <w:rsid w:val="00D94C08"/>
    <w:rsid w:val="00D95739"/>
    <w:rsid w:val="00D958EE"/>
    <w:rsid w:val="00DA0C76"/>
    <w:rsid w:val="00DA147C"/>
    <w:rsid w:val="00DA30FB"/>
    <w:rsid w:val="00DA32A6"/>
    <w:rsid w:val="00DA336C"/>
    <w:rsid w:val="00DA4100"/>
    <w:rsid w:val="00DA4DAE"/>
    <w:rsid w:val="00DA4F9E"/>
    <w:rsid w:val="00DA5945"/>
    <w:rsid w:val="00DA6078"/>
    <w:rsid w:val="00DA6773"/>
    <w:rsid w:val="00DA67CF"/>
    <w:rsid w:val="00DA7939"/>
    <w:rsid w:val="00DA7D72"/>
    <w:rsid w:val="00DA7D9E"/>
    <w:rsid w:val="00DB0191"/>
    <w:rsid w:val="00DB06D2"/>
    <w:rsid w:val="00DB074D"/>
    <w:rsid w:val="00DB1F19"/>
    <w:rsid w:val="00DB2825"/>
    <w:rsid w:val="00DB28BD"/>
    <w:rsid w:val="00DB2E08"/>
    <w:rsid w:val="00DB38B0"/>
    <w:rsid w:val="00DB472D"/>
    <w:rsid w:val="00DB6EFF"/>
    <w:rsid w:val="00DB702E"/>
    <w:rsid w:val="00DC0927"/>
    <w:rsid w:val="00DC0F40"/>
    <w:rsid w:val="00DC138F"/>
    <w:rsid w:val="00DC1B4A"/>
    <w:rsid w:val="00DC1B69"/>
    <w:rsid w:val="00DC1DEC"/>
    <w:rsid w:val="00DC1EFA"/>
    <w:rsid w:val="00DC1FA4"/>
    <w:rsid w:val="00DC3379"/>
    <w:rsid w:val="00DC3FD6"/>
    <w:rsid w:val="00DC4892"/>
    <w:rsid w:val="00DD0680"/>
    <w:rsid w:val="00DD0BBE"/>
    <w:rsid w:val="00DD1D48"/>
    <w:rsid w:val="00DD45A9"/>
    <w:rsid w:val="00DD46DE"/>
    <w:rsid w:val="00DD4B53"/>
    <w:rsid w:val="00DD5F27"/>
    <w:rsid w:val="00DD6074"/>
    <w:rsid w:val="00DE067F"/>
    <w:rsid w:val="00DE2E2D"/>
    <w:rsid w:val="00DE3D61"/>
    <w:rsid w:val="00DE58B1"/>
    <w:rsid w:val="00DE5A56"/>
    <w:rsid w:val="00DE6D34"/>
    <w:rsid w:val="00DE6EC4"/>
    <w:rsid w:val="00DF0913"/>
    <w:rsid w:val="00DF0C9D"/>
    <w:rsid w:val="00DF1D74"/>
    <w:rsid w:val="00DF24B5"/>
    <w:rsid w:val="00DF26AF"/>
    <w:rsid w:val="00DF50A9"/>
    <w:rsid w:val="00DF54FE"/>
    <w:rsid w:val="00DF65BD"/>
    <w:rsid w:val="00DF7F3E"/>
    <w:rsid w:val="00E025DF"/>
    <w:rsid w:val="00E03DB5"/>
    <w:rsid w:val="00E058AD"/>
    <w:rsid w:val="00E06078"/>
    <w:rsid w:val="00E060CE"/>
    <w:rsid w:val="00E065CC"/>
    <w:rsid w:val="00E06BBD"/>
    <w:rsid w:val="00E06DB1"/>
    <w:rsid w:val="00E06FA3"/>
    <w:rsid w:val="00E07F27"/>
    <w:rsid w:val="00E10D4E"/>
    <w:rsid w:val="00E11228"/>
    <w:rsid w:val="00E122C7"/>
    <w:rsid w:val="00E15158"/>
    <w:rsid w:val="00E16BC4"/>
    <w:rsid w:val="00E2148F"/>
    <w:rsid w:val="00E22024"/>
    <w:rsid w:val="00E22842"/>
    <w:rsid w:val="00E23594"/>
    <w:rsid w:val="00E2385D"/>
    <w:rsid w:val="00E23BC9"/>
    <w:rsid w:val="00E24A35"/>
    <w:rsid w:val="00E25FF2"/>
    <w:rsid w:val="00E262A5"/>
    <w:rsid w:val="00E272F8"/>
    <w:rsid w:val="00E306F6"/>
    <w:rsid w:val="00E316E7"/>
    <w:rsid w:val="00E32614"/>
    <w:rsid w:val="00E3269C"/>
    <w:rsid w:val="00E32D12"/>
    <w:rsid w:val="00E33745"/>
    <w:rsid w:val="00E344DD"/>
    <w:rsid w:val="00E3614F"/>
    <w:rsid w:val="00E36EA3"/>
    <w:rsid w:val="00E3728D"/>
    <w:rsid w:val="00E4363B"/>
    <w:rsid w:val="00E43968"/>
    <w:rsid w:val="00E44BE3"/>
    <w:rsid w:val="00E44C0D"/>
    <w:rsid w:val="00E453FC"/>
    <w:rsid w:val="00E503F0"/>
    <w:rsid w:val="00E50A38"/>
    <w:rsid w:val="00E50CFF"/>
    <w:rsid w:val="00E516F1"/>
    <w:rsid w:val="00E51A38"/>
    <w:rsid w:val="00E5264A"/>
    <w:rsid w:val="00E53357"/>
    <w:rsid w:val="00E54D67"/>
    <w:rsid w:val="00E55BDC"/>
    <w:rsid w:val="00E56C54"/>
    <w:rsid w:val="00E57C19"/>
    <w:rsid w:val="00E6089C"/>
    <w:rsid w:val="00E622A9"/>
    <w:rsid w:val="00E6298D"/>
    <w:rsid w:val="00E635CF"/>
    <w:rsid w:val="00E64CA3"/>
    <w:rsid w:val="00E655D7"/>
    <w:rsid w:val="00E65640"/>
    <w:rsid w:val="00E658BA"/>
    <w:rsid w:val="00E65AEC"/>
    <w:rsid w:val="00E662E2"/>
    <w:rsid w:val="00E66554"/>
    <w:rsid w:val="00E67AD6"/>
    <w:rsid w:val="00E71A27"/>
    <w:rsid w:val="00E7208B"/>
    <w:rsid w:val="00E7257B"/>
    <w:rsid w:val="00E7315D"/>
    <w:rsid w:val="00E760FE"/>
    <w:rsid w:val="00E76160"/>
    <w:rsid w:val="00E77325"/>
    <w:rsid w:val="00E817F3"/>
    <w:rsid w:val="00E84D3C"/>
    <w:rsid w:val="00E852C6"/>
    <w:rsid w:val="00E855BB"/>
    <w:rsid w:val="00E87832"/>
    <w:rsid w:val="00E879E4"/>
    <w:rsid w:val="00E907F3"/>
    <w:rsid w:val="00E92590"/>
    <w:rsid w:val="00E925A2"/>
    <w:rsid w:val="00E92C72"/>
    <w:rsid w:val="00E94526"/>
    <w:rsid w:val="00E95A60"/>
    <w:rsid w:val="00EA0702"/>
    <w:rsid w:val="00EA0E7D"/>
    <w:rsid w:val="00EA1420"/>
    <w:rsid w:val="00EA182C"/>
    <w:rsid w:val="00EA513F"/>
    <w:rsid w:val="00EA52D2"/>
    <w:rsid w:val="00EA564F"/>
    <w:rsid w:val="00EA577B"/>
    <w:rsid w:val="00EA603F"/>
    <w:rsid w:val="00EA697A"/>
    <w:rsid w:val="00EB0021"/>
    <w:rsid w:val="00EB38FB"/>
    <w:rsid w:val="00EB5373"/>
    <w:rsid w:val="00EB59A3"/>
    <w:rsid w:val="00EB5AAC"/>
    <w:rsid w:val="00EB6C36"/>
    <w:rsid w:val="00EC0296"/>
    <w:rsid w:val="00EC0364"/>
    <w:rsid w:val="00EC0549"/>
    <w:rsid w:val="00EC226C"/>
    <w:rsid w:val="00EC3E99"/>
    <w:rsid w:val="00EC5E3E"/>
    <w:rsid w:val="00ED0BC6"/>
    <w:rsid w:val="00ED0DA8"/>
    <w:rsid w:val="00ED14E2"/>
    <w:rsid w:val="00ED1AFC"/>
    <w:rsid w:val="00ED2821"/>
    <w:rsid w:val="00ED484B"/>
    <w:rsid w:val="00ED4DA1"/>
    <w:rsid w:val="00ED7D94"/>
    <w:rsid w:val="00EE07D8"/>
    <w:rsid w:val="00EE081B"/>
    <w:rsid w:val="00EE0A84"/>
    <w:rsid w:val="00EE1310"/>
    <w:rsid w:val="00EE14F2"/>
    <w:rsid w:val="00EE522E"/>
    <w:rsid w:val="00EE6FE5"/>
    <w:rsid w:val="00EE7E89"/>
    <w:rsid w:val="00EF1FF5"/>
    <w:rsid w:val="00EF3021"/>
    <w:rsid w:val="00EF3155"/>
    <w:rsid w:val="00EF383B"/>
    <w:rsid w:val="00EF3FF0"/>
    <w:rsid w:val="00EF435A"/>
    <w:rsid w:val="00EF46B8"/>
    <w:rsid w:val="00EF64C2"/>
    <w:rsid w:val="00EF64F6"/>
    <w:rsid w:val="00EF6631"/>
    <w:rsid w:val="00EF7428"/>
    <w:rsid w:val="00F00E90"/>
    <w:rsid w:val="00F01060"/>
    <w:rsid w:val="00F02AE3"/>
    <w:rsid w:val="00F0403D"/>
    <w:rsid w:val="00F046CF"/>
    <w:rsid w:val="00F046EC"/>
    <w:rsid w:val="00F0500B"/>
    <w:rsid w:val="00F0761A"/>
    <w:rsid w:val="00F12965"/>
    <w:rsid w:val="00F15521"/>
    <w:rsid w:val="00F15AD3"/>
    <w:rsid w:val="00F16A3D"/>
    <w:rsid w:val="00F20935"/>
    <w:rsid w:val="00F225A9"/>
    <w:rsid w:val="00F2479A"/>
    <w:rsid w:val="00F254F3"/>
    <w:rsid w:val="00F25A93"/>
    <w:rsid w:val="00F2611E"/>
    <w:rsid w:val="00F26399"/>
    <w:rsid w:val="00F27225"/>
    <w:rsid w:val="00F274DB"/>
    <w:rsid w:val="00F318C3"/>
    <w:rsid w:val="00F31C8F"/>
    <w:rsid w:val="00F31DAE"/>
    <w:rsid w:val="00F36506"/>
    <w:rsid w:val="00F369B3"/>
    <w:rsid w:val="00F37510"/>
    <w:rsid w:val="00F4310B"/>
    <w:rsid w:val="00F432CE"/>
    <w:rsid w:val="00F45129"/>
    <w:rsid w:val="00F45D94"/>
    <w:rsid w:val="00F46F4A"/>
    <w:rsid w:val="00F51C7C"/>
    <w:rsid w:val="00F51CFB"/>
    <w:rsid w:val="00F5262E"/>
    <w:rsid w:val="00F5388C"/>
    <w:rsid w:val="00F555B2"/>
    <w:rsid w:val="00F608D5"/>
    <w:rsid w:val="00F60D6D"/>
    <w:rsid w:val="00F61E15"/>
    <w:rsid w:val="00F6260D"/>
    <w:rsid w:val="00F64DEB"/>
    <w:rsid w:val="00F65AB3"/>
    <w:rsid w:val="00F66871"/>
    <w:rsid w:val="00F67165"/>
    <w:rsid w:val="00F70518"/>
    <w:rsid w:val="00F71CF0"/>
    <w:rsid w:val="00F76029"/>
    <w:rsid w:val="00F76971"/>
    <w:rsid w:val="00F77291"/>
    <w:rsid w:val="00F80A94"/>
    <w:rsid w:val="00F8124A"/>
    <w:rsid w:val="00F825CC"/>
    <w:rsid w:val="00F83DA0"/>
    <w:rsid w:val="00F84021"/>
    <w:rsid w:val="00F8409A"/>
    <w:rsid w:val="00F840AE"/>
    <w:rsid w:val="00F86043"/>
    <w:rsid w:val="00F8791F"/>
    <w:rsid w:val="00F90745"/>
    <w:rsid w:val="00F90D3A"/>
    <w:rsid w:val="00F917E3"/>
    <w:rsid w:val="00F92877"/>
    <w:rsid w:val="00F940F5"/>
    <w:rsid w:val="00F94F7D"/>
    <w:rsid w:val="00F9549C"/>
    <w:rsid w:val="00F95AD3"/>
    <w:rsid w:val="00F95C6E"/>
    <w:rsid w:val="00FA2235"/>
    <w:rsid w:val="00FA2FC7"/>
    <w:rsid w:val="00FA4811"/>
    <w:rsid w:val="00FA5560"/>
    <w:rsid w:val="00FA5BEE"/>
    <w:rsid w:val="00FA6109"/>
    <w:rsid w:val="00FB13AD"/>
    <w:rsid w:val="00FB191B"/>
    <w:rsid w:val="00FB19CA"/>
    <w:rsid w:val="00FB1B41"/>
    <w:rsid w:val="00FB2335"/>
    <w:rsid w:val="00FB27B5"/>
    <w:rsid w:val="00FC05D1"/>
    <w:rsid w:val="00FC0DBE"/>
    <w:rsid w:val="00FC39EF"/>
    <w:rsid w:val="00FC4A96"/>
    <w:rsid w:val="00FC4C85"/>
    <w:rsid w:val="00FC51DA"/>
    <w:rsid w:val="00FC57C5"/>
    <w:rsid w:val="00FC5BF2"/>
    <w:rsid w:val="00FC5F3E"/>
    <w:rsid w:val="00FC6D1C"/>
    <w:rsid w:val="00FC6E0F"/>
    <w:rsid w:val="00FD0883"/>
    <w:rsid w:val="00FD234A"/>
    <w:rsid w:val="00FD2DA6"/>
    <w:rsid w:val="00FD3F30"/>
    <w:rsid w:val="00FD489C"/>
    <w:rsid w:val="00FD5509"/>
    <w:rsid w:val="00FD570C"/>
    <w:rsid w:val="00FD6404"/>
    <w:rsid w:val="00FD71FB"/>
    <w:rsid w:val="00FE00B2"/>
    <w:rsid w:val="00FE0B93"/>
    <w:rsid w:val="00FE2306"/>
    <w:rsid w:val="00FE3ADA"/>
    <w:rsid w:val="00FE3E93"/>
    <w:rsid w:val="00FE5C90"/>
    <w:rsid w:val="00FE6BFC"/>
    <w:rsid w:val="00FF033B"/>
    <w:rsid w:val="00FF05B2"/>
    <w:rsid w:val="00FF1929"/>
    <w:rsid w:val="00FF1DB5"/>
    <w:rsid w:val="00FF258F"/>
    <w:rsid w:val="00FF646A"/>
    <w:rsid w:val="00FF7262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7542"/>
  <w15:docId w15:val="{1EB6326E-AA43-4EE4-8DDB-C55E39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E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C5E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E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5EC1"/>
    <w:rPr>
      <w:vertAlign w:val="superscript"/>
    </w:rPr>
  </w:style>
  <w:style w:type="table" w:styleId="TableGrid">
    <w:name w:val="Table Grid"/>
    <w:basedOn w:val="TableNormal"/>
    <w:uiPriority w:val="59"/>
    <w:rsid w:val="00AC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2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2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2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BB"/>
  </w:style>
  <w:style w:type="paragraph" w:styleId="Footer">
    <w:name w:val="footer"/>
    <w:basedOn w:val="Normal"/>
    <w:link w:val="Foot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BB"/>
  </w:style>
  <w:style w:type="paragraph" w:styleId="BalloonText">
    <w:name w:val="Balloon Text"/>
    <w:basedOn w:val="Normal"/>
    <w:link w:val="BalloonTextChar"/>
    <w:uiPriority w:val="99"/>
    <w:semiHidden/>
    <w:unhideWhenUsed/>
    <w:rsid w:val="00C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EAEXP2DD475P-1149199250-4791874</_dlc_DocId>
    <_dlc_DocIdUrl xmlns="8f557624-d6a7-40e5-a06f-ebe44359847b">
      <Url>https://erstdk.sharepoint.com/teams/share/_layouts/15/DocIdRedir.aspx?ID=EAEXP2DD475P-1149199250-4791874</Url>
      <Description>EAEXP2DD475P-1149199250-4791874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EFEE-6A21-4504-937A-883999B5E5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1F09A9-6360-46D0-82EF-1153D0C7C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13F8A-3BBD-4EBF-AD31-EC8511AF7EB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B0E01B7C-B8BA-4AF3-8E43-ED4BED09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6B014E-0E51-4F69-AC8B-6336E53A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Helweg-Larsen</dc:creator>
  <cp:lastModifiedBy>Diana STOICA</cp:lastModifiedBy>
  <cp:revision>4</cp:revision>
  <cp:lastPrinted>2020-09-28T12:09:00Z</cp:lastPrinted>
  <dcterms:created xsi:type="dcterms:W3CDTF">2020-10-01T09:59:00Z</dcterms:created>
  <dcterms:modified xsi:type="dcterms:W3CDTF">2020-10-08T11:26:00Z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0x01010028823DAD65BFDC47A3186F100C863B32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dlc_DocIdItemGuid">
    <vt:lpwstr>532cab8c-0ed6-49d2-916e-0d172baaa8dc</vt:lpwstr>
  </property>
</Properties>
</file>