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BF3" w:rsidRDefault="00694BF3" w:rsidP="00F54ECB">
      <w:pPr>
        <w:jc w:val="both"/>
      </w:pPr>
    </w:p>
    <w:p w:rsidR="009C128D" w:rsidRDefault="009C128D" w:rsidP="00F54ECB">
      <w:pPr>
        <w:jc w:val="both"/>
      </w:pPr>
    </w:p>
    <w:p w:rsidR="009C128D" w:rsidRDefault="009C128D" w:rsidP="00F54ECB">
      <w:pPr>
        <w:jc w:val="both"/>
        <w:rPr>
          <w:color w:val="000000"/>
          <w:rFonts w:ascii="Arial" w:hAnsi="Arial" w:cs="Arial"/>
        </w:rPr>
      </w:pPr>
      <w:r>
        <w:rPr>
          <w:color w:val="000000"/>
          <w:rFonts w:ascii="Arial" w:hAnsi="Arial"/>
        </w:rPr>
        <w:t xml:space="preserve">Utkast till lag om att befästa respekten för Republikens principer</w:t>
      </w:r>
    </w:p>
    <w:p w:rsidR="009C128D" w:rsidRDefault="009C128D" w:rsidP="00F54ECB">
      <w:pPr>
        <w:jc w:val="both"/>
        <w:rPr>
          <w:rFonts w:ascii="Arial" w:hAnsi="Arial" w:cs="Arial"/>
          <w:color w:val="000000"/>
        </w:rPr>
      </w:pPr>
    </w:p>
    <w:p w:rsidR="009C128D" w:rsidRDefault="009C128D" w:rsidP="00F54ECB">
      <w:pPr>
        <w:jc w:val="both"/>
        <w:rPr>
          <w:rFonts w:ascii="Arial" w:hAnsi="Arial" w:cs="Arial"/>
          <w:color w:val="000000"/>
        </w:rPr>
      </w:pPr>
    </w:p>
    <w:p w:rsidR="009C128D" w:rsidRDefault="009C128D" w:rsidP="00F54ECB">
      <w:pPr>
        <w:autoSpaceDE w:val="0"/>
        <w:autoSpaceDN w:val="0"/>
        <w:adjustRightInd w:val="0"/>
        <w:spacing w:after="0" w:line="240" w:lineRule="auto"/>
        <w:jc w:val="both"/>
        <w:rPr>
          <w:b/>
          <w:bCs/>
          <w:sz w:val="21"/>
          <w:szCs w:val="21"/>
          <w:rFonts w:ascii="Times-Bold" w:hAnsi="Times-Bold" w:cs="Times-Bold"/>
        </w:rPr>
      </w:pPr>
      <w:r>
        <w:rPr>
          <w:b/>
          <w:sz w:val="21"/>
          <w:rFonts w:ascii="Times-Bold" w:hAnsi="Times-Bold"/>
        </w:rPr>
        <w:t xml:space="preserve">Artikel 19</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rFonts w:ascii="Times-Roman" w:hAnsi="Times-Roman"/>
        </w:rPr>
        <w:t xml:space="preserve">Avdelning I kapitel II i lag nr 2004-575 av den 21 juni 2004 om förtroende för den digitala ekonomin ska ändras på följande sätt: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sz w:val="21"/>
        </w:rPr>
        <w:t xml:space="preserve">1.</w:t>
      </w:r>
      <w:r>
        <w:rPr>
          <w:sz w:val="21"/>
        </w:rPr>
        <w:t xml:space="preserve"> </w:t>
      </w:r>
      <w:r>
        <w:rPr>
          <w:sz w:val="21"/>
          <w:i/>
        </w:rPr>
        <w:t xml:space="preserve">(ny)</w:t>
      </w:r>
      <w:r>
        <w:rPr>
          <w:sz w:val="21"/>
        </w:rPr>
        <w:t xml:space="preserve"> Under 8 i Artikel 6, ska orden:</w:t>
      </w:r>
      <w:r>
        <w:rPr>
          <w:sz w:val="21"/>
          <w:rFonts w:ascii="Times-Roman" w:hAnsi="Times-Roman"/>
        </w:rPr>
        <w:t xml:space="preserve"> </w:t>
      </w:r>
      <w:r>
        <w:rPr>
          <w:sz w:val="21"/>
          <w:rFonts w:ascii="Times-Roman" w:hAnsi="Times-Roman"/>
        </w:rPr>
        <w:t xml:space="preserve">“år 2 eller om så inte är fallet, för en person som avses i 1” ersättas med följande:</w:t>
      </w:r>
      <w:r>
        <w:rPr>
          <w:sz w:val="21"/>
          <w:rFonts w:ascii="Times-Roman" w:hAnsi="Times-Roman"/>
        </w:rPr>
        <w:t xml:space="preserve"> </w:t>
      </w:r>
      <w:r>
        <w:rPr>
          <w:sz w:val="21"/>
          <w:rFonts w:ascii="Times-Roman" w:hAnsi="Times-Roman"/>
        </w:rPr>
        <w:t xml:space="preserve">“under 1 eller 2”;</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Efter artikel 6-2 i dess lydelse enligt lag nr 2020-1266 av den 19 oktober 2020 vars syfte är att reglera det kommersiella utnyttjandet av bilder på barn under sexton år på olika plattformar online ska artiklarna 6-3 och 6-4 införas enligt följande:</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Pr>
        <w:t xml:space="preserve">“</w:t>
      </w:r>
      <w:r>
        <w:rPr>
          <w:sz w:val="21"/>
          <w:i/>
          <w:rFonts w:ascii="Times-Italic" w:hAnsi="Times-Italic"/>
        </w:rPr>
        <w:t xml:space="preserve">Artikel 6-4.</w:t>
      </w:r>
      <w:r>
        <w:rPr>
          <w:sz w:val="21"/>
          <w:i/>
          <w:rFonts w:ascii="Times-Italic" w:hAnsi="Times-Italic"/>
        </w:rPr>
        <w:t xml:space="preserve"> </w:t>
      </w:r>
      <w:r>
        <w:rPr>
          <w:sz w:val="21"/>
          <w:rFonts w:ascii="Times-Roman" w:hAnsi="Times-Roman"/>
        </w:rPr>
        <w:t xml:space="preserve">- Om verkställbart rättsligt beslut har fastställt någon åtgärd i syfte att förhindra tillgången till en offentlig kommunikationstjänst online därför att tjänstens innehåll omfattas av de överträdelser som avses i artikel 6(I)(7), får den administrativa myndigheten, om en berörd person menar att det finns behov för detta, begära att de personer som avses i 1 eller 2 av samma I, hindrar allmänhetens tillgång till en kommunikationstjänst på nätet vars innehåll är identisk eller helt likvärdig med innehållet i nämnda tjänster, under en period som inte överstiger den återstående tiden för det rättsliga beslutets fastställda åtgärder.</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På samma villkor får den administrativa myndigheten också begära att alla operatörer av en sökmotor, katalog eller någon annan referenstjänst upphör med att hänvisa till webbadresser som ger allmänheten tillgång till sådana kommunikationstjänster online.</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Den administrativa myndigheten ska hålla en uppdaterad förteckning över de kommunikationstjänster online som avses i första stycket i denna artikel och som varit föremål för en begäran om blockering enligt samma artikels första stycke samt över webbadresser som håller sådana tjänster tillgängliga. Förteckningen ska göras tillgänglig för annonsörer, deras ombud och de tjänster som avses i artikel 299(II) (2) i den allmänna skattelagen.</w:t>
      </w:r>
      <w:r>
        <w:rPr>
          <w:sz w:val="21"/>
          <w:rFonts w:ascii="Times-Roman" w:hAnsi="Times-Roman"/>
        </w:rPr>
        <w:t xml:space="preserve"> </w:t>
      </w:r>
      <w:r>
        <w:rPr>
          <w:sz w:val="21"/>
          <w:rFonts w:ascii="Times-Roman" w:hAnsi="Times-Roman"/>
        </w:rPr>
        <w:t xml:space="preserve">Tjänsterna ska inkluderas i denna förteckning under återstoden av tiden som den rättsliga myndigheten beslutat om.</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Om dessa tjänster inte blockeras eller om hänvisningar till dessa tjänster inte tas bort i enlighet med denna artikel, får den rättsliga myndigheten genom interimistiska åtgärder eller på begäran åberopas för att besluta om åtgärder i syfte att stoppa tillgången till innehållet i dessa tjänster.</w:t>
      </w:r>
      <w:r>
        <w:rPr>
          <w:sz w:val="21"/>
          <w:rFonts w:ascii="Times-Roman" w:hAnsi="Times-Roman"/>
        </w:rPr>
        <w:t xml:space="preserve"> </w:t>
      </w:r>
      <w:r>
        <w:rPr>
          <w:sz w:val="21"/>
          <w:rFonts w:ascii="Times-Roman" w:hAnsi="Times-Roman"/>
        </w:rPr>
        <w:t xml:space="preserve">”</w:t>
      </w:r>
    </w:p>
    <w:p w:rsidR="00317039" w:rsidRDefault="00317039" w:rsidP="00F54ECB">
      <w:pPr>
        <w:autoSpaceDE w:val="0"/>
        <w:autoSpaceDN w:val="0"/>
        <w:adjustRightInd w:val="0"/>
        <w:spacing w:after="0" w:line="240" w:lineRule="auto"/>
        <w:jc w:val="both"/>
        <w:rPr>
          <w:rFonts w:ascii="Times-Bold" w:hAnsi="Times-Bold" w:cs="Times-Bold"/>
          <w:b/>
          <w:bCs/>
          <w:sz w:val="21"/>
          <w:szCs w:val="21"/>
        </w:rPr>
      </w:pPr>
    </w:p>
    <w:p w:rsidR="001048BC" w:rsidRDefault="001048BC" w:rsidP="00F54ECB">
      <w:pPr>
        <w:autoSpaceDE w:val="0"/>
        <w:autoSpaceDN w:val="0"/>
        <w:adjustRightInd w:val="0"/>
        <w:spacing w:after="0" w:line="240" w:lineRule="auto"/>
        <w:jc w:val="both"/>
        <w:rPr>
          <w:rFonts w:ascii="Times-Bold" w:hAnsi="Times-Bold" w:cs="Times-Bold"/>
          <w:b/>
          <w:bCs/>
          <w:sz w:val="21"/>
          <w:szCs w:val="21"/>
        </w:rPr>
      </w:pPr>
    </w:p>
    <w:p w:rsidR="00317039" w:rsidRDefault="00317039" w:rsidP="00F54ECB">
      <w:pPr>
        <w:autoSpaceDE w:val="0"/>
        <w:autoSpaceDN w:val="0"/>
        <w:adjustRightInd w:val="0"/>
        <w:spacing w:after="0" w:line="240" w:lineRule="auto"/>
        <w:jc w:val="both"/>
        <w:rPr>
          <w:b/>
          <w:bCs/>
          <w:i/>
          <w:iCs/>
          <w:sz w:val="21"/>
          <w:szCs w:val="21"/>
          <w:rFonts w:ascii="Times-BoldItalic" w:hAnsi="Times-BoldItalic" w:cs="Times-BoldItalic"/>
        </w:rPr>
      </w:pPr>
      <w:r>
        <w:rPr>
          <w:b/>
          <w:sz w:val="21"/>
          <w:rFonts w:ascii="Times-Bold" w:hAnsi="Times-Bold"/>
        </w:rPr>
        <w:t xml:space="preserve">Artikel 19 </w:t>
      </w:r>
      <w:r>
        <w:rPr>
          <w:b/>
          <w:sz w:val="21"/>
          <w:i/>
          <w:rFonts w:ascii="Times-BoldItalic" w:hAnsi="Times-BoldItalic"/>
        </w:rPr>
        <w:t xml:space="preserve">a (ny)</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rFonts w:ascii="Times-Roman" w:hAnsi="Times-Roman"/>
        </w:rPr>
        <w:t xml:space="preserve">I. – Kapitel II i avdelning I i lag nr 2004-575 av den 21 juni 2004 om förtroende för den digitala ekonomin ska ändras på följande sätt: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Artikel 6(7) fjärde stycket ska ändras på följande sätt:</w:t>
      </w:r>
    </w:p>
    <w:p w:rsidR="004E021A" w:rsidRDefault="004E021A"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a)</w:t>
      </w:r>
      <w:r>
        <w:rPr>
          <w:sz w:val="21"/>
        </w:rPr>
        <w:t xml:space="preserve"> </w:t>
      </w:r>
      <w:r>
        <w:rPr>
          <w:sz w:val="21"/>
          <w:rFonts w:ascii="Times-Roman" w:hAnsi="Times-Roman"/>
        </w:rPr>
        <w:t xml:space="preserve">Första meningen ska kompletteras med följande:</w:t>
      </w:r>
      <w:r>
        <w:rPr>
          <w:sz w:val="21"/>
          <w:rFonts w:ascii="Times-Roman" w:hAnsi="Times-Roman"/>
        </w:rPr>
        <w:t xml:space="preserve"> </w:t>
      </w:r>
      <w:r>
        <w:rPr>
          <w:sz w:val="21"/>
          <w:rFonts w:ascii="Times-Roman" w:hAnsi="Times-Roman"/>
        </w:rPr>
        <w:t xml:space="preserve">“och offentliggöra de medel som de använder i kampen mot de olagliga verksamheter som avses i tredje stycket i detta 7”;</w:t>
      </w:r>
    </w:p>
    <w:p w:rsidR="001048BC" w:rsidRDefault="001048BC"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b)</w:t>
      </w:r>
      <w:r>
        <w:rPr>
          <w:sz w:val="21"/>
        </w:rPr>
        <w:t xml:space="preserve"> </w:t>
      </w:r>
      <w:r>
        <w:rPr>
          <w:sz w:val="21"/>
          <w:rFonts w:ascii="Times-Roman" w:hAnsi="Times-Roman"/>
        </w:rPr>
        <w:t xml:space="preserve">efter denna första mening, ska följande mening införas:</w:t>
      </w:r>
      <w:r>
        <w:rPr>
          <w:sz w:val="21"/>
          <w:rFonts w:ascii="Times-Roman" w:hAnsi="Times-Roman"/>
        </w:rPr>
        <w:t xml:space="preserve"> </w:t>
      </w:r>
      <w:r>
        <w:rPr>
          <w:sz w:val="21"/>
          <w:rFonts w:ascii="Times-Roman" w:hAnsi="Times-Roman"/>
        </w:rPr>
        <w:t xml:space="preserve">“Dessa skyldigheter ska inte gälla de aktörer som avses i artikel 6-5 första stycket i syfte att bekämpa spridningen av det innehåll som avses i samma första stycke.</w:t>
      </w:r>
      <w:r>
        <w:rPr>
          <w:sz w:val="21"/>
          <w:rFonts w:ascii="Times-Roman" w:hAnsi="Times-Roman"/>
        </w:rPr>
        <w:t xml:space="preserve"> </w:t>
      </w:r>
      <w:r>
        <w:rPr>
          <w:sz w:val="21"/>
          <w:rFonts w:ascii="Times-Roman" w:hAnsi="Times-Roman"/>
        </w:rPr>
        <w:t xml:space="preserv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c)</w:t>
      </w:r>
      <w:r>
        <w:rPr>
          <w:sz w:val="21"/>
        </w:rPr>
        <w:t xml:space="preserve"> Andra meningen ska ändras på följande sätt: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i början, ska ordet</w:t>
      </w:r>
      <w:r>
        <w:rPr>
          <w:sz w:val="21"/>
          <w:rFonts w:ascii="Times-Roman" w:hAnsi="Times-Roman"/>
        </w:rPr>
        <w:t xml:space="preserve"> </w:t>
      </w:r>
      <w:r>
        <w:rPr>
          <w:sz w:val="21"/>
          <w:rFonts w:ascii="Times-Roman" w:hAnsi="Times-Roman"/>
        </w:rPr>
        <w:t xml:space="preserve">“De” ersättas med följande:</w:t>
      </w:r>
      <w:r>
        <w:rPr>
          <w:sz w:val="21"/>
          <w:rFonts w:ascii="Times-Roman" w:hAnsi="Times-Roman"/>
        </w:rPr>
        <w:t xml:space="preserve"> </w:t>
      </w:r>
      <w:r>
        <w:rPr>
          <w:sz w:val="21"/>
          <w:rFonts w:ascii="Times-Roman" w:hAnsi="Times-Roman"/>
        </w:rPr>
        <w:t xml:space="preserve">“De personer som nämns under 1 och 2”;</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Pr>
        <w:t xml:space="preserve">– orden:</w:t>
      </w:r>
      <w:r>
        <w:rPr>
          <w:sz w:val="21"/>
          <w:rFonts w:ascii="Times-Roman" w:hAnsi="Times-Roman"/>
        </w:rPr>
        <w:t xml:space="preserve"> </w:t>
      </w:r>
      <w:r>
        <w:rPr>
          <w:sz w:val="21"/>
          <w:rFonts w:ascii="Times-Roman" w:hAnsi="Times-Roman"/>
        </w:rPr>
        <w:t xml:space="preserve">“, å ena sidan,” ska utgå;</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orden:</w:t>
      </w:r>
      <w:r>
        <w:rPr>
          <w:sz w:val="21"/>
          <w:rFonts w:ascii="Times-Roman" w:hAnsi="Times-Roman"/>
        </w:rPr>
        <w:t xml:space="preserve"> </w:t>
      </w:r>
      <w:r>
        <w:rPr>
          <w:sz w:val="21"/>
          <w:rFonts w:ascii="Times-Roman" w:hAnsi="Times-Roman"/>
        </w:rPr>
        <w:t xml:space="preserve">“i föregående stycke” ska ersättas med:</w:t>
      </w:r>
      <w:r>
        <w:rPr>
          <w:sz w:val="21"/>
          <w:rFonts w:ascii="Times-Roman" w:hAnsi="Times-Roman"/>
        </w:rPr>
        <w:t xml:space="preserve"> </w:t>
      </w:r>
      <w:r>
        <w:rPr>
          <w:sz w:val="21"/>
          <w:rFonts w:ascii="Times-Roman" w:hAnsi="Times-Roman"/>
        </w:rPr>
        <w:t xml:space="preserve">“i samma tredje stycke”;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efter ordet:</w:t>
      </w:r>
      <w:r>
        <w:rPr>
          <w:sz w:val="21"/>
          <w:rFonts w:ascii="Times-Roman" w:hAnsi="Times-Roman"/>
        </w:rPr>
        <w:t xml:space="preserve"> </w:t>
      </w:r>
      <w:r>
        <w:rPr>
          <w:sz w:val="21"/>
          <w:rFonts w:ascii="Times-Roman" w:hAnsi="Times-Roman"/>
        </w:rPr>
        <w:t xml:space="preserve">“tjänster” ska slutet utgå;</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Efter ordalydelsen i artikel 6-2 följande ovan nämnda lag nr 2020-1266 av den 19 oktober 2020 ska artikel 6-5 införas enligt följande:</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“Artikel 6-5.</w:t>
      </w:r>
      <w:r>
        <w:rPr>
          <w:sz w:val="21"/>
          <w:i/>
          <w:rFonts w:ascii="Times-Italic" w:hAnsi="Times-Italic"/>
        </w:rPr>
        <w:t xml:space="preserve"> </w:t>
      </w:r>
      <w:r>
        <w:rPr>
          <w:sz w:val="21"/>
          <w:rFonts w:ascii="Times-Roman" w:hAnsi="Times-Roman"/>
        </w:rPr>
        <w:t xml:space="preserve">- Operatörer av online-plattformar så som de definieras i artikel L. 111-7 i Konsumentlagen och som erbjuder allmänheten en kommunikationstjänst online baserad på klassificering, hänvisning eller delning av innehåll som publicerats online av tredje parter och vars verksamhet på det franska territoriet överstiger tröskelvärdet för antal förbindelser som fastställts i dekretet, oavsett om de är etablerade på franskt territorium eller inte, ska delta i kampen mot offentlig spridning av innehåll som strider mot de bestämmelser som anges i Artikel 6(I)(7), tredje stycket i denna lag samt i Artikel 24(a) och i tredje och fjärde stycket i Artikel 33 i lagen av den 29 juli 1881 om pressfriheten.</w:t>
      </w:r>
      <w:r>
        <w:rPr>
          <w:sz w:val="21"/>
          <w:rFonts w:ascii="Times-Roman" w:hAnsi="Times-Roman"/>
        </w:rPr>
        <w:t xml:space="preserve"> </w:t>
      </w:r>
      <w:r>
        <w:rPr>
          <w:sz w:val="21"/>
          <w:rFonts w:ascii="Times-Roman" w:hAnsi="Times-Roman"/>
        </w:rPr>
        <w:t xml:space="preserve">I detta avseende gäller följande:</w:t>
      </w:r>
    </w:p>
    <w:p w:rsidR="00F54ECB" w:rsidRDefault="00F54ECB" w:rsidP="00196BE6">
      <w:pPr>
        <w:spacing w:after="0"/>
        <w:jc w:val="both"/>
        <w:rPr>
          <w:rFonts w:ascii="Times-Roman" w:hAnsi="Times-Roman" w:cs="Times-Roman"/>
          <w:sz w:val="21"/>
          <w:szCs w:val="21"/>
        </w:rPr>
      </w:pPr>
    </w:p>
    <w:p w:rsidR="00317039" w:rsidRDefault="00317039" w:rsidP="00196BE6">
      <w:pPr>
        <w:spacing w:after="0"/>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De ska realisera proportionerliga mänskliga och tekniska förfaranden och medel som gör det möjligt för dem att:</w:t>
      </w:r>
    </w:p>
    <w:p w:rsidR="001048BC" w:rsidRDefault="001048BC" w:rsidP="00196BE6">
      <w:pPr>
        <w:spacing w:after="0"/>
        <w:jc w:val="both"/>
        <w:rPr>
          <w:rFonts w:ascii="Times-Roman" w:hAnsi="Times-Roman" w:cs="Times-Roman"/>
          <w:sz w:val="21"/>
          <w:szCs w:val="21"/>
        </w:rPr>
      </w:pPr>
    </w:p>
    <w:p w:rsidR="00317039" w:rsidRPr="004E021A" w:rsidRDefault="001048BC" w:rsidP="00196BE6">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Snarast möjligt informera de rättsliga eller administrativa myndigheterna om de åtgärder som har vidtagits följande föreläggandena som har utfärdats av dessa myndigheter beträffande sådant innehåll som avses i första stycket i denna artikel;</w:t>
      </w:r>
    </w:p>
    <w:p w:rsidR="004E021A" w:rsidRPr="004E021A" w:rsidRDefault="004E021A" w:rsidP="00196BE6">
      <w:pPr>
        <w:spacing w:after="0"/>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Utan dröjsmål bekräfta ett säkert mottagande av en begäran från rättsliga eller administrativa myndigheter gällande överföring av uppgifter som de förfogar över för att möjliggöra identifiering av de användare som har laddat upp innehåll som avses i samma första stycke och så snart som möjligt informera dessa myndigheter om uppföljningen av en sådan begäran;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Tillfälligt behålla det innehåll som har anmälts till dem på grund av att det anses strida mot de bestämmelser som avses i första stycket, och som de har återkallat eller gjort oåtkomligt, så att innehållet kan göras tillgängligt för den rättsliga myndigheten vars syfte är att söka, finna och lagföra brott.</w:t>
      </w:r>
      <w:r>
        <w:rPr>
          <w:sz w:val="21"/>
          <w:rFonts w:ascii="Times-Roman" w:hAnsi="Times-Roman"/>
        </w:rPr>
        <w:t xml:space="preserve"> </w:t>
      </w:r>
      <w:r>
        <w:rPr>
          <w:sz w:val="21"/>
          <w:rFonts w:ascii="Times-Roman" w:hAnsi="Times-Roman"/>
        </w:rPr>
        <w:t xml:space="preserve">Varaktigheten och metoderna för att bevara detta innehåll fastställs i ett dekret av Högsta Förvaltningsdomstolen (Conseil d’État), efter yttrande från</w:t>
      </w: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Den nationella kommissionen för information, teknik och frihet;</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De ska utse en kontaktperson, en enda fysisk person som ansvarar för kommunikationen med de offentliga myndigheterna för genomförandet av bestämmelserna i denna artikel, till vilken i synnerhet alla ansökningar som lämnas in av det höga rådet för audiovisuella frågor i enlighet med artikel 62 i lag nr 86-1067 av den 30 september 1986 om kommunikationsfrihet, kan sändas på elektronisk väg.</w:t>
      </w:r>
      <w:r>
        <w:rPr>
          <w:sz w:val="21"/>
          <w:rFonts w:ascii="Times-Roman" w:hAnsi="Times-Roman"/>
        </w:rPr>
        <w:t xml:space="preserve"> </w:t>
      </w:r>
      <w:r>
        <w:rPr>
          <w:sz w:val="21"/>
          <w:rFonts w:ascii="Times-Roman" w:hAnsi="Times-Roman"/>
        </w:rPr>
        <w:t xml:space="preserve">Denna enda kontaktperson ska särskilt ansvara för mottagandet av ansökningar som den rättsliga myndigheten adresserar aktören i enlighet med förfarandet i artikel 6(II) i denna lag, i syfte att säkerställa dess omedelbara behandling;</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3.</w:t>
      </w:r>
      <w:r>
        <w:rPr>
          <w:sz w:val="21"/>
          <w:rFonts w:ascii="Times-Roman" w:hAnsi="Times-Roman"/>
        </w:rPr>
        <w:t xml:space="preserve"> </w:t>
      </w:r>
      <w:r>
        <w:rPr>
          <w:sz w:val="21"/>
          <w:rFonts w:ascii="Times-Roman" w:hAnsi="Times-Roman"/>
        </w:rPr>
        <w:t xml:space="preserve">De ska på ett lättillgängligt sätt göra de allmänna användarvillkoren för den tjänst de erbjuder tillgängliga för allmänheten; dessa ska innehålla bestämmelser som förbjuder online-publicering av sådant innehåll som avses i första stycket i denna artikel; de ska i tydliga och exakta ordalag beskriva sina försiktighetsåtgärder i syfte att upptäcka, och vid behov, identifiera och bearbeta sådant innehåll, detaljerat beskriva de förfaranden och de mänskliga eller automatiserade metoder som används för detta ändamål och vilka åtgärder de vidtar för att påverka åtkomsten, synligheten och tillgängligheten för sådant innehåll; de ska ange vilka åtgärder de vidtar för de användare som har gjort sådant innehåll tillgängligt online, samt vilka nationella och rättsliga åtgärder som finns tillgängliga för dessa användare;</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4.</w:t>
      </w:r>
      <w:r>
        <w:rPr>
          <w:sz w:val="21"/>
          <w:rFonts w:ascii="Times-Roman" w:hAnsi="Times-Roman"/>
        </w:rPr>
        <w:t xml:space="preserve"> </w:t>
      </w:r>
      <w:r>
        <w:rPr>
          <w:sz w:val="21"/>
          <w:rFonts w:ascii="Times-Roman" w:hAnsi="Times-Roman"/>
        </w:rPr>
        <w:t xml:space="preserve">De ska informera allmänheten om de medel som används och om de åtgärder som vidtagits för att bekämpa spridning till användare på franskt territorium gällande sådant innehåll som avses i första stycket, i enlighet med de förfaranden och med de intervall som fastställts av det höga rådet för audiovisuella frågor, detta sker genom publicering av information och kvantifierade indikatorer som definieras av ovan nämnda höga råd, särskilt gällande behandling av ålägganden eller begäran om information från rättsliga eller administrativa myndigheter, mottagna anmälningarna och urvalet av interna rättsmedel, samt, när det är tillämpligt, de kriterier som tillämpas när tillförlitliga tredje parter väljs ut vars anmälningar ges prioritet, samt samarbetsvillkoren med dessa tredje parter;</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5.</w:t>
      </w:r>
      <w:r>
        <w:rPr>
          <w:sz w:val="21"/>
          <w:rFonts w:ascii="Times-Roman" w:hAnsi="Times-Roman"/>
        </w:rPr>
        <w:t xml:space="preserve"> </w:t>
      </w:r>
      <w:r>
        <w:rPr>
          <w:sz w:val="21"/>
          <w:rFonts w:ascii="Times-Roman" w:hAnsi="Times-Roman"/>
        </w:rPr>
        <w:t xml:space="preserve">De ska genomföra ett tillvägagångssätt som är lättåtkomligt och lätt att använda och som gör det möjligt för var och en att på elektronisk väg rapportera allt innehåll som anses strida mot bestämmelserna i första stycket, där det tydligt kan anges var innehållet finns lokaliserat och skälen till varför detta innehåll anses vara olagligt, det skall även ges möjlighet att dela med sig av kontaktinformation samt information om de påföljder som kan utdömas vid en felaktig anmälan;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6.</w:t>
      </w:r>
      <w:r>
        <w:rPr>
          <w:sz w:val="21"/>
          <w:rFonts w:ascii="Times-Roman" w:hAnsi="Times-Roman"/>
        </w:rPr>
        <w:t xml:space="preserve"> </w:t>
      </w:r>
      <w:r>
        <w:rPr>
          <w:sz w:val="21"/>
          <w:rFonts w:ascii="Times-Roman" w:hAnsi="Times-Roman"/>
        </w:rPr>
        <w:t xml:space="preserve">De ska genomföra välavvägda mänskliga och tekniska förfaranden och medel som gör det möjligt för dem att: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Utan dröjsmål bekräfta ett säkert mottagande av anmälningar beträffande det innehåll som avses i första stycket, förutsatt att de har de uppgifter som krävs för att kontakta aktören;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Säkerställa att analysen av dessa anmälningar är lämplig och utförs i god tid;</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Informera upphovsmannen om de åtgärder som vidtagits och om de nationella och rättsliga medel som finns tillgängliga, förutsatt att de har de uppgifter som krävs för att kontakt dem;</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 Om det beslutas att innehåll ska tas bort eller göras oåtkomligt på grund av förbiseende av de bestämmelser som avses i första stycket, ska användaren som har gjort publikationen informeras och om de har de uppgifter som krävs för att kontakta dem:</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ange skälen till beslutet;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ange om detta beslut har fattats med hjälp av ett automatiserat verktyg;</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informera om de nationella och rättsliga medel som står till deras förfogande;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och rapportera om att  det utdöms civilrättsliga och straffrättsliga påföljder för offentliggörande av olagligt innehåll;</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7.</w:t>
      </w:r>
      <w:r>
        <w:rPr>
          <w:sz w:val="21"/>
          <w:rFonts w:ascii="Times-Roman" w:hAnsi="Times-Roman"/>
        </w:rPr>
        <w:t xml:space="preserve"> </w:t>
      </w:r>
      <w:r>
        <w:rPr>
          <w:sz w:val="21"/>
          <w:rFonts w:ascii="Times-Roman" w:hAnsi="Times-Roman"/>
        </w:rPr>
        <w:t xml:space="preserve">De ska vidta interna åtgärder som gör det möjligt för:</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den aktör som gör en anmälan gällande det innehåll som avses i första stycket, att bestrida det beslut som operatören tar i form av respons på anmälan,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den användare som är upphovsman till ett offentliggörande av innehåll som varit föremål för ett beslut enligt punkt 6(d) att överklaga beslutet,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Pr="004E021A" w:rsidRDefault="00317039" w:rsidP="00F54ECB">
      <w:pPr>
        <w:autoSpaceDE w:val="0"/>
        <w:autoSpaceDN w:val="0"/>
        <w:adjustRightInd w:val="0"/>
        <w:spacing w:after="0" w:line="240" w:lineRule="auto"/>
        <w:jc w:val="both"/>
        <w:rPr>
          <w:i/>
          <w:iCs/>
          <w:sz w:val="21"/>
          <w:szCs w:val="21"/>
          <w:rFonts w:ascii="Times-Italic" w:hAnsi="Times-Italic" w:cs="Times-Italic"/>
        </w:rPr>
      </w:pPr>
      <w:r>
        <w:rPr>
          <w:sz w:val="21"/>
          <w:rFonts w:ascii="Times-Roman" w:hAnsi="Times-Roman"/>
        </w:rPr>
        <w:t xml:space="preserve">(c) den användare som har varit föremål för ett beslut enligt punkt 8(a) eller (b) att överklaga beslutet.</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De ska se till att dessa system är lätta att tillgå och lätta att använda och att de möjliggör en lämplig och snabb behandling av överklaganden, som inte enbart hanteras med automatiska medel, och att de utan dröjsmål informerar användaren om det antagna beslutet och omedelbart upphäver de åtgärder som operatören vidtagit i förhållande till innehållet eller användaren när överklagan leder till slutsatsen att det angripna beslutet inte varit motiverat;</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8.</w:t>
      </w:r>
      <w:r>
        <w:rPr>
          <w:sz w:val="21"/>
          <w:rFonts w:ascii="Times-Roman" w:hAnsi="Times-Roman"/>
        </w:rPr>
        <w:t xml:space="preserve"> </w:t>
      </w:r>
      <w:r>
        <w:rPr>
          <w:sz w:val="21"/>
          <w:rFonts w:ascii="Times-Roman" w:hAnsi="Times-Roman"/>
        </w:rPr>
        <w:t xml:space="preserve">När beslut fattas om att genomföra sådana förfaranden ska användarvillkoren klart och tydligt ange de gärningar som leder till:</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Avstängning eller, i allvarligaste fall, inaktiverat konto för de användare som vid upprepade tillfällen har laddat upp innehåll som strider mot bestämmelserna i artikelns första stycke;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Att åtkomsten till anmälningsmekanismen avstängs för de användare som vid upprepade tillfällen lämnat in uppenbart ogrundade anmälningar om det innehåll som avses i samma första stycke.</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När sådana förfaranden genomförs ska en fallstudie i syfte att objektivt beskriva förekomsten av det beteende som avses i a eller b i denna punkt (8) genomföras med särskilt beaktande för:</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det antal anmälningar om olagligt innehåll, som avses i första stycket i denna artikel, eller uppenbart ogrundade anmälningar som användaren gjort under det senaste året, både i absoluta tal och i proportion till det totala antalet i förhållande till publicerat innehåll eller gjorda anmälningar som han eller hon varit ansvarig för, samt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allvaret och konsekvenserna av dessa övergrepp.</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När dessa förfaranden genomförs föreskrivs det att de åtgärder som avses i 8(a) och (b) ska stå i proportion till hur allvarlig gärningen i fråga är och, när det gäller avstängning, att den ska gälla under en rimlig tid.</w:t>
      </w:r>
      <w:r>
        <w:rPr>
          <w:sz w:val="21"/>
          <w:rFonts w:ascii="Times-Roman" w:hAnsi="Times-Roman"/>
        </w:rPr>
        <w:t xml:space="preserve"> </w:t>
      </w:r>
      <w:r>
        <w:rPr>
          <w:sz w:val="21"/>
          <w:rFonts w:ascii="Times-Roman" w:hAnsi="Times-Roman"/>
        </w:rPr>
        <w:t xml:space="preserve">Användaren ska få en varning och information om vilka nationella och rättsliga medel som finns att tillgå.</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9.</w:t>
      </w:r>
      <w:r>
        <w:rPr>
          <w:sz w:val="21"/>
          <w:rFonts w:ascii="Times-Roman" w:hAnsi="Times-Roman"/>
        </w:rPr>
        <w:t xml:space="preserve"> </w:t>
      </w:r>
      <w:r>
        <w:rPr>
          <w:sz w:val="21"/>
          <w:rFonts w:ascii="Times-Roman" w:hAnsi="Times-Roman"/>
        </w:rPr>
        <w:t xml:space="preserve">De operatörer som nämns i första stycket i denna artikel och som är verksamma inom det franska territoriet med ett högre antal förbindelser än det som fastställs i dekret och högre än de som anges i samma första stycke, ska: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Årligen utföra en bedömning av de systemrisker som förknippas med driften och användningen av deras tjänster i fråga om spridning av innehåll som avses i första stycket och i fråga om överträdelser av grundläggande rättigheter, inbegripet yttrandefrihet.</w:t>
      </w:r>
      <w:r>
        <w:rPr>
          <w:sz w:val="21"/>
          <w:rFonts w:ascii="Times-Roman" w:hAnsi="Times-Roman"/>
        </w:rPr>
        <w:t xml:space="preserve"> </w:t>
      </w:r>
      <w:r>
        <w:rPr>
          <w:sz w:val="21"/>
          <w:rFonts w:ascii="Times-Roman" w:hAnsi="Times-Roman"/>
        </w:rPr>
        <w:t xml:space="preserve">Vid denna bedömning ska hänsyn tas till dessa tjänsters egenskaper, särskilt deras effekter på spridning av virus eller mass-spridning av ovannämnda innehåll.</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Vidta rimliga, effektiva och väl avvägda åtgärder, särskilt med avseende på tjänsternas egenskaper och omfattningen och allvaret hos de risker som identifierats vid slutet av bedömningen enligt punkt 9(a), med ett syfte att minska riskerna för spridning av sådant innehåll, vilka i synnerhet kan relatera till de förfaranden och de mänskliga och tekniska medel som används för att upptäcka, identifiera och behandla sådant innehåll, samtidigt som risken för omotiverad eliminering enligt tillämplig lag och användarvillkor förhindras.</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I enlighet med de förfaranden och intervaller som fastställts av styrelsen för audiovisuella frågor, meddela allmänheten om bedömningen av dessa systemrisker och de genomförda riskreducerande åtgärderna.</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(10) De operatörer som nämns i första stycket ska på de villkor som anges i artikel 62 i lag nr 86-1067 av den 30 september 1986 rapportera till styrelsen för audiovisuella frågor om de förfaranden och de metoder som används för tillämpningen av denna artikel.</w:t>
      </w:r>
      <w:r>
        <w:rPr>
          <w:sz w:val="21"/>
          <w:rFonts w:ascii="Times-Roman" w:hAnsi="Times-Roman"/>
        </w:rPr>
        <w:t xml:space="preserve"> </w:t>
      </w:r>
      <w:r>
        <w:rPr>
          <w:sz w:val="21"/>
          <w:rFonts w:ascii="Times-Roman" w:hAnsi="Times-Roman"/>
        </w:rPr>
        <w:t xml:space="preserve">”</w:t>
      </w:r>
    </w:p>
    <w:p w:rsidR="00317039" w:rsidRDefault="00317039"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w:t>
      </w:r>
      <w:r>
        <w:rPr>
          <w:sz w:val="21"/>
          <w:rFonts w:ascii="Times-Roman" w:hAnsi="Times-Roman"/>
        </w:rPr>
        <w:t xml:space="preserve"> </w:t>
      </w:r>
      <w:r>
        <w:rPr>
          <w:sz w:val="21"/>
          <w:rFonts w:ascii="Times-Roman" w:hAnsi="Times-Roman"/>
        </w:rPr>
        <w:t xml:space="preserve">- Lag nr 86-1067 av den 30 september 1986 om kommunikationsfrihet ändras på följande sätt:</w:t>
      </w:r>
    </w:p>
    <w:p w:rsidR="00317039" w:rsidRDefault="00317039"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I artikel 19(I)(1), tredje stycket, ska orden:</w:t>
      </w:r>
      <w:r>
        <w:rPr>
          <w:sz w:val="21"/>
          <w:rFonts w:ascii="Times-Roman" w:hAnsi="Times-Roman"/>
        </w:rPr>
        <w:t xml:space="preserve"> </w:t>
      </w:r>
      <w:r>
        <w:rPr>
          <w:sz w:val="21"/>
          <w:rFonts w:ascii="Times-Roman" w:hAnsi="Times-Roman"/>
        </w:rPr>
        <w:t xml:space="preserve">“och videodelningsplattformar” ersättas med:</w:t>
      </w:r>
      <w:r>
        <w:rPr>
          <w:sz w:val="21"/>
          <w:rFonts w:ascii="Times-Roman" w:hAnsi="Times-Roman"/>
        </w:rPr>
        <w:t xml:space="preserve"> </w:t>
      </w:r>
      <w:r>
        <w:rPr>
          <w:sz w:val="21"/>
          <w:rFonts w:ascii="Times-Roman" w:hAnsi="Times-Roman"/>
        </w:rPr>
        <w:t xml:space="preserve">”, videodelningsplattformar och nätplattformsoperatörer enligt artikel 62”;</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I artikel 42-7 första stycket ska hänvisningen:</w:t>
      </w:r>
      <w:r>
        <w:rPr>
          <w:sz w:val="21"/>
          <w:rFonts w:ascii="Times-Roman" w:hAnsi="Times-Roman"/>
        </w:rPr>
        <w:t xml:space="preserve"> </w:t>
      </w:r>
      <w:r>
        <w:rPr>
          <w:sz w:val="21"/>
          <w:rFonts w:ascii="Times-Roman" w:hAnsi="Times-Roman"/>
        </w:rPr>
        <w:t xml:space="preserve">“och 48-3” ersättas med följande hänvisningar:</w:t>
      </w:r>
      <w:r>
        <w:rPr>
          <w:sz w:val="21"/>
          <w:rFonts w:ascii="Times-Roman" w:hAnsi="Times-Roman"/>
        </w:rPr>
        <w:t xml:space="preserve"> </w:t>
      </w:r>
      <w:r>
        <w:rPr>
          <w:sz w:val="21"/>
          <w:rFonts w:ascii="Times-Roman" w:hAnsi="Times-Roman"/>
        </w:rPr>
        <w:t xml:space="preserve">“, 48-3 och 62”;</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3.</w:t>
      </w:r>
      <w:r>
        <w:rPr>
          <w:sz w:val="21"/>
          <w:rFonts w:ascii="Times-Roman" w:hAnsi="Times-Roman"/>
        </w:rPr>
        <w:t xml:space="preserve"> </w:t>
      </w:r>
      <w:r>
        <w:rPr>
          <w:sz w:val="21"/>
          <w:rFonts w:ascii="Times-Roman" w:hAnsi="Times-Roman"/>
        </w:rPr>
        <w:t xml:space="preserve">Avdelning IV ska kompletteras med ett kapitel III, med följande lydelse:</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i/>
          <w:iCs/>
          <w:sz w:val="21"/>
          <w:szCs w:val="21"/>
          <w:rFonts w:ascii="Times-Italic" w:hAnsi="Times-Italic" w:cs="Times-Italic"/>
        </w:rPr>
      </w:pPr>
      <w:r>
        <w:rPr>
          <w:i/>
          <w:rFonts w:ascii="Times-Italic" w:hAnsi="Times-Italic"/>
        </w:rPr>
        <w:t xml:space="preserve">KAPITEL III</w:t>
      </w:r>
    </w:p>
    <w:p w:rsidR="00F54ECB" w:rsidRDefault="00F54ECB"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b/>
          <w:bCs/>
          <w:i/>
          <w:iCs/>
          <w:sz w:val="21"/>
          <w:szCs w:val="21"/>
          <w:rFonts w:ascii="Times-BoldItalic" w:hAnsi="Times-BoldItalic" w:cs="Times-BoldItalic"/>
        </w:rPr>
      </w:pPr>
      <w:r>
        <w:rPr>
          <w:b/>
          <w:i/>
          <w:sz w:val="21"/>
          <w:rFonts w:ascii="Times-BoldItalic" w:hAnsi="Times-BoldItalic"/>
        </w:rPr>
        <w:t xml:space="preserve">Bestämmelser för bekämpning av hatinnehåll på online-plattformar</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Pr>
        <w:t xml:space="preserve">Artikel 62.</w:t>
      </w:r>
      <w:r>
        <w:rPr>
          <w:sz w:val="21"/>
          <w:i/>
          <w:rFonts w:ascii="Times-Italic" w:hAnsi="Times-Italic"/>
        </w:rPr>
        <w:t xml:space="preserve"> </w:t>
      </w:r>
      <w:r>
        <w:rPr>
          <w:sz w:val="21"/>
          <w:rFonts w:ascii="Times-Roman" w:hAnsi="Times-Roman"/>
        </w:rPr>
        <w:t xml:space="preserve">- I. – Styrelsen för audiovisuella frågor ska i fråga om de plattformsoperatörer som avses i artikel 6-5 första stycket i lag nr 2004-575 av den 21 juni 2004 om förtroende för den digitala ekonomin,se till så att dessa följer bestämmelserna i samma artikel 6-5, med beaktande av var och en av de tjänster som de erbjuder, dess egenskaper samt lämpligheten hos de medel som operatören använder i syfte att mäta i synnerhet omfattningen av och hur stora riskerna är för spridning av sådant innehåll som avses i första stycket i nämnda artikel 6-5 och risken för obefogad inaktivering eller avstängning under tillämplig lag och användarvillkoren.</w:t>
      </w:r>
      <w:r>
        <w:rPr>
          <w:sz w:val="21"/>
          <w:rFonts w:ascii="Times-Roman" w:hAnsi="Times-Roman"/>
        </w:rPr>
        <w:t xml:space="preserve"> </w:t>
      </w:r>
      <w:r>
        <w:rPr>
          <w:sz w:val="21"/>
          <w:rFonts w:ascii="Times-Roman" w:hAnsi="Times-Roman"/>
        </w:rPr>
        <w:t xml:space="preserve">Styrelsen ska förse dessa plattformsoperatörer med riktlinjer för tillämpningen av samma artikel 6-5.</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02A14">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Den ska enligt de villkor som anges i artikel 19 i denna lag samla in den information som är nödvändig för att övervaka deras skyldigheter.</w:t>
      </w:r>
      <w:r>
        <w:rPr>
          <w:sz w:val="21"/>
          <w:rFonts w:ascii="Times-Roman" w:hAnsi="Times-Roman"/>
        </w:rPr>
        <w:t xml:space="preserve"> </w:t>
      </w:r>
      <w:r>
        <w:rPr>
          <w:sz w:val="21"/>
          <w:rFonts w:ascii="Times-Roman" w:hAnsi="Times-Roman"/>
        </w:rPr>
        <w:t xml:space="preserve">Vidare ska operatörerna som nämns i artikel 6-5(9) i lag nr 2004-575 av den 21 juni 2004 ovan ge tillgång till principerna för driften av de automatiserade verktyg som används för att uppfylla dessa skyldigheter, de parametrar som används för dessa verktyg, de metoder och uppgifter som används för att utvärdera och förbättra deras prestanda och all annan information eller data som gör det möjligt att bedöma deras effektivitet i enlighet med bestämmelserna om skydd av personuppgifter.</w:t>
      </w:r>
      <w:r>
        <w:rPr>
          <w:sz w:val="21"/>
          <w:rFonts w:ascii="Times-Roman" w:hAnsi="Times-Roman"/>
        </w:rPr>
        <w:t xml:space="preserve"> </w:t>
      </w:r>
      <w:r>
        <w:rPr>
          <w:sz w:val="21"/>
          <w:rFonts w:ascii="Times-Roman" w:hAnsi="Times-Roman"/>
        </w:rPr>
        <w:t xml:space="preserve">I enlighet med dessa bestämmelser får styrelsen för audiovisuella frågor skicka en väl avvägd förfrågan om åtkomst, via särskilda gränssnitt för programplanering, för alla relevanta uppgifter som kan användas för bedömning om deras effektivitet.</w:t>
      </w:r>
      <w:r>
        <w:rPr>
          <w:sz w:val="21"/>
          <w:rFonts w:ascii="Times-Roman" w:hAnsi="Times-Roman"/>
        </w:rPr>
        <w:t xml:space="preserve"> </w:t>
      </w:r>
      <w:r>
        <w:rPr>
          <w:sz w:val="21"/>
          <w:rFonts w:ascii="Times-Roman" w:hAnsi="Times-Roman"/>
        </w:rPr>
        <w:t xml:space="preserve">I enlighet med dessa bestämmelser och för samma ändamål får styrelsen för audiovisuella frågor tillämpa väl avvägda metoder för automatisk insamling av offentligt tillgängliga uppgifter för att få tillgång till nödvändiga uppgifter.</w:t>
      </w:r>
    </w:p>
    <w:p w:rsidR="00317039" w:rsidRPr="00196BE6" w:rsidRDefault="00317039" w:rsidP="00196BE6">
      <w:pPr>
        <w:autoSpaceDE w:val="0"/>
        <w:autoSpaceDN w:val="0"/>
        <w:adjustRightInd w:val="0"/>
        <w:spacing w:after="0" w:line="240" w:lineRule="auto"/>
        <w:jc w:val="both"/>
        <w:rPr>
          <w:rFonts w:ascii="Times-Roman" w:hAnsi="Times-Roman" w:cs="Times-Roman"/>
          <w:sz w:val="21"/>
          <w:szCs w:val="21"/>
        </w:rPr>
      </w:pPr>
    </w:p>
    <w:p w:rsidR="006522CF" w:rsidRDefault="001048BC"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Den ska fastställa de uppgifter och de kvantifierade indikatorer som dessa operatörer är skyldiga att offentliggöra i enlighet med artikel 6-5(4) samt formerna och intervallerna för detta offentliggörande.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Den ska varje år publicera en översikt för bestämmelsernas tillämpningen i artikel 6-5.</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w:t>
      </w:r>
      <w:r>
        <w:rPr>
          <w:sz w:val="21"/>
          <w:rFonts w:ascii="Times-Roman" w:hAnsi="Times-Roman"/>
        </w:rPr>
        <w:t xml:space="preserve"> </w:t>
      </w:r>
      <w:r>
        <w:rPr>
          <w:sz w:val="21"/>
          <w:rFonts w:ascii="Times-Roman" w:hAnsi="Times-Roman"/>
        </w:rPr>
        <w:t xml:space="preserve">– Styrelsen för audiovisuella frågor kan uppmana operatörerna, genom inlämning av en formell anmälan och inom den fastställda tidsfristen, att följa bestämmelserna i artikel 6-5 i lag nr 2004-575 av den 21 juni 2004 ovan.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Om operatören underlåter att följa den mottagna anmälan får styrelsen för audiovisuella frågor, enligt de villkor som anges i artikel 42-7 i denna lag, utfärda böter vars belopp ska bestämmas med hänsyn till hur allvarlig överträdelsen är och, i förekommande fall, dess upprepade karaktär, med högst 20 miljoner euro eller 6 % av det föregående årets totala årsomsättning, beroende på vilket som är högre.</w:t>
      </w:r>
      <w:r>
        <w:rPr>
          <w:sz w:val="21"/>
          <w:rFonts w:ascii="Times-Roman" w:hAnsi="Times-Roman"/>
        </w:rPr>
        <w:t xml:space="preserve"> </w:t>
      </w:r>
      <w:r>
        <w:rPr>
          <w:sz w:val="21"/>
          <w:rFonts w:ascii="Times-Roman" w:hAnsi="Times-Roman"/>
        </w:rPr>
        <w:t xml:space="preserve">Om samma överträdelse har varit föremål för vite, och beräknats på samma grundval, i en annan stat, ska beloppet av den tidigare påföljden beaktas vid fastställandet av den påföljd som utdöms enligt denna punkt.</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Med undantag från andra stycket i denna del II, får det påföljdsbelopp som utdöms inte överstiga 1 % av den totala globala omsättningen för föregående räkenskapsår, om den information som tillsynsmyndigheten begär enligt I andra stycket vägras att lämnas ut, eller om oriktiga eller vilseledande uppgifter har lämnats ut.</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Styrelsen för audiovisuella frågor kan offentliggöra anmälningar och sanktioner.</w:t>
      </w:r>
      <w:r>
        <w:rPr>
          <w:sz w:val="21"/>
          <w:rFonts w:ascii="Times-Roman" w:hAnsi="Times-Roman"/>
        </w:rPr>
        <w:t xml:space="preserve"> </w:t>
      </w:r>
      <w:r>
        <w:rPr>
          <w:sz w:val="21"/>
          <w:rFonts w:ascii="Times-Roman" w:hAnsi="Times-Roman"/>
        </w:rPr>
        <w:t xml:space="preserve">Den ska i sitt beslut fastställa detaljerna för detta offentliggörande, som ska stå i proportion till hur allvarlig överträdelsen är.</w:t>
      </w:r>
      <w:r>
        <w:rPr>
          <w:sz w:val="21"/>
          <w:rFonts w:ascii="Times-Roman" w:hAnsi="Times-Roman"/>
        </w:rPr>
        <w:t xml:space="preserve"> </w:t>
      </w:r>
      <w:r>
        <w:rPr>
          <w:sz w:val="21"/>
          <w:rFonts w:ascii="Times-Roman" w:hAnsi="Times-Roman"/>
        </w:rPr>
        <w:t xml:space="preserve">Den kan också besluta att deras beslut ska publiceras i utsedda publikationer, tidningar och medier på bekostnad av de operatörer åt vilka för den formella anmälan eller sanktionen riktas.</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Böter samlas in som icke-skattepliktig och icke-fastighetsskyldig skuld till staten.</w:t>
      </w:r>
      <w:r>
        <w:rPr>
          <w:sz w:val="21"/>
          <w:rFonts w:ascii="Times-Roman" w:hAnsi="Times-Roman"/>
        </w:rPr>
        <w:t xml:space="preserve"> </w:t>
      </w:r>
      <w:r>
        <w:rPr>
          <w:sz w:val="21"/>
          <w:rFonts w:ascii="Times-Roman" w:hAnsi="Times-Roman"/>
        </w:rPr>
        <w:t xml:space="preserv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4° Efter ordet:</w:t>
      </w:r>
      <w:r>
        <w:rPr>
          <w:sz w:val="21"/>
          <w:rFonts w:ascii="Times-Roman" w:hAnsi="Times-Roman"/>
        </w:rPr>
        <w:t xml:space="preserve"> </w:t>
      </w:r>
      <w:r>
        <w:rPr>
          <w:sz w:val="21"/>
          <w:rFonts w:ascii="Times-Roman" w:hAnsi="Times-Roman"/>
        </w:rPr>
        <w:t xml:space="preserve">“resultatet” i artikel 108, första stycket kommer följande lydelse:</w:t>
      </w:r>
      <w:r>
        <w:rPr>
          <w:sz w:val="21"/>
          <w:rFonts w:ascii="Times-Roman" w:hAnsi="Times-Roman"/>
        </w:rPr>
        <w:t xml:space="preserve"> </w:t>
      </w:r>
      <w:r>
        <w:rPr>
          <w:sz w:val="21"/>
          <w:rFonts w:ascii="Times-Roman" w:hAnsi="Times-Roman"/>
        </w:rPr>
        <w:t xml:space="preserve">“i lag nr ... om att befästa respekten för republikens principer.</w:t>
      </w:r>
      <w:r>
        <w:rPr>
          <w:sz w:val="21"/>
          <w:rFonts w:ascii="Times-Roman" w:hAnsi="Times-Roman"/>
        </w:rPr>
        <w:t xml:space="preserve"> </w:t>
      </w:r>
      <w:r>
        <w:rPr>
          <w:sz w:val="21"/>
          <w:rFonts w:ascii="Times-Roman" w:hAnsi="Times-Roman"/>
        </w:rPr>
        <w:t xml:space="preserve">”</w:t>
      </w:r>
    </w:p>
    <w:p w:rsidR="00317039" w:rsidRPr="00196BE6" w:rsidRDefault="00317039" w:rsidP="00196BE6">
      <w:pPr>
        <w:autoSpaceDE w:val="0"/>
        <w:autoSpaceDN w:val="0"/>
        <w:adjustRightInd w:val="0"/>
        <w:spacing w:after="0" w:line="240" w:lineRule="auto"/>
        <w:jc w:val="both"/>
        <w:rPr>
          <w:rFonts w:ascii="Times-Roman" w:hAnsi="Times-Roman" w:cs="Times-Roman"/>
          <w:sz w:val="21"/>
          <w:szCs w:val="21"/>
        </w:rPr>
      </w:pPr>
    </w:p>
    <w:p w:rsidR="006522CF" w:rsidRPr="00F54ECB"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III.</w:t>
      </w:r>
      <w:r>
        <w:rPr>
          <w:sz w:val="21"/>
          <w:rFonts w:ascii="Times-Roman" w:hAnsi="Times-Roman"/>
        </w:rPr>
        <w:t xml:space="preserve"> </w:t>
      </w:r>
      <w:r>
        <w:rPr>
          <w:sz w:val="21"/>
          <w:rFonts w:ascii="Times-Roman" w:hAnsi="Times-Roman"/>
        </w:rPr>
        <w:t xml:space="preserve">- Bestämmelserna i denna artikel ska tillämpas till och med den 31 december 2023.</w:t>
      </w:r>
    </w:p>
    <w:sectPr w:rsidR="006522CF" w:rsidRPr="00F54E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Italic">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Bold">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Times-Bol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FF1FF0"/>
    <w:multiLevelType w:val="hybridMultilevel"/>
    <w:tmpl w:val="70DE856A"/>
    <w:lvl w:ilvl="0" w:tplc="73F84A00">
      <w:start w:val="1"/>
      <w:numFmt w:val="lowerLetter"/>
      <w:lvlText w:val="%1)"/>
      <w:lvlJc w:val="left"/>
      <w:pPr>
        <w:ind w:left="720" w:hanging="360"/>
      </w:pPr>
      <w:rPr>
        <w:rFonts w:ascii="Times-Italic" w:hAnsi="Times-Italic" w:cs="Times-Italic"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dirty" w:grammar="dirty"/>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28D"/>
    <w:rsid w:val="001048BC"/>
    <w:rsid w:val="00134B73"/>
    <w:rsid w:val="00196BE6"/>
    <w:rsid w:val="00317039"/>
    <w:rsid w:val="00485A93"/>
    <w:rsid w:val="004E021A"/>
    <w:rsid w:val="006522CF"/>
    <w:rsid w:val="00694BF3"/>
    <w:rsid w:val="00994AE4"/>
    <w:rsid w:val="009C128D"/>
    <w:rsid w:val="00F02A14"/>
    <w:rsid w:val="00F54ECB"/>
    <w:rsid w:val="00FD5A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122478-4E01-4C1D-9BE7-99AC4826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E021A"/>
    <w:pPr>
      <w:ind w:left="720"/>
      <w:contextualSpacing/>
    </w:pPr>
  </w:style>
  <w:style w:type="paragraph" w:styleId="Textedebulles">
    <w:name w:val="Balloon Text"/>
    <w:basedOn w:val="Normal"/>
    <w:link w:val="TextedebullesCar"/>
    <w:uiPriority w:val="99"/>
    <w:semiHidden/>
    <w:unhideWhenUsed/>
    <w:rsid w:val="00F02A1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02A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2964</Words>
  <Characters>16308</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19234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RUBIN Chantal</dc:creator>
  <cp:keywords/>
  <dc:description/>
  <cp:lastModifiedBy>SOURY-LAVERGNE Blaise</cp:lastModifiedBy>
  <cp:revision>6</cp:revision>
  <dcterms:created xsi:type="dcterms:W3CDTF">2021-03-12T11:39:00Z</dcterms:created>
  <dcterms:modified xsi:type="dcterms:W3CDTF">2021-03-12T12:08:00Z</dcterms:modified>
</cp:coreProperties>
</file>