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REPUBLIKEN FRANKRIKE</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Ministeriet för Solidaritet och Hälsa</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Beslut av den 10 april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om ändring av beslutet den 10 juli 2020 om fastställande av de organisatoriska och operativa hälso- och sjukvårdsåtgärder som är nödvändiga för att hantera COVID-19-epidemin i samband med hälsosituationen</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Ministern för solidaritet och hälsovård,</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Med beaktande av Europaparlamentets och Rådets direktiv (EU) 2015/1535 av den 9 september 2015 om ett informationsförfarande beträffande tekniska föreskrifter och beträffande föreskrifter för informationssamhällets tjänster, särskilt Anmälan nr.;</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Med beaktande av lagen för social- och familjepolitik;</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Med beaktande av folkhälsolagen, särskilt artikel L3131-16 i denna;</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Med beaktande av lagen om social trygghet;</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Med beaktande av lag nr. 2020-734 av den 17 juni 2020 om olika bestämmelser om hälsokrisen, andra brådskande åtgärder och Storbritanniens utträde från Europeiska unionen, i dess ändrade lydelse, särskilt artikel 23 i denna;</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Med beaktande av lag nr. 2020-1379 av den 14 november 2020 om bemyndigande att förlänga hälsosituationen och fastställa olika åtgärder för att hantera hälsokrisen, i dess ändrade lydelse;</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Med beaktande av dekret nr. 2020-1257 av den 14 oktober 2020 om undantagstillstånd på grund av hälsosituation;</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Med beaktande av dekret nr. 2020-1262 av den 16 oktober 2020 om fastställande av de allmänna åtgärder som är nödvändiga för att hantera COVID-19-epidemin i samband med hälsosituationen, i dess ändrade lydelse;</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t>Med beaktande dekret nr. 2020-1310 av den 29 oktober 2020 om fastställande av de allmänna åtgärder som är nödvändiga för att hantera COVID-19-epidemin i samband med undantagstillståndet på grund av hälsosituationen, i dess ändrade lydelse;</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Med beaktande av beslutet av den 10 juli 2020 om fastställande av de organisatoriska och operativa hälsoåtgärder som är nödvändiga för att hantera COVID-19-epidemin i samband med undantagstillståndet på grund av hälsosituationen, i dess ändrade lydelse;</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Med beaktande av yttrandet från den franska hälsomyndighetens styrelse om snabb antigendetektion av SARS-CoV-2 med provtagning i näsan (TDR, TROD och självtest) av den 15 mars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Då militärsjukhusen vårdar patienter som lider av COVID-19 på samma villkor som vårdinrättningar och som sådana står för kostnader för förmåner som inte ingår i vårdpaketet och som kräver extra avgifter;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Vaccinering mot SARS-CoV-2 är nödvändig för att begränsa epidemin och de särskilda villkoren för genomförandet av sådan vaccinering, i vilka militärsjukhusen deltar, kräver, precis som för vårdinrättningar, särskild ersättning för sådana sjukhus;</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Det är nödvändigt att uppdatera och harmonisera den föreslagna ersättningen i enlighet med den utökade förteckningen över hälso- och sjukvårdspersonal, hälso- och sjukvårdspersonal och annan personal som kan ingripa för att förskriva, administrera och/eller injicera vaccin mot COVID och hur de kan genomföra sådana förfaranden;</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Den enkla användningen av självtester, som inte kräver närvaro av hälso- och sjukvårdspersonal samtidigt som de behöver stöd, och deras mindre invasiva metod för att utföra svabbprover, kommer att göra det möjligt att utföra mer frekventa tester; det är därför lämpligt att fastställa villkoren för distribution och användning av dessa tester; dessutom måste försäljningsprisstandarder fastställas för att säkerställa att testerna är tillgängliga för befolkningen i allmänhet och för att se till att de är tillgängliga för vissa grupper om så krävs; det är slutligen även nödvändigt att fastställa villkoren för täckning via sjukförsäkring för vissa grupper;</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För att dessa självtester ska kunna lämnas tillsammans med farmaceutisk rådgivning är det nödvändigt att begränsa denna dispens till apotek och förbjuda försäljning av dem på internet; för att säkerställa tillförlitlig information måste reklamen överensstämma med en specifikation som fastställts av den nationella läkemedelsmyndigheten, och reklam som är avsedd för allmänheten måste förutsätta tillstånd från denna myndighet och begränsas till apotek;</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Mobiliseringen av kliniska laboratorier för screening under epidemin är oförenlig med utarbetandet av ackrediteringshandlingar senast den 1 maj 2021; detta datum bör förlängas till den 1 november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Beslutas härigenom:</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Artikel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Ovannämnda beslut av den 10 juli 2020 ska ändras på följande sätt:</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1. Efter artikel 16(IV) ska V läggas till med följande lydelse:</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I enlighet med bestämmelserna i I, II och III i denna artikel ska militärsjukhus betraktas som vårdinrättningar. För dessa sjukhus ska den fond som nämns i III vara den nationella militära socialförsäkringsfond som nämns i artikel L174-15 i socialförsäkringslagen.”;</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Artikel 18-1 ska ändras på följande sätt:</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 andra stycket i VI ska ordet ”sjuksköterskor” ersättas med följande: ”andra yrkesutövare än läkare” och i femte stycket i samma VI: ”sjuksköterskor” ska ersättas med följande: ”andra yrkesutövare än läkare”;</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ska kompletteras med ett stycke med följande lydelse:</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 enlighet med det nuvarande VI ska militärsjukhus betraktas som vårdinrättningar. Vaccinationslinjen definieras för dessa sjukhus som en uppsättning läkare, sjuksköterskor, studenter och stödpersonal som mobiliseras för att tillhandahålla vaccinationer på ett vaccinationscentrum under fyra timmar.”;</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I VII ska orden: ”läkare” ersättas med följande: ”privat hälso- och sjukvårdspersonal med tillstånd att ge en injektion av vaccinet mot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Tabellen i bilagan till artikel 18-1 ska ersättas med tabellen i bilagan till detta beslut;</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Artikel 26-2 ska ändras på följande sätt:</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 första stycket andra meningen ska orden ”kan organiseras av” ersättas med följande: ”får endast organiseras av”;</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I de första, andra och fjärde styckena efter orden: ”Genom självtester” ska orden ”genom nässvabbar” infogas;</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Före det sista stycket i II ska ett stycke infogas enligt följande: ”farmaceuter får ge råd, dispensera och sälja medicintekniska produkter för in vitro-diagnostik som är avsedda att utföra självtester för antigendetektion av SARS-CoV-2-virus på nässvabbar som ingår i den förteckning som avses i fjärde stycket i detta II. Dessa medicintekniska produkter är reserverade för asymtomatiska personer över femton år och är endast för personligt bruk.”;</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 I andra stycket andra meningen ska orden ”kan organiseras av” ersättas med följande: ”får endast organiseras av”;</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IV, V, VI, VII och VIII ska läggas till enligt följande:</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Självtest för antigendetektion av SARS-CoV-2 på de nässvabbar som avses i II ska tillhandahållas kostnadsfritt av farmaceuter på apotek som är öppna för allmänheten för personer i följande kategorier:</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löntagare vid följande hemtjänster som arbetar med äldre eller personer med funktionshinder: Hemhjälp och stödtjänster (SAAD), hemhjälp och omsorg för äldre och/eller </w:t>
      </w:r>
      <w:r>
        <w:rPr>
          <w:rFonts w:ascii="Times New Roman" w:hAnsi="Times New Roman"/>
          <w:sz w:val="24"/>
        </w:rPr>
        <w:lastRenderedPageBreak/>
        <w:t>vuxna med funktionsnedsättning (SPASAD), hemsjukvård (SSIAD), socialtjänster (SAV), medicinsk socialtjänst för vuxna med funktionsnedsättning (SAMSAH), särskild utbildning och hemvård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löntagare hos privata arbetsgivare som arbetar med äldre eller personer med funktionsnedsättning för grundläggande dagliga arbetsuppgifter;</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familjevårdare som nämns i artikel L441-1 i kodexen för sociala åtgärder och familjer som åtföljer äldre personer eller personer med funktionshinder.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”Den kostnadsfria dispenseringen av självtest ska tillhandahållas mot uppvisande av bevis från yrkesutövaren och ska ersättas av farmaceuten i enlighet med de förfaranden som fastställs i tabellen i bilagan till denna artikel.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”Vid tillämpningen av detta IV, ska apotekens inköp och dispensering av självtester som är öppna för allmänheten återbetalas och betalas av sjukförsäkringen i enlighet med de förfaranden som fastställs i tabell 1 i bilagan till denna artikel och, i förekommande fall, efter tillämpning av en tilläggskoefficient enligt tabell 2 i samma bilaga.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Vid dispensering eller försäljning av dessa produkter ska farmaceuterna lämna ut den bruksanvisning som finns på hälsovårdsministeriets webbplats.</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Försäljning och dispensering i detaljhandeln av medicintekniska produkter för in vitro-diagnostik för påvisande av antigener från SARS-CoV-2-viruset genom självtester som är reserverade för apoteken i enlighet med artikel L4211-1 i folkhälsolagen kan inte bli föremål för sådan elektronisk handel som avses i artikel L5125-33 i samma lag.</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Försäljningspriserna på medicintekniska produkter för in vitro-diagnostik för antigener från viruset påvisad genom självtest får inte överstiga 6,00 EUR till och med den 15 maj eller 5,20 EUR därefter per test och inklusive alla tillämpliga skatter.</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”De grossistpriser som är avsedda för återförsäljning av de produkter som anges i föregående stycke får inte överstiga 4,70 EUR per test inklusive alla tillämpliga skatter, till och med den 15 maj eller 3,70 EUR därefter.</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Genom undantag från bestämmelserna i artiklarna L5223-2 och L5223-3 i folkhälsolagen ska reklam för alla självtester för antigener från SARS-CoV-2-viruset på nässvabbar som ingår i den förteckning som offentliggörs på hälsoministeriets webbplats omfattas av följande bestämmelser:</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Reklam riktad till allmänheten förutsätter förhandstillstånd från den nationella läkemedelsmyndigheten enligt artikel L5223-3 och följande artiklar i folkhälsolagen i enlighet med de villkor och förfaranden som fastställs i en specifikation som offentliggjorts på myndighetens webbplats; det är begränsat till farmaceuter inom deras apotek;</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Reklam riktad till hälso- och sjukvårdspersonal ska särskilt uppfylla de villkor och förfaranden som fastställs i en specifikation som offentliggörs på samma webbplats.”;</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En artikel 28-3 ska infogas efter artikel 28-2 med följande lydelse: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w:t>
      </w:r>
      <w:r>
        <w:rPr>
          <w:rFonts w:ascii="Times New Roman" w:hAnsi="Times New Roman"/>
          <w:i/>
          <w:sz w:val="24"/>
        </w:rPr>
        <w:t>Artikel 28-3</w:t>
      </w:r>
      <w:r>
        <w:rPr>
          <w:rFonts w:ascii="Times New Roman" w:hAnsi="Times New Roman"/>
          <w:sz w:val="24"/>
        </w:rPr>
        <w:t>. - Den tidsfrist för inlämnande av en ansökan om ackreditering avseende personal på ett kliniskt laboratorium som fastställdes den 1 maj 2021 genom artikel 23(I)(1)(b) i lag nr. 2020-734 av den 17 juni 2020 om olika bestämmelser om hälsokrisen, andra brådskande åtgärder och Storbritanniens utträde från Europeiska unionen ska förlängas till och med den 1 november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Artikel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Denna förordning ska offentliggöras via Frankrikes </w:t>
      </w:r>
      <w:r>
        <w:rPr>
          <w:rFonts w:ascii="Times New Roman" w:hAnsi="Times New Roman"/>
          <w:i/>
          <w:sz w:val="24"/>
        </w:rPr>
        <w:t>Officiella tidning</w:t>
      </w:r>
      <w:r>
        <w:rPr>
          <w:rFonts w:ascii="Times New Roman" w:hAnsi="Times New Roman"/>
          <w:sz w:val="24"/>
        </w:rPr>
        <w:t>.</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Daterat den 10 april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Minister för solidaritet och hälsovård,</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5E9612C2"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E5A79EA" w14:textId="3003CCE4" w:rsidR="00025DE2" w:rsidRDefault="00025DE2" w:rsidP="00166867">
      <w:pPr>
        <w:spacing w:after="0" w:line="240" w:lineRule="auto"/>
        <w:ind w:firstLine="708"/>
        <w:jc w:val="both"/>
        <w:rPr>
          <w:rFonts w:ascii="Times New Roman" w:eastAsia="Times New Roman" w:hAnsi="Times New Roman"/>
          <w:sz w:val="24"/>
          <w:szCs w:val="24"/>
          <w:lang w:eastAsia="fr-FR"/>
        </w:rPr>
      </w:pPr>
    </w:p>
    <w:p w14:paraId="1CD81A3A" w14:textId="2972DCEB" w:rsidR="00025DE2" w:rsidRDefault="00025DE2" w:rsidP="00166867">
      <w:pPr>
        <w:spacing w:after="0" w:line="240" w:lineRule="auto"/>
        <w:ind w:firstLine="708"/>
        <w:jc w:val="both"/>
        <w:rPr>
          <w:rFonts w:ascii="Times New Roman" w:eastAsia="Times New Roman" w:hAnsi="Times New Roman"/>
          <w:sz w:val="24"/>
          <w:szCs w:val="24"/>
          <w:lang w:eastAsia="fr-FR"/>
        </w:rPr>
      </w:pPr>
    </w:p>
    <w:p w14:paraId="3691DF8A" w14:textId="15398581" w:rsidR="00025DE2" w:rsidRDefault="00025DE2" w:rsidP="00166867">
      <w:pPr>
        <w:spacing w:after="0" w:line="240" w:lineRule="auto"/>
        <w:ind w:firstLine="708"/>
        <w:jc w:val="both"/>
        <w:rPr>
          <w:rFonts w:ascii="Times New Roman" w:eastAsia="Times New Roman" w:hAnsi="Times New Roman"/>
          <w:sz w:val="24"/>
          <w:szCs w:val="24"/>
          <w:lang w:eastAsia="fr-FR"/>
        </w:rPr>
      </w:pPr>
    </w:p>
    <w:p w14:paraId="5AC36D91" w14:textId="77777777" w:rsidR="00025DE2" w:rsidRDefault="00025DE2"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5218356"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467FE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ECC203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Bilaga till artikel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Belopp för räntesatser:</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16"/>
        <w:gridCol w:w="2096"/>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 xml:space="preserve">Vardagar och lördag morgon </w:t>
            </w:r>
            <w:r>
              <w:rPr>
                <w:rFonts w:ascii="Times New Roman" w:hAnsi="Times New Roman"/>
                <w:b/>
                <w:color w:val="FFFFFF"/>
                <w:sz w:val="20"/>
              </w:rPr>
              <w:br/>
              <w:t>(i 4 timmar)</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 xml:space="preserve">Lördagseftermiddagar, söndagar och helgdagar </w:t>
            </w:r>
            <w:r>
              <w:rPr>
                <w:rFonts w:ascii="Times New Roman" w:hAnsi="Times New Roman"/>
                <w:b/>
                <w:color w:val="FFFFFF"/>
                <w:sz w:val="20"/>
              </w:rPr>
              <w:br/>
              <w:t>(i 4 timmar)</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Kurs A:</w:t>
            </w:r>
            <w:r>
              <w:rPr>
                <w:rFonts w:ascii="Times New Roman" w:hAnsi="Times New Roman"/>
                <w:b/>
                <w:sz w:val="20"/>
              </w:rPr>
              <w:br/>
              <w:t xml:space="preserve">– Läkare och sjukhuspersonal utom läkare, pensionärer eller studerande </w:t>
            </w:r>
            <w:r>
              <w:rPr>
                <w:rFonts w:ascii="Times New Roman" w:hAnsi="Times New Roman"/>
                <w:b/>
                <w:sz w:val="20"/>
              </w:rPr>
              <w:br/>
              <w:t>– Stödpersonal på sjukhus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1 015 €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Kurs B:</w:t>
            </w:r>
            <w:r>
              <w:rPr>
                <w:rFonts w:ascii="Times New Roman" w:hAnsi="Times New Roman"/>
                <w:b/>
                <w:sz w:val="20"/>
              </w:rPr>
              <w:br/>
              <w:t>– Sjukhusläkare, pensionerade eller studerande</w:t>
            </w:r>
            <w:r>
              <w:rPr>
                <w:rFonts w:ascii="Times New Roman" w:hAnsi="Times New Roman"/>
                <w:b/>
                <w:sz w:val="20"/>
              </w:rPr>
              <w:br/>
              <w:t>– Privata yrkesutövare utom läkare</w:t>
            </w:r>
            <w:r>
              <w:rPr>
                <w:rFonts w:ascii="Times New Roman" w:hAnsi="Times New Roman"/>
                <w:b/>
                <w:sz w:val="20"/>
              </w:rPr>
              <w:br/>
              <w:t>– Stödpersonal på sjukhus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Kurs C:</w:t>
            </w:r>
            <w:r>
              <w:rPr>
                <w:rFonts w:ascii="Times New Roman" w:hAnsi="Times New Roman"/>
                <w:b/>
                <w:sz w:val="20"/>
              </w:rPr>
              <w:br/>
              <w:t>– Privatläkare</w:t>
            </w:r>
            <w:r>
              <w:rPr>
                <w:rFonts w:ascii="Times New Roman" w:hAnsi="Times New Roman"/>
                <w:b/>
                <w:sz w:val="20"/>
              </w:rPr>
              <w:br/>
              <w:t>– Sjukhuspersonal utom läkare, pensionärer eller studenter</w:t>
            </w:r>
            <w:r>
              <w:rPr>
                <w:rFonts w:ascii="Times New Roman" w:hAnsi="Times New Roman"/>
                <w:b/>
                <w:sz w:val="20"/>
              </w:rPr>
              <w:br/>
              <w:t>– Stödarbetare på sjukhus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Kurs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 Privatläkare</w:t>
            </w:r>
            <w:r>
              <w:rPr>
                <w:rFonts w:ascii="Times New Roman" w:hAnsi="Times New Roman"/>
                <w:b/>
                <w:sz w:val="20"/>
              </w:rPr>
              <w:br/>
              <w:t>– Privata yrkesutövare utom läkare</w:t>
            </w:r>
            <w:r>
              <w:rPr>
                <w:rFonts w:ascii="Times New Roman" w:hAnsi="Times New Roman"/>
                <w:b/>
                <w:sz w:val="20"/>
              </w:rPr>
              <w:br/>
              <w:t>– Stödpersonal på sjukhus</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Bilaga till artikel 26-2 (IV)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Tabell 1: Ersättning för dispens till farmaceuter och enhetsavgift för självtest som återbetalas till sjukförsäkringen</w:t>
      </w:r>
    </w:p>
    <w:tbl>
      <w:tblPr>
        <w:tblStyle w:val="TableGrid"/>
        <w:tblW w:w="0" w:type="auto"/>
        <w:tblLook w:val="04A0" w:firstRow="1" w:lastRow="0" w:firstColumn="1" w:lastColumn="0" w:noHBand="0" w:noVBand="1"/>
      </w:tblPr>
      <w:tblGrid>
        <w:gridCol w:w="2290"/>
        <w:gridCol w:w="2602"/>
        <w:gridCol w:w="2114"/>
        <w:gridCol w:w="205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Mottagare av gratis självtest</w:t>
            </w:r>
          </w:p>
        </w:tc>
        <w:tc>
          <w:tcPr>
            <w:tcW w:w="2265" w:type="dxa"/>
          </w:tcPr>
          <w:p w14:paraId="3240F6AC" w14:textId="77777777" w:rsidR="006750FF" w:rsidRPr="001630BF" w:rsidRDefault="006750FF" w:rsidP="00EF32D5">
            <w:pPr>
              <w:rPr>
                <w:color w:val="1F497D"/>
                <w:sz w:val="24"/>
                <w:szCs w:val="24"/>
              </w:rPr>
            </w:pPr>
            <w:r>
              <w:rPr>
                <w:b/>
                <w:sz w:val="24"/>
              </w:rPr>
              <w:t>Styrkande dokument som ska uppvisas för leverans</w:t>
            </w:r>
          </w:p>
        </w:tc>
        <w:tc>
          <w:tcPr>
            <w:tcW w:w="2266" w:type="dxa"/>
          </w:tcPr>
          <w:p w14:paraId="0143F26A" w14:textId="77777777" w:rsidR="006750FF" w:rsidRPr="001630BF" w:rsidRDefault="006750FF" w:rsidP="00EF32D5">
            <w:pPr>
              <w:rPr>
                <w:color w:val="1F497D"/>
                <w:sz w:val="24"/>
                <w:szCs w:val="24"/>
              </w:rPr>
            </w:pPr>
            <w:r>
              <w:rPr>
                <w:b/>
                <w:sz w:val="24"/>
              </w:rPr>
              <w:t>Dispensersättning för farmaceuter i euro</w:t>
            </w:r>
          </w:p>
        </w:tc>
        <w:tc>
          <w:tcPr>
            <w:tcW w:w="2266" w:type="dxa"/>
          </w:tcPr>
          <w:p w14:paraId="26B77C64" w14:textId="77777777" w:rsidR="006750FF" w:rsidRPr="001630BF" w:rsidRDefault="006750FF" w:rsidP="00EF32D5">
            <w:pPr>
              <w:rPr>
                <w:color w:val="1F497D"/>
                <w:sz w:val="24"/>
                <w:szCs w:val="24"/>
              </w:rPr>
            </w:pPr>
            <w:r>
              <w:rPr>
                <w:b/>
                <w:sz w:val="24"/>
              </w:rPr>
              <w:t>Skattesats för självtest på sjukförsäkringen i euro exklusive skatt</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Löntagare vid hemtjänster som arbetar med äldre eller personer med funktionshinder (SAAD, SPASAD, SSIAD, SAVs, SAMSAH, SESSAD);</w:t>
            </w:r>
          </w:p>
          <w:p w14:paraId="23DDCDFA" w14:textId="77777777" w:rsidR="006750FF" w:rsidRPr="001630BF" w:rsidRDefault="006750FF" w:rsidP="00EF32D5">
            <w:pPr>
              <w:rPr>
                <w:sz w:val="24"/>
                <w:szCs w:val="24"/>
              </w:rPr>
            </w:pPr>
            <w:r>
              <w:rPr>
                <w:sz w:val="24"/>
              </w:rPr>
              <w:t>– Löntagare hos privata arbetsgivare som arbetar med äldre eller personer med funktionsnedsättning för grundläggande dagliga uppgifter;</w:t>
            </w:r>
          </w:p>
          <w:p w14:paraId="0F33BBE0" w14:textId="77777777" w:rsidR="006750FF" w:rsidRPr="001630BF" w:rsidRDefault="006750FF" w:rsidP="00EF32D5">
            <w:pPr>
              <w:rPr>
                <w:sz w:val="24"/>
                <w:szCs w:val="24"/>
              </w:rPr>
            </w:pPr>
            <w:r>
              <w:rPr>
                <w:sz w:val="24"/>
              </w:rPr>
              <w:t xml:space="preserve">– Familjevårdare som nämns i artikel L441-1 i lagen om sociala åtgärder och familjer som åtföljer äldre personer eller personer med funktionsnedsättning.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En identifikationshandling och ett av följande stöddokument:</w:t>
            </w:r>
          </w:p>
          <w:p w14:paraId="5B2D8E97" w14:textId="77777777" w:rsidR="006750FF" w:rsidRPr="001630BF" w:rsidRDefault="006750FF" w:rsidP="00EF32D5">
            <w:pPr>
              <w:pStyle w:val="NormalWeb"/>
              <w:spacing w:before="0" w:beforeAutospacing="0" w:after="120" w:afterAutospacing="0"/>
              <w:jc w:val="both"/>
            </w:pPr>
            <w:r>
              <w:t xml:space="preserve">E-post eller brev från SSSRAF [Organisationer för indrivning av socialförsäkringsavgifter och familjeförmåner] (för anställda vid privata arbetsgivare och familjevårdsgivare); </w:t>
            </w:r>
          </w:p>
          <w:p w14:paraId="7DC424C6" w14:textId="77777777" w:rsidR="006750FF" w:rsidRPr="001630BF" w:rsidRDefault="006750FF" w:rsidP="00EF32D5">
            <w:pPr>
              <w:pStyle w:val="NormalWeb"/>
              <w:spacing w:before="0" w:beforeAutospacing="0" w:after="120" w:afterAutospacing="0"/>
              <w:jc w:val="both"/>
            </w:pPr>
            <w:r>
              <w:t>– En lönesedel (för hemtjänstanställda), en check för de samhällsomfattande arbetsförmedlingarna (CESU) (för anställda hos privata arbetsgivare) eller en kopia av månadsutdrag över ekonomisk ersättning (för familjevårdsgivare) som är mindre än 3 månader gammalt.</w:t>
            </w:r>
          </w:p>
        </w:tc>
        <w:tc>
          <w:tcPr>
            <w:tcW w:w="2266" w:type="dxa"/>
          </w:tcPr>
          <w:p w14:paraId="68C3B723" w14:textId="77777777" w:rsidR="006750FF" w:rsidRPr="001630BF" w:rsidRDefault="006750FF" w:rsidP="00EF32D5">
            <w:pPr>
              <w:rPr>
                <w:sz w:val="24"/>
                <w:szCs w:val="24"/>
              </w:rPr>
            </w:pPr>
            <w:r>
              <w:rPr>
                <w:sz w:val="24"/>
              </w:rPr>
              <w:t>1,00 EUR exklusive skatt för utlämning till den försäkrade personen på 10 självtester under en månad.</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Tilläggsavgift plus, i förekommande fall, en koefficient för de departement och regioner som förtecknas i tabell 2</w:t>
            </w:r>
          </w:p>
        </w:tc>
        <w:tc>
          <w:tcPr>
            <w:tcW w:w="2266" w:type="dxa"/>
          </w:tcPr>
          <w:p w14:paraId="5C1F2FCC" w14:textId="77777777" w:rsidR="00CC0D4F" w:rsidRPr="00CC0D4F" w:rsidRDefault="00CC0D4F" w:rsidP="00CC0D4F">
            <w:pPr>
              <w:rPr>
                <w:sz w:val="24"/>
                <w:szCs w:val="24"/>
              </w:rPr>
            </w:pPr>
            <w:r>
              <w:rPr>
                <w:sz w:val="24"/>
              </w:rPr>
              <w:t>Från och med den 12 april 2021 till och med den 15 maj 2021</w:t>
            </w:r>
          </w:p>
          <w:p w14:paraId="337991AE" w14:textId="77777777" w:rsidR="00CC0D4F" w:rsidRPr="00CC0D4F" w:rsidRDefault="00CC0D4F" w:rsidP="00CC0D4F">
            <w:pPr>
              <w:rPr>
                <w:sz w:val="24"/>
                <w:szCs w:val="24"/>
              </w:rPr>
            </w:pPr>
            <w:r>
              <w:rPr>
                <w:sz w:val="24"/>
              </w:rPr>
              <w:t xml:space="preserve">5,20 EUR per självtest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Från och med den 16 maj 2021 </w:t>
            </w:r>
          </w:p>
          <w:p w14:paraId="4552B044" w14:textId="77777777" w:rsidR="00C95FFF" w:rsidRDefault="00CC0D4F" w:rsidP="00EF32D5">
            <w:pPr>
              <w:rPr>
                <w:sz w:val="24"/>
                <w:szCs w:val="24"/>
              </w:rPr>
            </w:pPr>
            <w:r>
              <w:rPr>
                <w:sz w:val="24"/>
              </w:rPr>
              <w:t xml:space="preserve">4,20 EUR per självtest </w:t>
            </w:r>
          </w:p>
          <w:p w14:paraId="48A882E1" w14:textId="5BA7897F" w:rsidR="006750FF" w:rsidRPr="001630BF" w:rsidRDefault="006750FF" w:rsidP="00EF32D5">
            <w:pPr>
              <w:rPr>
                <w:color w:val="1F497D"/>
                <w:sz w:val="24"/>
                <w:szCs w:val="24"/>
              </w:rPr>
            </w:pPr>
            <w:r>
              <w:rPr>
                <w:sz w:val="24"/>
              </w:rPr>
              <w:t>kurs plus en koefficient för de departement och regioner som förtecknas i tabell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Tabell 2 – Överskott för självtestande dispenser och enhetsavgiften för det självtest som tas ut på sjukförsäkringen</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3"/>
        <w:gridCol w:w="1555"/>
        <w:gridCol w:w="1264"/>
        <w:gridCol w:w="1286"/>
        <w:gridCol w:w="1090"/>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Guadeloupe</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Franska Guyana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Tilläggskoefficient som tillämpas på dispenser och för självtest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263F" w14:textId="77777777" w:rsidR="00D32C22" w:rsidRDefault="00D32C22" w:rsidP="002E7F03">
      <w:pPr>
        <w:spacing w:after="0" w:line="240" w:lineRule="auto"/>
      </w:pPr>
      <w:r>
        <w:separator/>
      </w:r>
    </w:p>
  </w:endnote>
  <w:endnote w:type="continuationSeparator" w:id="0">
    <w:p w14:paraId="23271F9E" w14:textId="77777777" w:rsidR="00D32C22" w:rsidRDefault="00D32C22" w:rsidP="002E7F03">
      <w:pPr>
        <w:spacing w:after="0" w:line="240" w:lineRule="auto"/>
      </w:pPr>
      <w:r>
        <w:continuationSeparator/>
      </w:r>
    </w:p>
  </w:endnote>
  <w:endnote w:type="continuationNotice" w:id="1">
    <w:p w14:paraId="7D89D427" w14:textId="77777777" w:rsidR="00D32C22" w:rsidRDefault="00D32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C613" w14:textId="77777777" w:rsidR="00D32C22" w:rsidRDefault="00D32C22" w:rsidP="002E7F03">
      <w:pPr>
        <w:spacing w:after="0" w:line="240" w:lineRule="auto"/>
      </w:pPr>
      <w:r>
        <w:separator/>
      </w:r>
    </w:p>
  </w:footnote>
  <w:footnote w:type="continuationSeparator" w:id="0">
    <w:p w14:paraId="1CC8A1B4" w14:textId="77777777" w:rsidR="00D32C22" w:rsidRDefault="00D32C22" w:rsidP="002E7F03">
      <w:pPr>
        <w:spacing w:after="0" w:line="240" w:lineRule="auto"/>
      </w:pPr>
      <w:r>
        <w:continuationSeparator/>
      </w:r>
    </w:p>
  </w:footnote>
  <w:footnote w:type="continuationNotice" w:id="1">
    <w:p w14:paraId="33241F97" w14:textId="77777777" w:rsidR="00D32C22" w:rsidRDefault="00D32C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DE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2C22"/>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1953</Words>
  <Characters>11136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13063</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4</cp:revision>
  <cp:lastPrinted>2020-12-21T12:19:00Z</cp:lastPrinted>
  <dcterms:created xsi:type="dcterms:W3CDTF">2021-04-10T15:45:00Z</dcterms:created>
  <dcterms:modified xsi:type="dcterms:W3CDTF">2021-04-19T13:38:00Z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