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sz w:val="24"/>
          <w:szCs w:val="24"/>
          <w:rFonts w:ascii="Times New Roman" w:hAnsi="Times New Roman" w:cs="Times New Roman"/>
        </w:rPr>
      </w:pPr>
      <w:r>
        <w:rPr>
          <w:sz w:val="24"/>
          <w:rFonts w:ascii="Times New Roman" w:hAnsi="Times New Roman"/>
        </w:rPr>
        <w:t xml:space="preserve">Utkast</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LAG</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av den ..........................2021,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b/>
          <w:sz w:val="24"/>
          <w:szCs w:val="24"/>
          <w:highlight w:val="yellow"/>
          <w:rFonts w:ascii="Times New Roman" w:hAnsi="Times New Roman" w:cs="Times New Roman"/>
        </w:rPr>
      </w:pPr>
      <w:r>
        <w:rPr>
          <w:b/>
          <w:sz w:val="24"/>
          <w:rFonts w:ascii="Times New Roman" w:hAnsi="Times New Roman"/>
        </w:rPr>
        <w:t xml:space="preserve">om ändring av lag nr 79/2015 om avfall och om ändring av vissa rättsakter i dess ändrade lydelse och om ändring av lag nr 302/2019 om ett system för återsändande av depositioner för behållare för engångsdrycker och om ändring av vissa rättsakter i dess ändrade lydelse</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sz w:val="24"/>
          <w:szCs w:val="24"/>
          <w:rFonts w:ascii="Times New Roman" w:hAnsi="Times New Roman" w:cs="Times New Roman"/>
        </w:rPr>
      </w:pPr>
      <w:r>
        <w:rPr>
          <w:sz w:val="24"/>
          <w:rFonts w:ascii="Times New Roman" w:hAnsi="Times New Roman"/>
        </w:rPr>
        <w:t xml:space="preserve">Republiken Slovakiens nationella råd har antagit följande lag:</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sz w:val="24"/>
          <w:szCs w:val="24"/>
          <w:rFonts w:ascii="Times New Roman" w:hAnsi="Times New Roman" w:cs="Times New Roman"/>
        </w:rPr>
      </w:pPr>
      <w:r>
        <w:rPr>
          <w:sz w:val="24"/>
          <w:rFonts w:ascii="Times New Roman" w:hAnsi="Times New Roman"/>
        </w:rPr>
        <w:t xml:space="preserve">Artikel I</w:t>
      </w:r>
    </w:p>
    <w:p w14:paraId="709432A8" w14:textId="23946AED" w:rsidR="003A6AC3" w:rsidRPr="00E94C79" w:rsidRDefault="00DC3915" w:rsidP="00C1244B">
      <w:pPr>
        <w:jc w:val="both"/>
        <w:rPr>
          <w:sz w:val="24"/>
          <w:szCs w:val="24"/>
          <w:rFonts w:ascii="Times New Roman" w:hAnsi="Times New Roman" w:cs="Times New Roman"/>
        </w:rPr>
      </w:pPr>
      <w:r>
        <w:rPr>
          <w:sz w:val="24"/>
          <w:rFonts w:ascii="Times New Roman" w:hAnsi="Times New Roman"/>
        </w:rPr>
        <w:t xml:space="preserve">Lag nr 79/2015 om avfall och om ändringar av vissa rättsakter, ändrad genom lag nr 91/2016, lag nr 313/2016, lag nr 90/2017, lag nr 292/2017, lag nr 106/2018, lag nr 177/2018, lag nr 208/2018, lag nr 312/2018, lag nr 302/2019, lag nr 364/2019, lag nr 460/2019, lag nr 74/2020, lag nr 218/2020, lag nr 285/2020, lag nr 9/2021 och lag nr 46/2021 ska ändras på följande sätt:</w:t>
      </w:r>
    </w:p>
    <w:p w14:paraId="349CDB7A" w14:textId="06174344" w:rsidR="003F5A44" w:rsidRPr="001C5E1D" w:rsidRDefault="00C1244B" w:rsidP="001C5E1D">
      <w:pPr>
        <w:rPr>
          <w:sz w:val="24"/>
          <w:szCs w:val="24"/>
          <w:rFonts w:ascii="Times New Roman" w:hAnsi="Times New Roman" w:cs="Times New Roman"/>
        </w:rPr>
      </w:pPr>
      <w:r>
        <w:rPr>
          <w:sz w:val="24"/>
          <w:rFonts w:ascii="Times New Roman" w:hAnsi="Times New Roman"/>
        </w:rPr>
        <w:t xml:space="preserve">1. I § 27(1), ska ordet ‘sjunde’ ersättas med ‘åttonde’.</w:t>
      </w:r>
    </w:p>
    <w:p w14:paraId="6B66812B" w14:textId="3C26488F" w:rsidR="00696ADE" w:rsidRPr="00757704" w:rsidRDefault="00376FD7" w:rsidP="00E16BA7">
      <w:pPr>
        <w:jc w:val="both"/>
        <w:rPr>
          <w:sz w:val="24"/>
          <w:szCs w:val="24"/>
          <w:rFonts w:ascii="Times New Roman" w:hAnsi="Times New Roman" w:cs="Times New Roman"/>
        </w:rPr>
      </w:pPr>
      <w:r>
        <w:rPr>
          <w:sz w:val="24"/>
          <w:rFonts w:ascii="Times New Roman" w:hAnsi="Times New Roman"/>
        </w:rPr>
        <w:t xml:space="preserve">2. I § 52, ska paragraferna 29 och 30 utgå.</w:t>
      </w:r>
    </w:p>
    <w:p w14:paraId="11CF3C71" w14:textId="169534B8" w:rsidR="00696ADE" w:rsidRPr="00757704" w:rsidRDefault="00614A06" w:rsidP="00757704">
      <w:pPr>
        <w:pStyle w:val="ListParagraph"/>
        <w:ind w:left="284" w:firstLine="142"/>
        <w:jc w:val="both"/>
        <w:rPr>
          <w:sz w:val="24"/>
          <w:szCs w:val="24"/>
          <w:rFonts w:ascii="Times New Roman" w:hAnsi="Times New Roman" w:cs="Times New Roman"/>
        </w:rPr>
      </w:pPr>
      <w:r>
        <w:rPr>
          <w:sz w:val="24"/>
          <w:rFonts w:ascii="Times New Roman" w:hAnsi="Times New Roman"/>
        </w:rPr>
        <w:t xml:space="preserve">Paragraferna 31 till 35 blir paragraferna 29 till 33.</w:t>
      </w:r>
    </w:p>
    <w:p w14:paraId="6F11B1DC" w14:textId="722F7E50" w:rsidR="0017012A" w:rsidRPr="00207C59" w:rsidRDefault="00376FD7" w:rsidP="00207C59">
      <w:pPr>
        <w:jc w:val="both"/>
        <w:rPr>
          <w:sz w:val="24"/>
          <w:szCs w:val="24"/>
          <w:rFonts w:ascii="Times New Roman" w:hAnsi="Times New Roman" w:cs="Times New Roman"/>
        </w:rPr>
      </w:pPr>
      <w:r>
        <w:rPr>
          <w:sz w:val="24"/>
          <w:rFonts w:ascii="Times New Roman" w:hAnsi="Times New Roman"/>
        </w:rPr>
        <w:t xml:space="preserve">3.§ 53a lyder:</w:t>
      </w:r>
    </w:p>
    <w:p w14:paraId="52C24FBB" w14:textId="67E1D1FA" w:rsidR="00F14614" w:rsidRPr="00A92FC3" w:rsidRDefault="0017012A" w:rsidP="00A92FC3">
      <w:pPr>
        <w:pStyle w:val="ListParagraph"/>
        <w:ind w:left="284"/>
        <w:jc w:val="center"/>
        <w:rPr>
          <w:sz w:val="24"/>
          <w:szCs w:val="24"/>
          <w:rFonts w:ascii="Times New Roman" w:hAnsi="Times New Roman" w:cs="Times New Roman"/>
        </w:rPr>
      </w:pPr>
      <w:r>
        <w:rPr>
          <w:sz w:val="24"/>
          <w:rFonts w:ascii="Times New Roman" w:hAnsi="Times New Roman"/>
        </w:rPr>
        <w:t xml:space="preserve">‘ 53a</w:t>
      </w:r>
    </w:p>
    <w:p w14:paraId="030BCE65" w14:textId="51737E19" w:rsidR="007831B9" w:rsidRPr="00A03E23" w:rsidRDefault="00EC0EA2" w:rsidP="00A03E23">
      <w:pPr>
        <w:pStyle w:val="ListParagraph"/>
        <w:ind w:left="284"/>
        <w:jc w:val="both"/>
        <w:rPr>
          <w:sz w:val="24"/>
          <w:szCs w:val="24"/>
          <w:rFonts w:ascii="Times New Roman" w:hAnsi="Times New Roman" w:cs="Times New Roman"/>
        </w:rPr>
      </w:pPr>
      <w:r>
        <w:rPr>
          <w:sz w:val="24"/>
          <w:rFonts w:ascii="Times New Roman" w:hAnsi="Times New Roman"/>
        </w:rPr>
        <w:t xml:space="preserve">Statliga förvaltningsorgan får inte använda drycker som köpts i engångsförpackningar i sin verksamhet.’.</w:t>
      </w:r>
    </w:p>
    <w:p w14:paraId="70E6DC33" w14:textId="21648630" w:rsidR="002935BB" w:rsidRPr="007813D7" w:rsidRDefault="00376FD7" w:rsidP="007813D7">
      <w:pPr>
        <w:jc w:val="both"/>
        <w:rPr>
          <w:sz w:val="24"/>
          <w:szCs w:val="24"/>
          <w:rFonts w:ascii="Times New Roman" w:hAnsi="Times New Roman" w:cs="Times New Roman"/>
        </w:rPr>
      </w:pPr>
      <w:r>
        <w:rPr>
          <w:sz w:val="24"/>
          <w:rFonts w:ascii="Times New Roman" w:hAnsi="Times New Roman"/>
        </w:rPr>
        <w:t xml:space="preserve">4.§ 73a ska utgå.</w:t>
      </w:r>
    </w:p>
    <w:p w14:paraId="3A8B64C5" w14:textId="18CE960F" w:rsidR="001C62F2" w:rsidRPr="007813D7" w:rsidRDefault="00376FD7" w:rsidP="007813D7">
      <w:pPr>
        <w:jc w:val="both"/>
        <w:rPr>
          <w:sz w:val="24"/>
          <w:szCs w:val="24"/>
          <w:rFonts w:ascii="Times New Roman" w:hAnsi="Times New Roman" w:cs="Times New Roman"/>
        </w:rPr>
      </w:pPr>
      <w:r>
        <w:rPr>
          <w:sz w:val="24"/>
          <w:rFonts w:ascii="Times New Roman" w:hAnsi="Times New Roman"/>
        </w:rPr>
        <w:t xml:space="preserve">5.Efter § 75, ska ett nytt avsnitt åtta läggas till som innehåller rubriken:</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“Avsnitt åtta</w:t>
      </w:r>
    </w:p>
    <w:p w14:paraId="3F807884" w14:textId="6AF621C7" w:rsidR="002935BB" w:rsidRPr="002935BB" w:rsidRDefault="00150109"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Speciella plastprodukter</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 75a</w:t>
      </w:r>
    </w:p>
    <w:p w14:paraId="439B1221"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Allmänna bestämmelser</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I detta avsnitt regleras krav och åtgärder för att förhindra miljöpåverkan av vissa plastprodukter för engångsbruk, särskilt på vattenmiljön, på människors hälsa, för att minska denna påverkan och för att stödja övergången till en cirkulär ekonomi med innovativa och hållbara affärsmodeller, produkter och material.</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Bestämmelserna i detta avsnitt ska tillämpas på plastprodukter för engångsbruk som förtecknas i bilaga 7a, oxonedbrytbara plastprodukter och fiskeredskap som innehåller plast.</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 Om inte annat föreskrivs i detta avsnitt ska de allmänna bestämmelserna i denna akt tillämpas på alla plastprodukter för engångsbruk och fiskeredskap som innehåller plast som släpps ut på marknaden eller för distribution i Slovakien och på hanteringen av avfall från dem.</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(4) I detta avsnitt avses med plast ett material som består av polymer, </w:t>
      </w:r>
      <w:r>
        <w:rPr>
          <w:sz w:val="24"/>
          <w:vertAlign w:val="superscript"/>
          <w:rFonts w:ascii="Times New Roman" w:hAnsi="Times New Roman"/>
        </w:rPr>
        <w:t xml:space="preserve">72(a)</w:t>
      </w:r>
      <w:r>
        <w:rPr>
          <w:sz w:val="24"/>
          <w:rFonts w:ascii="Times New Roman" w:hAnsi="Times New Roman"/>
        </w:rPr>
        <w:t xml:space="preserve"> till vilket tillsatser eller andra ämnen kan ha tillsatts och som kan fungera som huvudbeståndsdel i de färdiga produkterna, med undantag för naturliga polymerer som inte har modifierats kemiskt.</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(5) Engångsplastprodukt: en produkt som helt eller delvis är tillverkad av plast och som inte är konstruerad, tillverkad eller släppt ut på marknaden för att under sin livstid uppnå flera cykler eller rotationer genom att returneras till en producent för påfyllning eller återanvänds för samma ändamål som den tillverkades;</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(6) Oxonedbrytbar plast är ett plastmaterial som innehåller tillsatser som genom oxidation bryter ner plastmaterialet i mikrofragment eller kemiskt sönderdelar det.</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(7) Fiskeredskap: alla artiklar eller delar av utrustning som används i fiske eller vattenbruk för att måla, fånga eller öka marina biologiska resurser eller som flyter på havsytan och som används i syfte att locka till sig och fånga upp eller öka sådana marina biologiska resurser.</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(8) Med avfallsfiskeredskap avses alla fiskeredskap som har blivit avfall, inklusive alla separata komponenter, ämnen eller material som ingick i eller fästes i sådana fiskeredskap när de kasserades, även när de övergavs eller förlorades.</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(9) Lansering på marknaden är det första tillhandahållandet på marknaden av en plastprodukt för engångsbruk eller fiskeredskap som innehåller plast i Slovakien.</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(10) Tillhandahållande på marknaden: varje leverans av en plastprodukt för engångsbruk eller fiskeredskap som innehåller plast som är avsedd att distribueras, konsumeras eller användas på marknaden i Slovakien som en del av affärsverksamheten, mot betalning eller kostnadsfritt.</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(11) En harmoniserad standard är en harmoniserad standard enligt särskild lagstiftning.</w:t>
      </w:r>
      <w:r>
        <w:rPr>
          <w:sz w:val="24"/>
          <w:vertAlign w:val="superscript"/>
          <w:rFonts w:ascii="Times New Roman" w:hAnsi="Times New Roman"/>
        </w:rPr>
        <w:t xml:space="preserve">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(12) Tillverkaren av en plastprodukt för engångsbruk eller fiskeredskap som innehåller plast är en enda näringsidkare eller företagsenhet som, oberoende av vilken försäljningsteknik som används, inklusive postorder och internetförsäljning, med undantag för en enhet som bedriver fiskeverksamhet enligt särskild lagstiftning, </w:t>
      </w:r>
      <w:r>
        <w:rPr>
          <w:sz w:val="24"/>
          <w:vertAlign w:val="superscript"/>
          <w:rFonts w:ascii="Times New Roman" w:hAnsi="Times New Roman"/>
        </w:rPr>
        <w:t xml:space="preserve">96(b)</w:t>
      </w:r>
    </w:p>
    <w:p w14:paraId="077D1DA3" w14:textId="135D471E"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a) har sitt verksamhetsställe eller sitt säte i Slovakien och tillverkar plastprodukter för engångsbruk och fiskeredskap, eller har tillverkat engångsplastprodukter och fiskeredskap för engångsbruk, och släpper ut dem på marknaden;</w:t>
      </w:r>
    </w:p>
    <w:p w14:paraId="65E6AD96" w14:textId="7A46189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b) har sitt verksamhetsställe eller sitt säte i Slovakien och säljer engångsplastprodukter och fiskeredskap i Slovakien;</w:t>
      </w:r>
    </w:p>
    <w:p w14:paraId="5D9E363F" w14:textId="3A103823"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c) har sitt verksamhetsställe eller säte i Slovakien och fyller plastprodukter för engångsbruk eller har fyllt plastprodukter för engångsbruk och släpper ut dem på marknaden;</w:t>
      </w:r>
    </w:p>
    <w:p w14:paraId="1993F82A"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d) har sitt verksamhetsställe eller sitt säte i Slovakien och som en del av sin affärsverksamhet släpper ut plastprodukter och fiskeredskap för engångsbruk från en annan medlemsstat eller från tredje land på marknaden i Slovakien;</w:t>
      </w:r>
    </w:p>
    <w:p w14:paraId="5CA41E99" w14:textId="5860CB88"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e) säljer plastprodukter och fiskeredskap för engångsbruk i Slovakien genom distanskommunikation direkt till hushåll eller andra användare och har sitt säte eller verksamhetsställe i en annan medlemsstat eller i en annan icke-medlemsstat;</w:t>
      </w:r>
    </w:p>
    <w:p w14:paraId="1F36CE64"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f) har sitt verksamhetsställe eller sitt säte i Slovakien och som en del av sin affärsverksamhet säljer plastprodukter för engångsbruk och fiskeredskap direkt till en användare i en annan medlemsstat på grundval av ett distansavtal.</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(13)</w:t>
      </w:r>
      <w:r>
        <w:rPr>
          <w:sz w:val="24"/>
          <w:rFonts w:ascii="Times New Roman" w:hAnsi="Times New Roman"/>
        </w:rPr>
        <w:tab/>
      </w:r>
      <w:r>
        <w:rPr>
          <w:sz w:val="24"/>
          <w:rFonts w:ascii="Times New Roman" w:hAnsi="Times New Roman"/>
        </w:rPr>
        <w:t xml:space="preserve">Biologiskt nedbrytbar plast, innebär plast som kan sönderdelas fysiskt och biologiskt, så att den slutligen sönderdelas till koldioxid (CO</w:t>
      </w:r>
      <w:r>
        <w:rPr>
          <w:sz w:val="24"/>
          <w:vertAlign w:val="subscript"/>
          <w:rFonts w:ascii="Times New Roman" w:hAnsi="Times New Roman"/>
        </w:rPr>
        <w:t xml:space="preserve">2</w:t>
      </w:r>
      <w:r>
        <w:rPr>
          <w:sz w:val="24"/>
          <w:rFonts w:ascii="Times New Roman" w:hAnsi="Times New Roman"/>
        </w:rPr>
        <w:t xml:space="preserve">), biomassa och vatten och kan, i enlighet med europeiska standarder för förpackning, återvinnas genom kompostering och anaerob rötning.</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(14) Mottagningsanordningar i hamn är mottagningsanordningar i hamn i enlighet med särskild lagstiftning.</w:t>
      </w:r>
      <w:r>
        <w:rPr>
          <w:sz w:val="24"/>
          <w:rFonts w:ascii="Times New Roman" w:hAnsi="Times New Roman"/>
        </w:rPr>
        <w:t xml:space="preserve"> </w:t>
      </w:r>
      <w:r>
        <w:rPr>
          <w:sz w:val="24"/>
          <w:vertAlign w:val="superscript"/>
          <w:rFonts w:ascii="Times New Roman" w:hAnsi="Times New Roman"/>
        </w:rPr>
        <w:t xml:space="preserve">96(c)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(15) Tobaksprodukter är tobaksvaror som definieras enligt särskild lagstiftning.</w:t>
      </w:r>
      <w:r>
        <w:rPr>
          <w:sz w:val="24"/>
          <w:rFonts w:ascii="Times New Roman" w:hAnsi="Times New Roman"/>
        </w:rPr>
        <w:t xml:space="preserve"> </w:t>
      </w:r>
      <w:r>
        <w:rPr>
          <w:sz w:val="24"/>
          <w:vertAlign w:val="superscript"/>
          <w:rFonts w:ascii="Times New Roman" w:hAnsi="Times New Roman"/>
        </w:rPr>
        <w:t xml:space="preserve">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 75b</w:t>
      </w:r>
    </w:p>
    <w:p w14:paraId="15349398"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Minskad konsumtion</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w:t>
      </w:r>
      <w:r>
        <w:rPr>
          <w:sz w:val="24"/>
          <w:rFonts w:ascii="Times New Roman" w:hAnsi="Times New Roman"/>
        </w:rPr>
        <w:tab/>
      </w:r>
      <w:r>
        <w:rPr>
          <w:sz w:val="24"/>
          <w:rFonts w:ascii="Times New Roman" w:hAnsi="Times New Roman"/>
        </w:rPr>
        <w:t xml:space="preserve">En tillverkare av plastprodukter för engångsbruk som tillhandahåller de plastprodukter för engångsbruk som förtecknas i bilaga nr. 7a av del A till slutkonsumenten för konsumtion av livsmedel och drycker på en annan plats än försäljningsstället är skyldiga att</w:t>
      </w:r>
    </w:p>
    <w:p w14:paraId="6B0D7612" w14:textId="09366D08" w:rsidR="002935BB" w:rsidRPr="00685D9C" w:rsidRDefault="003424C7"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 tillhandahålla dem mot betalning; den ska informera slutkonsumenten om detta;</w:t>
      </w:r>
    </w:p>
    <w:p w14:paraId="7E778D37"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 erbjuda ett återanvändbart alternativ till slutkonsumenten; eller</w:t>
      </w:r>
    </w:p>
    <w:p w14:paraId="4B7180C6" w14:textId="32FF0945"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c) erbjuda ett biologiskt nedbrytbart alternativ.</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w:t>
      </w:r>
      <w:r>
        <w:rPr>
          <w:sz w:val="24"/>
          <w:rFonts w:ascii="Times New Roman" w:hAnsi="Times New Roman"/>
        </w:rPr>
        <w:tab/>
      </w:r>
      <w:r>
        <w:rPr>
          <w:sz w:val="24"/>
          <w:rFonts w:ascii="Times New Roman" w:hAnsi="Times New Roman"/>
        </w:rPr>
        <w:t xml:space="preserve">Följande får inte lämnas till konsumenterna för konsumtion av livsmedel och drycker på försäljningsstället:</w:t>
      </w:r>
    </w:p>
    <w:p w14:paraId="78ACCB5C"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 engångsplastprodukter i permanenta anläggningar för offentlig mat eller tillhandahållande av snabbmat;</w:t>
      </w:r>
    </w:p>
    <w:p w14:paraId="18028482"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 engångsartiklar av plast vid offentliga evenemang.</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sz w:val="24"/>
          <w:szCs w:val="24"/>
          <w:rFonts w:ascii="Times New Roman" w:hAnsi="Times New Roman" w:cs="Times New Roman"/>
        </w:rPr>
      </w:pPr>
      <w:r>
        <w:rPr>
          <w:sz w:val="24"/>
          <w:rFonts w:ascii="Times New Roman" w:hAnsi="Times New Roman"/>
        </w:rPr>
        <w:t xml:space="preserve">(3) </w:t>
      </w:r>
      <w:r>
        <w:rPr>
          <w:sz w:val="24"/>
          <w:rFonts w:ascii="Times New Roman" w:hAnsi="Times New Roman"/>
        </w:rPr>
        <w:tab/>
      </w:r>
      <w:r>
        <w:rPr>
          <w:sz w:val="24"/>
          <w:rFonts w:ascii="Times New Roman" w:hAnsi="Times New Roman"/>
        </w:rPr>
        <w:t xml:space="preserve">Utöver förbudet i paragraf 2(b) är organisatören av ett offentligt evenemang skyldig att tillhandahålla biologiskt nedbrytbara produkter för att säkerställa att de samlas in separat.</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 </w:t>
      </w:r>
      <w:r>
        <w:rPr>
          <w:sz w:val="24"/>
          <w:rFonts w:ascii="Times New Roman" w:hAnsi="Times New Roman"/>
        </w:rPr>
        <w:tab/>
      </w:r>
      <w:r>
        <w:rPr>
          <w:sz w:val="24"/>
          <w:rFonts w:ascii="Times New Roman" w:hAnsi="Times New Roman"/>
        </w:rPr>
        <w:t xml:space="preserve">Den tillverkare av plastprodukter för engångsbruk som förtecknas i bilaga 7a, del A ska föra och upprätthålla ett register över enskilda produkter som släppts ut på marknaden i Slovakien och rapportera uppgifter från detta till ministeriet i angiven omfattning samt bevara de rapporterade uppgifterna.</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sz w:val="24"/>
          <w:szCs w:val="24"/>
          <w:rFonts w:ascii="Times New Roman" w:hAnsi="Times New Roman" w:cs="Times New Roman"/>
        </w:rPr>
      </w:pPr>
      <w:r>
        <w:rPr>
          <w:sz w:val="24"/>
          <w:rFonts w:ascii="Times New Roman" w:hAnsi="Times New Roman"/>
        </w:rPr>
        <w:t xml:space="preserve">(5) Tillverkaren av en plastprodukt för engångsbruk som förtecknas i bilaga 7a, del A, ska utarbeta en rapport om de åtgärder som vidtagits för att minska förbrukningen och underrätta ministeriet senast den 30 april om de framsteg som gjorts när det gäller att minska förbrukningen.</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Det är förbjudet att släppa ut de plastprodukter för engångsbruk som förtecknas i bilaga 7a, del B och oxonedbrytbar plast på marknaden i Slovakien.</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 75d</w:t>
      </w:r>
    </w:p>
    <w:p w14:paraId="73875FA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Produktkrav</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Tillverkaren av en plastprodukt för engångsbruk är skyldig att släppa ut på marknaden de dryckesbehållare i Slovakien som förtecknas i bilaga 7a, del C, förutsatt att locken av plast förblir fastsatta på dryckesbehållaren under den avsedda användningen av produkten.</w:t>
      </w:r>
    </w:p>
    <w:p w14:paraId="38E62E2E" w14:textId="3C71CE89" w:rsidR="002935BB" w:rsidRPr="00005F47" w:rsidRDefault="002935BB" w:rsidP="00005F47">
      <w:pPr>
        <w:ind w:left="284"/>
        <w:jc w:val="both"/>
        <w:rPr>
          <w:sz w:val="24"/>
          <w:szCs w:val="24"/>
          <w:rFonts w:ascii="Times New Roman" w:hAnsi="Times New Roman" w:cs="Times New Roman"/>
        </w:rPr>
      </w:pPr>
      <w:r>
        <w:rPr>
          <w:sz w:val="24"/>
          <w:rFonts w:ascii="Times New Roman" w:hAnsi="Times New Roman"/>
        </w:rPr>
        <w:t xml:space="preserve">(2) Dryckesbehållare som förtecknas i bilaga 7a, del C och som tillverkats i enlighet med harmoniserade standarder, till vilka hänvisningen har offentliggjorts i Europeiska unionens officiella tidning, ska betraktas som dryckesbehållare i enlighet med kravet i paragraf 1.</w:t>
      </w:r>
    </w:p>
    <w:p w14:paraId="4B46B885" w14:textId="1823A947" w:rsidR="002935BB" w:rsidRDefault="002935BB" w:rsidP="00005F47">
      <w:pPr>
        <w:pStyle w:val="ListParagraph"/>
        <w:ind w:left="284"/>
        <w:jc w:val="both"/>
        <w:rPr>
          <w:sz w:val="24"/>
          <w:szCs w:val="24"/>
          <w:rFonts w:ascii="Times New Roman" w:hAnsi="Times New Roman" w:cs="Times New Roman"/>
        </w:rPr>
      </w:pPr>
      <w:r>
        <w:rPr>
          <w:sz w:val="24"/>
          <w:rFonts w:ascii="Times New Roman" w:hAnsi="Times New Roman"/>
        </w:rPr>
        <w:t xml:space="preserve">(3) </w:t>
      </w:r>
      <w:r>
        <w:rPr>
          <w:sz w:val="24"/>
          <w:rFonts w:ascii="Times New Roman" w:hAnsi="Times New Roman"/>
        </w:rPr>
        <w:tab/>
      </w:r>
      <w:r>
        <w:rPr>
          <w:sz w:val="24"/>
          <w:rFonts w:ascii="Times New Roman" w:hAnsi="Times New Roman"/>
        </w:rPr>
        <w:t xml:space="preserve">Kapsyler eller lock av metall med plastförsegling anses inte vara gjorda av plast.</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sz w:val="24"/>
          <w:szCs w:val="24"/>
          <w:rFonts w:ascii="Times New Roman" w:hAnsi="Times New Roman" w:cs="Times New Roman"/>
        </w:rPr>
      </w:pPr>
      <w:r>
        <w:rPr>
          <w:sz w:val="24"/>
          <w:rFonts w:ascii="Times New Roman" w:hAnsi="Times New Roman"/>
        </w:rPr>
        <w:t xml:space="preserve">(4) Tillverkaren av en plastprodukt för engångsbruk som förtecknas i bilaga 7a, del F, är skyldig att släppa ut dryckesflaskor på marknaden i Slovakien</w:t>
      </w:r>
    </w:p>
    <w:p w14:paraId="70F1B7D8" w14:textId="77655DAE" w:rsidR="003362AE" w:rsidRPr="007B272F" w:rsidRDefault="002935BB" w:rsidP="00356034">
      <w:pPr>
        <w:spacing w:after="0"/>
        <w:ind w:left="284"/>
        <w:jc w:val="both"/>
        <w:rPr>
          <w:sz w:val="24"/>
          <w:szCs w:val="24"/>
          <w:rFonts w:ascii="Times New Roman" w:hAnsi="Times New Roman" w:cs="Times New Roman"/>
        </w:rPr>
      </w:pPr>
      <w:r>
        <w:rPr>
          <w:sz w:val="24"/>
          <w:rFonts w:ascii="Times New Roman" w:hAnsi="Times New Roman"/>
        </w:rPr>
        <w:t xml:space="preserve">a) tillverkade av PET som innehåller minst 25 % återvunnen plast från den totala mängden PET-flaskor som den släpper ut på marknaden i Slovakien;</w:t>
      </w:r>
    </w:p>
    <w:p w14:paraId="3805D416" w14:textId="7180B412" w:rsidR="002935BB" w:rsidRDefault="003362AE" w:rsidP="002935BB">
      <w:pPr>
        <w:pStyle w:val="ListParagraph"/>
        <w:ind w:left="284"/>
        <w:jc w:val="both"/>
        <w:rPr>
          <w:sz w:val="24"/>
          <w:szCs w:val="24"/>
          <w:rFonts w:ascii="Times New Roman" w:hAnsi="Times New Roman" w:cs="Times New Roman"/>
        </w:rPr>
      </w:pPr>
      <w:r>
        <w:rPr>
          <w:sz w:val="24"/>
          <w:rFonts w:ascii="Times New Roman" w:hAnsi="Times New Roman"/>
        </w:rPr>
        <w:t xml:space="preserve">b) med en minimihalt på 30 % återvunnen plast från den totala mängden plastflaskor som den släpper ut på marknaden i Slovakien.</w:t>
      </w:r>
    </w:p>
    <w:p w14:paraId="4D2F3013" w14:textId="664C0A00" w:rsidR="002723AD" w:rsidRPr="002D6914" w:rsidRDefault="00736039" w:rsidP="000F1C91">
      <w:pPr>
        <w:ind w:left="284"/>
        <w:jc w:val="both"/>
        <w:rPr>
          <w:sz w:val="24"/>
          <w:szCs w:val="24"/>
          <w:rFonts w:ascii="Times New Roman" w:hAnsi="Times New Roman" w:cs="Times New Roman"/>
        </w:rPr>
      </w:pPr>
      <w:r>
        <w:rPr>
          <w:sz w:val="24"/>
          <w:rFonts w:ascii="Times New Roman" w:hAnsi="Times New Roman"/>
        </w:rPr>
        <w:t xml:space="preserve">(5) </w:t>
      </w:r>
      <w:r>
        <w:rPr>
          <w:sz w:val="24"/>
          <w:rFonts w:ascii="Times New Roman" w:hAnsi="Times New Roman"/>
        </w:rPr>
        <w:tab/>
      </w:r>
      <w:r>
        <w:rPr>
          <w:sz w:val="24"/>
          <w:rFonts w:ascii="Times New Roman" w:hAnsi="Times New Roman"/>
        </w:rPr>
        <w:t xml:space="preserve">Tillverkaren av en plastprodukt för engångsbruk ska lämna en rapport om innehållet i återvunnen plast enligt paragraf 4 till ministeriet senast den 30 april för det föregående kalenderåret. Denna skyldighet ska uppfyllas av en enhet enligt särskild lagstiftning när det gäller en förpackningstillverkare som släpper ut drycker på marknaden i returförpackningar för engångsbruk.</w:t>
      </w:r>
      <w:r>
        <w:rPr>
          <w:sz w:val="24"/>
          <w:vertAlign w:val="superscript"/>
          <w:rFonts w:ascii="Times New Roman" w:hAnsi="Times New Roman"/>
        </w:rPr>
        <w:t xml:space="preserve">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 75e</w:t>
      </w:r>
    </w:p>
    <w:p w14:paraId="051900F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Krav på märkning</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Tillverkaren av en plastprodukt för engångsbruk som förtecknas i bilaga 7a, del D, är innan den släpps ut på marknaden i Slovakien, skyldig att märka produkten med information till konsumenterna om</w:t>
      </w:r>
    </w:p>
    <w:p w14:paraId="0BF78385"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a) de lämpligaste sätten att bortskaffa produkten när den blir avfall i enlighet med avfallshanteringshierarkin;</w:t>
      </w:r>
    </w:p>
    <w:p w14:paraId="317D3B31"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b) förekomsten av plast i produkten och dess negativa miljöpåverkan när produkten blir avfall.</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w:t>
      </w:r>
      <w:r>
        <w:rPr>
          <w:sz w:val="24"/>
          <w:rFonts w:ascii="Times New Roman" w:hAnsi="Times New Roman"/>
        </w:rPr>
        <w:tab/>
      </w:r>
      <w:r>
        <w:rPr>
          <w:sz w:val="24"/>
          <w:rFonts w:ascii="Times New Roman" w:hAnsi="Times New Roman"/>
        </w:rPr>
        <w:t xml:space="preserve">Den märkning som avses i paragraf 1 ska anbringas på produktens förpackning eller på själva produkten på ett sådant sätt att den är betydande, läsbar och outplånlig.</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 Tillverkaren av en plastprodukt för engångsbruk som förtecknas i bilaga 7a, del D, är skyldig att säkerställa märkningen av förpackningen i enlighet med paragraf 1 i enlighet med specifikationerna enligt särskild lagstiftning.</w:t>
      </w:r>
      <w:r>
        <w:rPr>
          <w:sz w:val="24"/>
          <w:vertAlign w:val="superscript"/>
          <w:rFonts w:ascii="Times New Roman" w:hAnsi="Times New Roman"/>
        </w:rPr>
        <w:t xml:space="preserve">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sz w:val="24"/>
          <w:szCs w:val="24"/>
          <w:vertAlign w:val="superscript"/>
          <w:rFonts w:ascii="Times New Roman" w:hAnsi="Times New Roman" w:cs="Times New Roman"/>
        </w:rPr>
      </w:pPr>
      <w:r>
        <w:rPr>
          <w:sz w:val="24"/>
          <w:rFonts w:ascii="Times New Roman" w:hAnsi="Times New Roman"/>
        </w:rPr>
        <w:t xml:space="preserve">(4) </w:t>
      </w:r>
      <w:r>
        <w:rPr>
          <w:sz w:val="24"/>
          <w:rFonts w:ascii="Times New Roman" w:hAnsi="Times New Roman"/>
        </w:rPr>
        <w:tab/>
      </w:r>
      <w:r>
        <w:rPr>
          <w:sz w:val="24"/>
          <w:rFonts w:ascii="Times New Roman" w:hAnsi="Times New Roman"/>
        </w:rPr>
        <w:t xml:space="preserve">Den märkning av tobaksvaror som avses i paragraf 1 ska komplettera märkningen enligt särskild lagstiftning.</w:t>
      </w:r>
      <w:r>
        <w:rPr>
          <w:sz w:val="24"/>
          <w:vertAlign w:val="superscript"/>
          <w:rFonts w:ascii="Times New Roman" w:hAnsi="Times New Roman"/>
        </w:rPr>
        <w:t xml:space="preserve">96(g</w:t>
      </w:r>
      <w:r>
        <w:rPr>
          <w:sz w:val="24"/>
          <w:vertAlign w:val="superscript"/>
          <w:color w:val="7030A0"/>
          <w:rFonts w:ascii="Times New Roman" w:hAnsi="Times New Roman"/>
        </w:rPr>
        <w:t xml:space="preserve">)</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 75f</w:t>
      </w:r>
    </w:p>
    <w:p w14:paraId="41DB674C" w14:textId="28FB2454"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Utökat ansvar för tillverkaren av en särskild plastprodukt</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 Utöver skyldigheterna enligt punkterna 27 och 52, ska tillverkaren av en plastprodukt för engångsbruk som förtecknas i bilaga 7a, del E, avsnitt I, bära kostnaderna</w:t>
      </w:r>
    </w:p>
    <w:p w14:paraId="3A24F63C"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a) åtgärder för att öka medvetenheten om dess produkter som släpps ut på marknaden i Slovakien;</w:t>
      </w:r>
    </w:p>
    <w:p w14:paraId="37073616"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b) i samband med insamling, transport, återvinning, materialåtervinning, behandling och bortskaffande av avfallsprodukter;</w:t>
      </w:r>
    </w:p>
    <w:p w14:paraId="2AB2BF1D"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c) i samband med rengöring av skräp från dessa produkter i områden där de inte har kastats ut i lokala avfallsinsamlingssystem.</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 </w:t>
      </w:r>
      <w:r>
        <w:rPr>
          <w:sz w:val="24"/>
          <w:rFonts w:ascii="Times New Roman" w:hAnsi="Times New Roman"/>
        </w:rPr>
        <w:tab/>
      </w:r>
      <w:r>
        <w:rPr>
          <w:sz w:val="24"/>
          <w:rFonts w:ascii="Times New Roman" w:hAnsi="Times New Roman"/>
        </w:rPr>
        <w:t xml:space="preserve">Tillverkaren av tobaksvaror får vid tillämpningen av skyldigheten enligt paragraf 1(b) upprätta en särskild infrastruktur för insamling av avfall från dessa produkter.</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 Tillverkaren av en plastprodukt för engångsbruk som förtecknas i bilaga 7a, del E, avsnitten II och III, ska vara skyldig att</w:t>
      </w:r>
    </w:p>
    <w:p w14:paraId="2D327D0D" w14:textId="77777777"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a) bära kostnaderna för åtgärder för att öka medvetenheten om deras produkter som släpps ut på marknaden i Slovakien;</w:t>
      </w:r>
    </w:p>
    <w:p w14:paraId="42E9FCD9" w14:textId="7739658E"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b) bära kostnaderna för rengöring av skräp från dessa produkter i områden där de inte har kastats ut i lokala avfallsinsamlingssystem;</w:t>
      </w:r>
    </w:p>
    <w:p w14:paraId="249BE26C" w14:textId="6C44E120" w:rsidR="002935BB" w:rsidRPr="002935BB"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c) föra och upprätthålla ett register över produkter som släppts ut på marknaden i Slovakien och rapportera uppgifter från dem till ministeriet i angiven omfattning samt bevara de rapporterade uppgifterna.</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 Tillverkaren av en plastprodukt för engångsbruk som förtecknas i bilaga 7a, del E och fiskeredskap som innehåller plast, som har sitt verksamhetsställe eller sitt säte i Slovakien och säljer dessa produkter i en annan medlemsstat, ska utse en auktoriserad representant i den medlemsstaten för att fullgöra sina skyldigheter i fråga om dessa produkter.</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sz w:val="24"/>
          <w:szCs w:val="24"/>
          <w:rFonts w:ascii="Times New Roman" w:hAnsi="Times New Roman" w:cs="Times New Roman"/>
        </w:rPr>
      </w:pPr>
      <w:r>
        <w:rPr>
          <w:sz w:val="24"/>
          <w:rFonts w:ascii="Times New Roman" w:hAnsi="Times New Roman"/>
        </w:rPr>
        <w:t xml:space="preserve">(5) Tillverkaren av fiskeredskap som innehåller plast ska föra och upprätthålla ett register över de fiskeredskap som släppts ut på marknaden i Slovakien och rapportera uppgifter från detta till ministeriet och bevara de rapporterade uppgifterna.</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sz w:val="24"/>
          <w:szCs w:val="24"/>
          <w:rFonts w:ascii="Times New Roman" w:hAnsi="Times New Roman" w:cs="Times New Roman"/>
        </w:rPr>
      </w:pPr>
      <w:r>
        <w:rPr>
          <w:sz w:val="24"/>
          <w:rFonts w:ascii="Times New Roman" w:hAnsi="Times New Roman"/>
        </w:rPr>
        <w:t xml:space="preserve">§ 75g</w:t>
      </w:r>
    </w:p>
    <w:p w14:paraId="6D4B7840" w14:textId="1EE12720" w:rsidR="005F0AAD" w:rsidRPr="006D5B5C" w:rsidRDefault="005F0AAD" w:rsidP="006D5B5C">
      <w:pPr>
        <w:pStyle w:val="ListParagraph"/>
        <w:ind w:left="284"/>
        <w:jc w:val="center"/>
        <w:rPr>
          <w:sz w:val="24"/>
          <w:szCs w:val="24"/>
          <w:rFonts w:ascii="Times New Roman" w:hAnsi="Times New Roman" w:cs="Times New Roman"/>
        </w:rPr>
      </w:pPr>
      <w:r>
        <w:rPr>
          <w:sz w:val="24"/>
          <w:rFonts w:ascii="Times New Roman" w:hAnsi="Times New Roman"/>
        </w:rPr>
        <w:t xml:space="preserve">Ökad medvetenhet</w:t>
      </w:r>
    </w:p>
    <w:p w14:paraId="5BD5AF7A" w14:textId="490328B8" w:rsidR="005F0AAD" w:rsidRDefault="005F0AAD" w:rsidP="001504E0">
      <w:pPr>
        <w:spacing w:after="0"/>
        <w:ind w:left="284"/>
        <w:jc w:val="both"/>
        <w:rPr>
          <w:sz w:val="24"/>
          <w:szCs w:val="24"/>
          <w:rFonts w:ascii="Times New Roman" w:hAnsi="Times New Roman" w:cs="Times New Roman"/>
        </w:rPr>
      </w:pPr>
      <w:r>
        <w:rPr>
          <w:sz w:val="24"/>
          <w:rFonts w:ascii="Times New Roman" w:hAnsi="Times New Roman"/>
        </w:rPr>
        <w:t xml:space="preserve">Tillverkaren av en plastprodukt för engångsbruk som förtecknas i blaga 7a, del G och av fiskeredskap som innehåller plast ska informera och motivera slutanvändarna av plastprodukten för engångsbruk att uppträda ansvarsfullt för att minska miljöföroreningen från avfall från dessa produkter;</w:t>
      </w:r>
    </w:p>
    <w:p w14:paraId="2FB9BC48" w14:textId="77777777" w:rsidR="005F0AAD" w:rsidRDefault="005F0AAD" w:rsidP="00021C2E">
      <w:pPr>
        <w:pStyle w:val="ListParagraph"/>
        <w:numPr>
          <w:ilvl w:val="0"/>
          <w:numId w:val="44"/>
        </w:numPr>
        <w:ind w:left="567" w:hanging="141"/>
        <w:jc w:val="both"/>
        <w:rPr>
          <w:sz w:val="24"/>
          <w:szCs w:val="24"/>
          <w:rFonts w:ascii="Times New Roman" w:hAnsi="Times New Roman" w:cs="Times New Roman"/>
        </w:rPr>
      </w:pPr>
      <w:r>
        <w:rPr>
          <w:sz w:val="24"/>
          <w:rFonts w:ascii="Times New Roman" w:hAnsi="Times New Roman"/>
        </w:rPr>
        <w:t xml:space="preserve">att använda tillgängliga återanvändningsbara alternativ;</w:t>
      </w:r>
    </w:p>
    <w:p w14:paraId="6551814E" w14:textId="77777777" w:rsidR="002418BB" w:rsidRDefault="005F0AAD" w:rsidP="00021C2E">
      <w:pPr>
        <w:pStyle w:val="ListParagraph"/>
        <w:numPr>
          <w:ilvl w:val="0"/>
          <w:numId w:val="44"/>
        </w:numPr>
        <w:ind w:left="426" w:firstLine="0"/>
        <w:jc w:val="both"/>
        <w:rPr>
          <w:sz w:val="24"/>
          <w:szCs w:val="24"/>
          <w:rFonts w:ascii="Times New Roman" w:hAnsi="Times New Roman" w:cs="Times New Roman"/>
        </w:rPr>
      </w:pPr>
      <w:r>
        <w:rPr>
          <w:sz w:val="24"/>
          <w:rFonts w:ascii="Times New Roman" w:hAnsi="Times New Roman"/>
        </w:rPr>
        <w:t xml:space="preserve">ett korrekt sätt att bortskaffa produkter när de blir avfall;</w:t>
      </w:r>
    </w:p>
    <w:p w14:paraId="0378E24A" w14:textId="047862FF" w:rsidR="005F0AAD" w:rsidRPr="001C295A"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om konsekvenserna av olämpligt bortskaffande av avfall från engångsplastprodukter och fiskeredskap som innehåller plast på miljön;</w:t>
      </w:r>
    </w:p>
    <w:p w14:paraId="4905E25B" w14:textId="11B89784" w:rsidR="005F0AAD" w:rsidRPr="00F251C9"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om konsekvenserna för avloppsvatten av olämpligt bortskaffande av dessa produkter när de blir avfall.</w:t>
      </w:r>
    </w:p>
    <w:p w14:paraId="3374146F" w14:textId="7D485B67" w:rsidR="00A33902" w:rsidRPr="00A33902" w:rsidRDefault="00A33902" w:rsidP="00A33902">
      <w:pPr>
        <w:jc w:val="both"/>
        <w:rPr>
          <w:sz w:val="24"/>
          <w:szCs w:val="24"/>
          <w:rFonts w:ascii="Times New Roman" w:hAnsi="Times New Roman" w:cs="Times New Roman"/>
        </w:rPr>
      </w:pPr>
      <w:r>
        <w:rPr>
          <w:sz w:val="24"/>
          <w:rFonts w:ascii="Times New Roman" w:hAnsi="Times New Roman"/>
        </w:rPr>
        <w:t xml:space="preserve">Fotnoterna 96a–96e har följande lydelse:</w:t>
      </w:r>
    </w:p>
    <w:p w14:paraId="580DB477" w14:textId="1B1F2101" w:rsidR="00A33902" w:rsidRPr="00950A22" w:rsidRDefault="00084D29" w:rsidP="006317AD">
      <w:pPr>
        <w:spacing w:after="0"/>
        <w:jc w:val="both"/>
        <w:rPr>
          <w:color w:val="00B050"/>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96(a)</w:t>
      </w:r>
      <w:r>
        <w:rPr>
          <w:sz w:val="24"/>
          <w:rFonts w:ascii="Times New Roman" w:hAnsi="Times New Roman"/>
        </w:rPr>
        <w:t xml:space="preserve"> Artikel 2(1)(c) av förordning (EU) nr 1025/2012 av den 25 oktober 2012 om europeisk standardisering, om ändring av rådets direktiv 89/686/EEG och 93/15/EEG och direktiv 94/9/EG, 94/25/EG, 95/16/EG, 97/23/EG, 98/34/EG, 2004/22/EG, 2007/23/EG, 2009/23/EG och 2009/105/EG av Europaparlamentets och rådets och upphäva rådets beslut 87/95/EEG och beslut nr No 1673/2006/EG av Europaparlamentets och rådets (EUT L 316, 14.11.2012), i dess ändrade lydelse.</w:t>
      </w:r>
    </w:p>
    <w:p w14:paraId="12EEC785" w14:textId="466C3ABA" w:rsidR="00A33902" w:rsidRPr="00A33902" w:rsidRDefault="00ED384E"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96(b)</w:t>
      </w:r>
      <w:r>
        <w:rPr>
          <w:sz w:val="24"/>
          <w:rFonts w:ascii="Times New Roman" w:hAnsi="Times New Roman"/>
        </w:rPr>
        <w:t xml:space="preserve"> Artikel 4(1)(28) i Europaparlamentets och rådets förordning (EU) nr 1380/2013 av den 11 december 2013 om den gemensamma fiskeripolitiken, om ändring av rådets förordningar (EG) nr 1954/2003 och (EG) nr 1224/2009 och om upphävande av rådets förordningar (EG) nr 2371/2002 och (EG) nr 639/2004 samt rådets beslut 2004/585/EG (EUT L 354, 28.12.2013), i dess ändrade lydelse.</w:t>
      </w:r>
    </w:p>
    <w:p w14:paraId="6F4522EA" w14:textId="56306F75" w:rsidR="00A33902" w:rsidRPr="00A33902" w:rsidRDefault="00084D29"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96(c)</w:t>
      </w:r>
      <w:r>
        <w:rPr>
          <w:sz w:val="24"/>
          <w:rFonts w:ascii="Times New Roman" w:hAnsi="Times New Roman"/>
        </w:rPr>
        <w:t xml:space="preserve"> § 2(1)(c) i förordningen från Slovakiens regering nr 66/2007 om mottagningsanordningar i hamn för fartygsgenererat avfall och lastrester.</w:t>
      </w:r>
    </w:p>
    <w:p w14:paraId="5F67F6EB" w14:textId="024AF658" w:rsidR="00A33902" w:rsidRDefault="00A33902"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96(d)</w:t>
      </w:r>
      <w:r>
        <w:rPr>
          <w:sz w:val="24"/>
          <w:rFonts w:ascii="Times New Roman" w:hAnsi="Times New Roman"/>
        </w:rPr>
        <w:t xml:space="preserve"> § 2(3) i lag nr 89/2016 om produktion, märkning och försäljning av tobaksvaror och tobaksvaror samt om ändring av vissa lagar, ändrad genom lag nr 92/2019</w:t>
      </w:r>
    </w:p>
    <w:p w14:paraId="628E3594" w14:textId="52F2260F" w:rsidR="002846B7" w:rsidRDefault="002846B7"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96(e) </w:t>
      </w:r>
      <w:r>
        <w:rPr>
          <w:sz w:val="24"/>
          <w:rFonts w:ascii="Times New Roman" w:hAnsi="Times New Roman"/>
        </w:rPr>
        <w:t xml:space="preserve">§ 7(1)(v) i lag nr 302/2019 om ett system för retur av engångsdrycker och om ändring av vissa rättsakter.</w:t>
      </w:r>
    </w:p>
    <w:p w14:paraId="4475D248" w14:textId="279CE546" w:rsidR="00095700" w:rsidRPr="004900F7" w:rsidRDefault="002673B0" w:rsidP="006317AD">
      <w:pPr>
        <w:spacing w:after="0"/>
        <w:jc w:val="both"/>
        <w:rPr>
          <w:color w:val="7030A0"/>
          <w:sz w:val="24"/>
          <w:szCs w:val="24"/>
          <w:rFonts w:ascii="Times New Roman" w:hAnsi="Times New Roman" w:cs="Times New Roman"/>
        </w:rPr>
      </w:pPr>
      <w:r>
        <w:rPr>
          <w:sz w:val="24"/>
          <w:vertAlign w:val="superscript"/>
          <w:rFonts w:ascii="Times New Roman" w:hAnsi="Times New Roman"/>
        </w:rPr>
        <w:t xml:space="preserve">96(f)</w:t>
      </w:r>
      <w:r>
        <w:rPr>
          <w:sz w:val="24"/>
          <w:rFonts w:ascii="Times New Roman" w:hAnsi="Times New Roman"/>
        </w:rPr>
        <w:t xml:space="preserve"> Kommissionens genomförandeförordning (EU) 2020/2151 av den 17 december 2020 om fastställande av bestämmelser för harmoniserade märkningsspecifikationer för engångsplastprodukter som förtecknas i del D i bilagan till Europaparlamentets och rådets direktiv (EU) 2019/904 om minskning av vissa plastprodukters miljöpåverkan (EUT L 428, 18.12.2020).</w:t>
      </w:r>
    </w:p>
    <w:p w14:paraId="278576E2" w14:textId="4D40DABB" w:rsidR="0019590B" w:rsidRPr="002B09FD" w:rsidRDefault="002673B0" w:rsidP="00EB06D7">
      <w:pPr>
        <w:jc w:val="both"/>
        <w:rPr>
          <w:sz w:val="24"/>
          <w:szCs w:val="24"/>
          <w:rFonts w:ascii="Times New Roman" w:hAnsi="Times New Roman" w:cs="Times New Roman"/>
        </w:rPr>
      </w:pPr>
      <w:r>
        <w:rPr>
          <w:sz w:val="24"/>
          <w:vertAlign w:val="superscript"/>
          <w:rFonts w:ascii="Times New Roman" w:hAnsi="Times New Roman"/>
        </w:rPr>
        <w:t xml:space="preserve">96(g)</w:t>
      </w:r>
      <w:r>
        <w:rPr>
          <w:sz w:val="24"/>
          <w:rFonts w:ascii="Times New Roman" w:hAnsi="Times New Roman"/>
        </w:rPr>
        <w:t xml:space="preserve"> Lag nr 89/2016, ändrad genom lag nr 92/2019.'.</w:t>
      </w:r>
    </w:p>
    <w:p w14:paraId="64D51D19" w14:textId="7262C10B" w:rsidR="00C706F9" w:rsidRPr="00004A53" w:rsidRDefault="00D515A4" w:rsidP="00004A53">
      <w:pPr>
        <w:jc w:val="both"/>
        <w:rPr>
          <w:sz w:val="24"/>
          <w:szCs w:val="24"/>
          <w:rFonts w:ascii="Times New Roman" w:hAnsi="Times New Roman" w:cs="Times New Roman"/>
        </w:rPr>
      </w:pPr>
      <w:r>
        <w:rPr>
          <w:sz w:val="24"/>
          <w:rFonts w:ascii="Times New Roman" w:hAnsi="Times New Roman"/>
        </w:rPr>
        <w:t xml:space="preserve">6. I § 105(3) ska följande punkt ad) läggas till:</w:t>
      </w:r>
    </w:p>
    <w:p w14:paraId="4695CA4E" w14:textId="394555A0" w:rsidR="002F2363" w:rsidRPr="00746123" w:rsidRDefault="002F2363" w:rsidP="00746123">
      <w:pPr>
        <w:pStyle w:val="ListParagraph"/>
        <w:ind w:left="284"/>
        <w:jc w:val="both"/>
        <w:rPr>
          <w:sz w:val="24"/>
          <w:szCs w:val="24"/>
          <w:rFonts w:ascii="Times New Roman" w:hAnsi="Times New Roman" w:cs="Times New Roman"/>
        </w:rPr>
      </w:pPr>
      <w:r>
        <w:rPr>
          <w:sz w:val="24"/>
          <w:rFonts w:ascii="Times New Roman" w:hAnsi="Times New Roman"/>
        </w:rPr>
        <w:t xml:space="preserve">‘ad) De märkningsspecifikationer som avses i § 75e</w:t>
      </w:r>
      <w:r>
        <w:rPr>
          <w:sz w:val="24"/>
          <w:color w:val="00B050"/>
          <w:rFonts w:ascii="Times New Roman" w:hAnsi="Times New Roman"/>
        </w:rPr>
        <w:t xml:space="preserve">.</w:t>
      </w:r>
      <w:r>
        <w:rPr>
          <w:sz w:val="24"/>
          <w:rFonts w:ascii="Times New Roman" w:hAnsi="Times New Roman"/>
        </w:rPr>
        <w:t xml:space="preserve">’</w:t>
      </w:r>
    </w:p>
    <w:p w14:paraId="63BA70E3" w14:textId="5B80ED01" w:rsidR="00CB18BA" w:rsidRPr="00CB18BA" w:rsidRDefault="00D515A4" w:rsidP="00CB18BA">
      <w:pPr>
        <w:jc w:val="both"/>
        <w:rPr>
          <w:sz w:val="24"/>
          <w:szCs w:val="24"/>
          <w:rFonts w:ascii="Times New Roman" w:hAnsi="Times New Roman" w:cs="Times New Roman"/>
        </w:rPr>
      </w:pPr>
      <w:r>
        <w:rPr>
          <w:sz w:val="24"/>
          <w:rFonts w:ascii="Times New Roman" w:hAnsi="Times New Roman"/>
        </w:rPr>
        <w:t xml:space="preserve">7. I § 106(h), ska texten ‘§ 53a, § 73a’ ersättas med ‘§ 75c’.</w:t>
      </w:r>
    </w:p>
    <w:p w14:paraId="57253AE0" w14:textId="43EFE621"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8. I § 110(1)(a), ska texten ‘Avsnitt 53a’ utgå, orden ‘§ 73a och § 135g’ ska ersättas med ‘§ 75b, § 75c, § 75d, § 75e och § 135 g, § 135i’.</w:t>
      </w:r>
    </w:p>
    <w:p w14:paraId="5F398ABC" w14:textId="7103F407"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9. I § 111(6), ska orden ‘§ 53a och § 73a’ ersättas med ‘§ 75c’.</w:t>
      </w:r>
    </w:p>
    <w:p w14:paraId="54370237" w14:textId="4494D718" w:rsidR="00CE5B7D" w:rsidRPr="008B5EA5" w:rsidRDefault="00D515A4" w:rsidP="008B5EA5">
      <w:pPr>
        <w:spacing w:after="0" w:line="240" w:lineRule="auto"/>
        <w:jc w:val="both"/>
        <w:rPr>
          <w:sz w:val="24"/>
          <w:szCs w:val="24"/>
          <w:rFonts w:ascii="Times New Roman" w:hAnsi="Times New Roman" w:cs="Times New Roman"/>
        </w:rPr>
      </w:pPr>
      <w:r>
        <w:rPr>
          <w:sz w:val="24"/>
          <w:rFonts w:ascii="Times New Roman" w:hAnsi="Times New Roman"/>
        </w:rPr>
        <w:t xml:space="preserve">10.§ 117(6) har följande lydelse:</w:t>
      </w:r>
    </w:p>
    <w:p w14:paraId="5D5CDF9B" w14:textId="2FB2CFAA" w:rsidR="00CE5B7D" w:rsidRDefault="00CE5B7D" w:rsidP="008B5EA5">
      <w:pPr>
        <w:spacing w:after="0" w:line="240" w:lineRule="auto"/>
        <w:ind w:left="360"/>
        <w:jc w:val="both"/>
        <w:rPr>
          <w:sz w:val="24"/>
          <w:szCs w:val="24"/>
          <w:rFonts w:ascii="Times New Roman" w:hAnsi="Times New Roman" w:cs="Times New Roman"/>
        </w:rPr>
      </w:pPr>
      <w:r>
        <w:rPr>
          <w:sz w:val="24"/>
          <w:rFonts w:ascii="Times New Roman" w:hAnsi="Times New Roman"/>
        </w:rPr>
        <w:t xml:space="preserve">‘(6) Ett bötesbelopp på mellan 4 000 EUR och 350 000 EUR ska åläggas den berörda statliga myndigheten för avfallshantering av ett företag eller en enda näringsidkare som bryter mot skyldigheten enligt § 13;§ 16(5), (10); § 19(1)(f), § 21(2); § 21(3)(f), (g); § 25(1),(7); § 27(25); § 28(9)(e); § 31a(2), (6), (8); § 33; § 43; § 53(3); § 62(6); § 75c; § 75d; § 75e; § 75f; § 75g; § 76(4); § 79(16), (24); § 84(3), (5); § 135e(1), (2), (3), (4); § 135g.’.</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sz w:val="24"/>
          <w:szCs w:val="24"/>
          <w:rFonts w:ascii="Times New Roman" w:hAnsi="Times New Roman" w:cs="Times New Roman"/>
        </w:rPr>
      </w:pPr>
      <w:r>
        <w:rPr>
          <w:sz w:val="24"/>
          <w:rFonts w:ascii="Times New Roman" w:hAnsi="Times New Roman"/>
        </w:rPr>
        <w:t xml:space="preserve">11.I § 135 g, ska texten ‘del B’ införas efter ‘7a’.</w:t>
      </w:r>
    </w:p>
    <w:p w14:paraId="1C2108B2" w14:textId="0A1F2B84" w:rsidR="00D907DA" w:rsidRPr="004A5A61" w:rsidRDefault="00D515A4" w:rsidP="004A5A61">
      <w:pPr>
        <w:jc w:val="both"/>
        <w:rPr>
          <w:sz w:val="24"/>
          <w:szCs w:val="24"/>
          <w:rFonts w:ascii="Times New Roman" w:hAnsi="Times New Roman" w:cs="Times New Roman"/>
        </w:rPr>
      </w:pPr>
      <w:r>
        <w:rPr>
          <w:sz w:val="24"/>
          <w:rFonts w:ascii="Times New Roman" w:hAnsi="Times New Roman"/>
        </w:rPr>
        <w:t xml:space="preserve">12. Efter § 135h, införs en ny § 135i, som innehåller rubriken:</w:t>
      </w:r>
    </w:p>
    <w:p w14:paraId="3FD042DC" w14:textId="77777777"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 135i</w:t>
      </w:r>
    </w:p>
    <w:p w14:paraId="33A1DAF9" w14:textId="732EEBA2"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Övergångsbestämmelser för de ändringar som gäller från och med den 1 juli 2021</w:t>
      </w:r>
    </w:p>
    <w:p w14:paraId="1834D275" w14:textId="3E3D2A46" w:rsidR="00C05292" w:rsidRPr="00050D05" w:rsidRDefault="00D410EA" w:rsidP="00050D05">
      <w:pPr>
        <w:jc w:val="both"/>
        <w:rPr>
          <w:sz w:val="24"/>
          <w:szCs w:val="24"/>
          <w:rFonts w:ascii="Times New Roman" w:hAnsi="Times New Roman" w:cs="Times New Roman"/>
        </w:rPr>
      </w:pPr>
      <w:r>
        <w:rPr>
          <w:sz w:val="24"/>
          <w:rFonts w:ascii="Times New Roman" w:hAnsi="Times New Roman"/>
        </w:rPr>
        <w:t xml:space="preserve">Produkter som omfattas av märkningsskyldigheten enligt § 75e och som inte uppfyller kraven i denna lag får distribueras till och med den 31 januari 2022.</w:t>
      </w:r>
    </w:p>
    <w:p w14:paraId="167FFC92" w14:textId="1B6FAB39" w:rsidR="00EF1C19" w:rsidRPr="00863F57" w:rsidRDefault="004D6573" w:rsidP="00863F57">
      <w:pPr>
        <w:jc w:val="both"/>
        <w:rPr>
          <w:sz w:val="24"/>
          <w:szCs w:val="24"/>
          <w:rFonts w:ascii="Times New Roman" w:hAnsi="Times New Roman" w:cs="Times New Roman"/>
        </w:rPr>
      </w:pPr>
      <w:r>
        <w:rPr>
          <w:sz w:val="24"/>
          <w:rFonts w:ascii="Times New Roman" w:hAnsi="Times New Roman"/>
        </w:rPr>
        <w:t xml:space="preserve">13. Bilaga 7a, inklusive rubriken, har följande lydelse:</w:t>
      </w:r>
    </w:p>
    <w:p w14:paraId="47091DAB"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‘Bilaga 7a</w:t>
      </w:r>
    </w:p>
    <w:p w14:paraId="43C3FE8A"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till lag nr 79/2015</w:t>
      </w:r>
    </w:p>
    <w:p w14:paraId="5108D0AB"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A</w:t>
      </w:r>
    </w:p>
    <w:p w14:paraId="5A3A1679"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Plastprodukter för engångsbruk vars förbrukning ska minskas</w:t>
      </w:r>
    </w:p>
    <w:p w14:paraId="017CFE7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Dryckeskoppar, inklusive deras lock;</w:t>
      </w:r>
    </w:p>
    <w:p w14:paraId="333A10C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2.Livsmedelsbehållare, dvs. behållare, t.ex. askar, med eller utan lock, för livsmedel som är</w:t>
      </w:r>
    </w:p>
    <w:p w14:paraId="55A1EF44" w14:textId="5B7BF07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avsedda för omedelbar konsumtion antingen på försäljningsstället eller på ett annat ställe än försäljningsstället;</w:t>
      </w:r>
    </w:p>
    <w:p w14:paraId="4064F4A8"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vanligtvis konsumeras från denna behållare; och</w:t>
      </w:r>
    </w:p>
    <w:p w14:paraId="7C0AB73B"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är redo att konsumeras utan någon ytterligare beredning, såsom tillagning, kokning eller uppvärmning;</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inklusive livsmedelsbehållare som används för snabbmat eller andra måltider som är avsedda att konsumeras direkt, utom dryckesbehållare, tallrikar och paket och omslag som innehåller livsmedel.</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B</w:t>
      </w:r>
    </w:p>
    <w:p w14:paraId="787F5938"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Det är förbjudet att släppa ut dessa plastprodukter för engångsbruk på marknaden i Slovakien</w:t>
      </w:r>
    </w:p>
    <w:p w14:paraId="488EAFE1" w14:textId="7D9B6CDC" w:rsidR="0030613E"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1. bomullspinnar som inte omfattas av särskild lagstiftning</w:t>
      </w:r>
      <w:r>
        <w:rPr>
          <w:sz w:val="24"/>
          <w:vertAlign w:val="superscript"/>
          <w:rFonts w:ascii="Times New Roman" w:hAnsi="Times New Roman"/>
        </w:rPr>
        <w:t xml:space="preserve">162)</w:t>
      </w:r>
    </w:p>
    <w:p w14:paraId="24FE325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2. bestick (gafflar, knivar, skedar, ätpinnar);</w:t>
      </w:r>
    </w:p>
    <w:p w14:paraId="46DEFBA4"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3. tallrikar;</w:t>
      </w:r>
    </w:p>
    <w:p w14:paraId="7368A4F5" w14:textId="7259A08A"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4. sugrör som inte omfattas av särskild lagstiftning;</w:t>
      </w:r>
      <w:r>
        <w:rPr>
          <w:sz w:val="24"/>
          <w:vertAlign w:val="superscript"/>
          <w:rFonts w:ascii="Times New Roman" w:hAnsi="Times New Roman"/>
        </w:rPr>
        <w:t xml:space="preserve">162)</w:t>
      </w:r>
    </w:p>
    <w:p w14:paraId="108D37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5. omrörare för drycker;</w:t>
      </w:r>
    </w:p>
    <w:p w14:paraId="14A2836D" w14:textId="2029981C"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6. pinnar som ska fästas vid och bära upp ballonger, utom ballonger för industriella eller andra yrkesmässiga användningar och tillämpningar som inte distribueras till konsumenter, inklusive mekanismerna i sådana pinnar;</w:t>
      </w:r>
    </w:p>
    <w:p w14:paraId="399898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7. livsmedelsbehållare tillverkade av expanderad polystyren, dvs. behållare såsom lådor, med eller utan lock, för livsmedel som är</w:t>
      </w:r>
    </w:p>
    <w:p w14:paraId="2E2AF71F" w14:textId="7430B724"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a) avsedda för omedelbar konsumtion antingen på försäljningsstället eller på ett annat ställe än försäljningsstället;</w:t>
      </w:r>
    </w:p>
    <w:p w14:paraId="41572366"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b) vanligtvis konsumeras från denna behållare; och</w:t>
      </w:r>
    </w:p>
    <w:p w14:paraId="46F5D04E"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c) är redo att konsumeras utan någon ytterligare beredning, såsom tillagning, kokning eller uppvärmning;</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sz w:val="24"/>
          <w:szCs w:val="24"/>
          <w:rFonts w:ascii="Times New Roman" w:hAnsi="Times New Roman" w:cs="Times New Roman"/>
        </w:rPr>
      </w:pPr>
      <w:r>
        <w:rPr>
          <w:sz w:val="24"/>
          <w:rFonts w:ascii="Times New Roman" w:hAnsi="Times New Roman"/>
        </w:rPr>
        <w:t xml:space="preserve">inklusive livsmedelsbehållare som används för snabbmat eller andra måltider som är avsedda att konsumeras direkt, utom dryckesbehållare, tallrikar och paket och omslag som innehåller livsmedel;</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8.dryckesbehållare av expanderad polystyren, inklusive lock;</w:t>
      </w:r>
    </w:p>
    <w:p w14:paraId="267F661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 koppar för dryck av expanderad polystyren, inklusive lock.</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C</w:t>
      </w:r>
    </w:p>
    <w:p w14:paraId="4EF86F86" w14:textId="01FDE04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Engångsplastprodukter som får släppas ut på marknaden i enlighet med kraven i lagen § 75d(1)</w:t>
      </w:r>
    </w:p>
    <w:p w14:paraId="2BDB5783"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Behållare för drycker på högst tre liter, dvs. behållare för vätskor såsom dryckesflaskor, inklusive lock, samt behållare för sammansatta drycker, inklusive lock, men med undantag av följande:</w:t>
      </w:r>
    </w:p>
    <w:p w14:paraId="18B90712" w14:textId="65FABB53"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behållare av glas eller metall med lock av plast;</w:t>
      </w:r>
    </w:p>
    <w:p w14:paraId="55A67A64" w14:textId="7FD3C44A" w:rsidR="009C5E25" w:rsidRDefault="00CE5B7D" w:rsidP="00AA0D35">
      <w:pPr>
        <w:pStyle w:val="ListParagraph"/>
        <w:ind w:left="567"/>
        <w:jc w:val="both"/>
        <w:rPr>
          <w:sz w:val="24"/>
          <w:szCs w:val="24"/>
          <w:vertAlign w:val="superscript"/>
          <w:rFonts w:ascii="Times New Roman" w:hAnsi="Times New Roman" w:cs="Times New Roman"/>
        </w:rPr>
      </w:pPr>
      <w:r>
        <w:rPr>
          <w:sz w:val="24"/>
          <w:rFonts w:ascii="Times New Roman" w:hAnsi="Times New Roman"/>
        </w:rPr>
        <w:t xml:space="preserve">b) dryckesbehållare som är avsedda och används som livsmedel för särskilda medicinska ändamål i flytande form, med förbehåll för särskild lagstiftning.</w:t>
      </w:r>
      <w:r>
        <w:rPr>
          <w:sz w:val="24"/>
          <w:vertAlign w:val="superscript"/>
          <w:rFonts w:ascii="Times New Roman" w:hAnsi="Times New Roman"/>
        </w:rPr>
        <w:t xml:space="preserve">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D</w:t>
      </w:r>
    </w:p>
    <w:p w14:paraId="4D6969EF" w14:textId="1D5EAB35"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Engångsplastprodukter som ska uppfylla märkningskravet enligt § 75e i lagen</w:t>
      </w:r>
    </w:p>
    <w:p w14:paraId="6011CCF7"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1.Bindor, tamponger och tampong applikatorer;</w:t>
      </w:r>
    </w:p>
    <w:p w14:paraId="25F1031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Våtservetter, dvs. förfuktade personliga hygienservetter och hushållsservetter;</w:t>
      </w:r>
    </w:p>
    <w:p w14:paraId="2A10374A"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Tobaksvaror som innehåller filter och filter som säljs för användning i kombination med tobaksvaror;</w:t>
      </w:r>
    </w:p>
    <w:p w14:paraId="1117D02C" w14:textId="0B7A4053" w:rsidR="00FE7E5D" w:rsidRPr="00CE23DF" w:rsidRDefault="00CE5B7D" w:rsidP="00CE23DF">
      <w:pPr>
        <w:pStyle w:val="ListParagraph"/>
        <w:ind w:left="284"/>
        <w:jc w:val="both"/>
        <w:rPr>
          <w:sz w:val="24"/>
          <w:szCs w:val="24"/>
          <w:rFonts w:ascii="Times New Roman" w:hAnsi="Times New Roman" w:cs="Times New Roman"/>
        </w:rPr>
      </w:pPr>
      <w:r>
        <w:rPr>
          <w:sz w:val="24"/>
          <w:rFonts w:ascii="Times New Roman" w:hAnsi="Times New Roman"/>
        </w:rPr>
        <w:t xml:space="preserve">4. dryckeskoppar.</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E</w:t>
      </w:r>
    </w:p>
    <w:p w14:paraId="12B16A4A" w14:textId="6C02E21C"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 Plastprodukter för engångsbruk som omfattas av § 75f(1) och (4) i lagen</w:t>
      </w:r>
    </w:p>
    <w:p w14:paraId="3B475B1F"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1.Livsmedelsbehållare, dvs. behållare, t.ex. askar, med eller utan lock, för livsmedel som är</w:t>
      </w:r>
    </w:p>
    <w:p w14:paraId="3B7F7D9E" w14:textId="5EF14055"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avsedda för omedelbar konsumtion antingen på försäljningsstället eller på ett annat ställe än försäljningsstället;</w:t>
      </w:r>
    </w:p>
    <w:p w14:paraId="2502E992"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vanligtvis konsumeras från denna behållare; och</w:t>
      </w:r>
    </w:p>
    <w:p w14:paraId="7BC75157"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är redo att konsumeras utan någon ytterligare beredning, såsom tillagning, kokning eller uppvärmning;</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inklusive livsmedelsbehållare som används för snabbmat eller andra måltider som är avsedda att konsumeras direkt, utom dryckesbehållare, tallrikar och paket och omslag som innehåller livsmedel;</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förpackningar och omslag tillverkade av flexibelt material som innehåller livsmedel som är avsedda för omedelbar konsumtion från förpackningen eller omslaget utan vidare beredning;</w:t>
      </w:r>
    </w:p>
    <w:p w14:paraId="4DC8407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 dryckesbehållare med en volym på upp till tre liter, dvs. behållare som innehåller vätska, t.ex. dryckesflaskor inklusive kapsyler och lock till dessa, samt sammansatta dryckesförpackningar inklusive kapsyler och lock till sådana drycker, men inte behållare av glas eller metall som har plastkapslar och plastlock;</w:t>
      </w:r>
    </w:p>
    <w:p w14:paraId="165D974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 dryckeskoppar, inklusive lock till dessa;</w:t>
      </w:r>
    </w:p>
    <w:p w14:paraId="1F806EC8"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 lätta plastbärkassar.</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 Plastprodukter för engångsbruk som omfattas av § 75f(1), (3) och (4) i lagen</w:t>
      </w:r>
    </w:p>
    <w:p w14:paraId="711ABDE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 Våtservetter, d.v.s. förfuktade personliga hygienservetter och hushållsservetter;</w:t>
      </w:r>
    </w:p>
    <w:p w14:paraId="29F53266" w14:textId="2188E952" w:rsidR="00CE5B7D" w:rsidRPr="00CE5B7D" w:rsidRDefault="00C71384"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ballonger, utom ballonger för industriellt eller annat yrkesmässigt bruk och tillämpningar som inte distribueras till konsumenter.</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III. Andra plastprodukter för engångsbruk som omfattas av § 75f(1) till (4) lagen</w:t>
      </w:r>
    </w:p>
    <w:p w14:paraId="0A18E7C0" w14:textId="2CB2F08D" w:rsidR="0042285D" w:rsidRPr="00261109" w:rsidRDefault="00CE5B7D" w:rsidP="00261109">
      <w:pPr>
        <w:pStyle w:val="ListParagraph"/>
        <w:ind w:left="284"/>
        <w:jc w:val="both"/>
        <w:rPr>
          <w:sz w:val="24"/>
          <w:szCs w:val="24"/>
          <w:rFonts w:ascii="Times New Roman" w:hAnsi="Times New Roman" w:cs="Times New Roman"/>
        </w:rPr>
      </w:pPr>
      <w:r>
        <w:rPr>
          <w:sz w:val="24"/>
          <w:rFonts w:ascii="Times New Roman" w:hAnsi="Times New Roman"/>
        </w:rPr>
        <w:t xml:space="preserve">Tobaksvaror som innehåller filter och filter som säljs för användning i kombination med tobaksvaror.</w:t>
      </w:r>
    </w:p>
    <w:p w14:paraId="5BBC0E4C" w14:textId="20B63B9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F</w:t>
      </w:r>
    </w:p>
    <w:p w14:paraId="587D522C" w14:textId="5F931C3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Engångsplastprodukter som får släppas ut på marknaden i enlighet med kravet i § 75d(4) lagen</w:t>
      </w:r>
    </w:p>
    <w:p w14:paraId="5AC656A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Dryckesflaskor på upp till tre liter inklusive lock, med undantag av:</w:t>
      </w:r>
    </w:p>
    <w:p w14:paraId="05F6F108" w14:textId="2AC45B9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a) flaskor av glas eller metall med lock och lock av plast;</w:t>
      </w:r>
    </w:p>
    <w:p w14:paraId="6D89616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 dryckesflaskor som är avsedda och används som livsmedel för särskilda medicinska ändamål i flytande form och som omfattas av särskild lagstiftning,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DEL G</w:t>
      </w:r>
    </w:p>
    <w:p w14:paraId="76419B97"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Plastprodukter för engångsbruk som omfattas av § 75g i lagen</w:t>
      </w:r>
    </w:p>
    <w:p w14:paraId="4DFADB14" w14:textId="2F17C056"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Livsmedelsbehållare, dvs. behållare, t.ex. askar, med eller utan lock, för livsmedel som är</w:t>
      </w:r>
    </w:p>
    <w:p w14:paraId="2BB36569" w14:textId="49FA7C6F"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a) avsedda för omedelbar konsumtion antingen på försäljningsstället eller på ett annat ställe än försäljningsstället;</w:t>
      </w:r>
    </w:p>
    <w:p w14:paraId="1C462A23" w14:textId="77777777"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b) vanligtvis konsumeras från denna behållare; och</w:t>
      </w:r>
    </w:p>
    <w:p w14:paraId="4ACB5502" w14:textId="77777777"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c) är redo att konsumeras utan någon ytterligare beredning, såsom tillagning, kokning eller uppvärmning;</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inklusive livsmedelsbehållare som används för snabbmat eller andra måltider som är avsedda att konsumeras direkt, utom dryckesbehållare, tallrikar och paket och omslag som innehåller livsmedel;</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 förpackningar och omslag tillverkade av flexibelt material som innehåller livsmedel som är avsedda för omedelbar konsumtion från förpackningen eller omslaget utan vidare beredning;</w:t>
      </w:r>
    </w:p>
    <w:p w14:paraId="0D5A2549"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 dryckesbehållare med en volym på upp till tre liter, dvs. behållare som innehåller vätska, t.ex. dryckesflaskor inklusive kapsyler och lock till dessa, samt sammansatta dryckesförpackningar inklusive kapsyler och lock till sådana drycker, men inte behållare av glas eller metall som har plastkapslar och plastlock;</w:t>
      </w:r>
    </w:p>
    <w:p w14:paraId="56551BE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 dryckeskoppar, inklusive lock till dessa;</w:t>
      </w:r>
    </w:p>
    <w:p w14:paraId="1A1B891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 tobaksvaror som innehåller filter och filter som säljs för användning i kombination med tobaksvaror;</w:t>
      </w:r>
    </w:p>
    <w:p w14:paraId="2D66898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6. våtservetter, d.v.s. förfuktade personliga hygienservetter och hushållsservetter;</w:t>
      </w:r>
    </w:p>
    <w:p w14:paraId="51B5C70B" w14:textId="2ABB9CC3"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7. ballonger, utom ballonger för industriellt eller annat yrkesmässigt bruk och tillämpningar som inte distribueras till konsumenter;</w:t>
      </w:r>
    </w:p>
    <w:p w14:paraId="45A1DF2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 lätta plastbärkassar;</w:t>
      </w:r>
    </w:p>
    <w:p w14:paraId="6DFA425D" w14:textId="77777777"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 bindor, tamponger och tampongapplikatorer.’.</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Fotnoterna 162 och 163 ska ha följande lydelse:</w:t>
      </w:r>
    </w:p>
    <w:p w14:paraId="7CCEB8C4" w14:textId="0443C8A6" w:rsidR="00CE5B7D" w:rsidRPr="00B94E91" w:rsidRDefault="00CE5B7D" w:rsidP="00B94E91">
      <w:pPr>
        <w:pStyle w:val="ListParagraph"/>
        <w:ind w:left="284"/>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162</w:t>
      </w:r>
      <w:r>
        <w:rPr>
          <w:sz w:val="24"/>
          <w:rFonts w:ascii="Times New Roman" w:hAnsi="Times New Roman"/>
        </w:rPr>
        <w:t xml:space="preserve">)Till exempel lag nr 362/2011 om läkemedel och medicintekniska produkter och om ändringar av vissa rättsakter, i dess ändrade lydelse, regulering av slovakiens regering nr 527/2008 om tekniska krav och förfaranden för bedömning av överensstämmelse för aktiva medicintekniska produkter för implantation.</w:t>
      </w:r>
    </w:p>
    <w:p w14:paraId="2830C4E9" w14:textId="06F7B66F" w:rsidR="00447238" w:rsidRDefault="00CE5B7D" w:rsidP="00AC1840">
      <w:pPr>
        <w:pStyle w:val="ListParagraph"/>
        <w:ind w:left="284"/>
        <w:jc w:val="both"/>
        <w:rPr>
          <w:color w:val="00B050"/>
          <w:sz w:val="24"/>
          <w:szCs w:val="24"/>
          <w:rFonts w:ascii="Times New Roman" w:hAnsi="Times New Roman" w:cs="Times New Roman"/>
        </w:rPr>
      </w:pPr>
      <w:r>
        <w:rPr>
          <w:sz w:val="24"/>
          <w:vertAlign w:val="superscript"/>
          <w:rFonts w:ascii="Times New Roman" w:hAnsi="Times New Roman"/>
        </w:rPr>
        <w:t xml:space="preserve">163)</w:t>
      </w:r>
      <w:r>
        <w:rPr>
          <w:sz w:val="24"/>
          <w:rFonts w:ascii="Times New Roman" w:hAnsi="Times New Roman"/>
        </w:rPr>
        <w:t xml:space="preserve"> Europaparlamentets och rådets förordning (EU) nr 609/2013 av den 12 juni 2013 om livsmedel avsedda för spädbarn och småbarn, livsmedel för speciella medicinska ändamål och total dietersättning för viktkontroll och om upphävande av rådets direktiv 92/52/EEG, kommissionens direktiv 96/8/EG, 1999/21/EG, 2006/125/EG och 2006/141/EG, Europaparlamentets och rådets direktiv 2009/39/EG och kommissionens förordningar (EG) nr 41/2009 (EG) nr 953/2009 (EUT L 181, 29.6.2013), i sin ändrade lydelse.'</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b/>
          <w:sz w:val="24"/>
          <w:szCs w:val="24"/>
          <w:rFonts w:ascii="Times New Roman" w:hAnsi="Times New Roman" w:cs="Times New Roman"/>
        </w:rPr>
      </w:pPr>
      <w:r>
        <w:rPr>
          <w:b/>
          <w:sz w:val="24"/>
          <w:rFonts w:ascii="Times New Roman" w:hAnsi="Times New Roman"/>
        </w:rPr>
        <w:t xml:space="preserve">Artikel II</w:t>
      </w:r>
    </w:p>
    <w:p w14:paraId="1AA08B5A" w14:textId="6566DC74" w:rsidR="00B77707" w:rsidRDefault="00B77707" w:rsidP="00B77707">
      <w:pPr>
        <w:pStyle w:val="ListParagraph"/>
        <w:ind w:left="0"/>
        <w:jc w:val="both"/>
        <w:rPr>
          <w:sz w:val="24"/>
          <w:szCs w:val="24"/>
          <w:rFonts w:ascii="Times New Roman" w:hAnsi="Times New Roman" w:cs="Times New Roman"/>
        </w:rPr>
      </w:pPr>
      <w:r>
        <w:rPr>
          <w:sz w:val="24"/>
          <w:rFonts w:ascii="Times New Roman" w:hAnsi="Times New Roman"/>
        </w:rPr>
        <w:t xml:space="preserve">Lag nr 302/2019 om ett system för retur av engångsförpackningar för drycker och om ändring av vissa rättsakter i dess lydelse enligt lag nr 74/2020 och lag nr 285/2020 ska ändras på följande sätt:</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1. I § 4(1)(h) ska orden ‘(l) och (m)’ ersättas med ‘(l), (m) och (v)’.</w:t>
      </w:r>
    </w:p>
    <w:p w14:paraId="3F9695AA" w14:textId="42E59A67" w:rsidR="00932A46" w:rsidRPr="003206A3" w:rsidRDefault="00D41AEB"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2. I § 7(1) ska följande punkt v) läggas till:</w:t>
      </w:r>
    </w:p>
    <w:p w14:paraId="61696424" w14:textId="21540FDE" w:rsidR="00932A46" w:rsidRPr="003206A3" w:rsidRDefault="00932A46" w:rsidP="003206A3">
      <w:pPr>
        <w:spacing w:after="0" w:line="240" w:lineRule="auto"/>
        <w:jc w:val="both"/>
        <w:rPr>
          <w:sz w:val="24"/>
          <w:szCs w:val="24"/>
          <w:rFonts w:ascii="Times New Roman" w:hAnsi="Times New Roman" w:cs="Times New Roman"/>
        </w:rPr>
      </w:pPr>
      <w:r>
        <w:rPr>
          <w:sz w:val="24"/>
          <w:rFonts w:ascii="Times New Roman" w:hAnsi="Times New Roman"/>
        </w:rPr>
        <w:t xml:space="preserve">‘(v) rapporter till ministeriet om innehållet i återvunnen plast i produkter i enlighet med en förpackningstillverkares skyldigheter enligt särskild lagstiftning;</w:t>
      </w:r>
      <w:r>
        <w:rPr>
          <w:sz w:val="24"/>
          <w:vertAlign w:val="superscript"/>
          <w:rFonts w:ascii="Times New Roman" w:hAnsi="Times New Roman"/>
        </w:rPr>
        <w:t xml:space="preserve">11(a)</w:t>
      </w:r>
      <w:r>
        <w:rPr>
          <w:sz w:val="24"/>
          <w:rFonts w:ascii="Times New Roman" w:hAnsi="Times New Roman"/>
        </w:rPr>
        <w:t xml:space="preserve"> senast den 30 april för det föregående kalenderåret.’.</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sz w:val="24"/>
          <w:szCs w:val="24"/>
          <w:rFonts w:ascii="Times New Roman" w:hAnsi="Times New Roman" w:cs="Times New Roman"/>
        </w:rPr>
      </w:pPr>
      <w:r>
        <w:rPr>
          <w:sz w:val="24"/>
          <w:rFonts w:ascii="Times New Roman" w:hAnsi="Times New Roman"/>
        </w:rPr>
        <w:t xml:space="preserve">Fotnot 11a ska lyda enligt följande:</w:t>
      </w:r>
    </w:p>
    <w:p w14:paraId="59087F8B" w14:textId="3A7F85E1" w:rsidR="00C57636" w:rsidRDefault="00F272AA" w:rsidP="005677D4">
      <w:pPr>
        <w:spacing w:after="0" w:line="240" w:lineRule="auto"/>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11(a)</w:t>
      </w:r>
      <w:r>
        <w:rPr>
          <w:sz w:val="24"/>
          <w:rFonts w:ascii="Times New Roman" w:hAnsi="Times New Roman"/>
        </w:rPr>
        <w:t xml:space="preserve"> § 75d(4), och (5) i lag nr 79/2015 om avfall och om ändringar av vissa rättsakter i dess ändrade lydelse.’</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3. I § 13(j), ska texten ‘och (u)’ ersättas med ‘(u) och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4.Den befintliga texten i bilaga 2 ska märkas som punkt ett och följande punkt två ska läggas till:</w:t>
      </w:r>
    </w:p>
    <w:p w14:paraId="694F0BF0" w14:textId="77777777" w:rsidR="00B77707" w:rsidRPr="00E61F9E" w:rsidRDefault="00B77707" w:rsidP="00B77707">
      <w:pPr>
        <w:pStyle w:val="NormalWeb"/>
        <w:spacing w:before="0" w:beforeAutospacing="0" w:after="0" w:afterAutospacing="0"/>
        <w:jc w:val="both"/>
      </w:pPr>
      <w:r>
        <w:t xml:space="preserve">‘2.Europaparlamentets och rådets direktiv (EU) 2019/904 av den 5 juni 2019 om minskning av vissa plastprodukters inverkan på miljön (EUT L 155,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b/>
          <w:sz w:val="24"/>
          <w:szCs w:val="24"/>
          <w:rFonts w:ascii="Times New Roman" w:hAnsi="Times New Roman" w:cs="Times New Roman"/>
        </w:rPr>
      </w:pPr>
      <w:r>
        <w:rPr>
          <w:b/>
          <w:sz w:val="24"/>
          <w:rFonts w:ascii="Times New Roman" w:hAnsi="Times New Roman"/>
        </w:rPr>
        <w:t xml:space="preserve">Artikel III</w:t>
      </w:r>
    </w:p>
    <w:p w14:paraId="0A0AAD3A" w14:textId="4167D528" w:rsidR="001A5612" w:rsidRPr="00145A83" w:rsidRDefault="001A5612" w:rsidP="00145A83">
      <w:pPr>
        <w:jc w:val="both"/>
        <w:rPr>
          <w:sz w:val="24"/>
          <w:szCs w:val="24"/>
          <w:rFonts w:ascii="Times New Roman" w:hAnsi="Times New Roman" w:cs="Times New Roman"/>
        </w:rPr>
      </w:pPr>
      <w:r>
        <w:rPr>
          <w:sz w:val="24"/>
          <w:rFonts w:ascii="Times New Roman" w:hAnsi="Times New Roman"/>
        </w:rPr>
        <w:t xml:space="preserve">Denna akt träder i kraft den 3 juli 2021, med undantag av artikel I punkt 3, som träder i kraft den 1 januari 2022, artikel I punkt 5 § 75f, som träder i kraft den 1 januari 2023, artikel I punkt 75d(1), som träder i kraft den 3 juli 2024, artikel I punkt 5 § 75d(4)(a), som träder i kraft den 1 januari 2025 och artikel I punkt 5 § 75d(4)(b), som träder i kraft den 1 januari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3762" w14:textId="77777777" w:rsidR="0026642C" w:rsidRDefault="0026642C" w:rsidP="009C76C7">
      <w:pPr>
        <w:spacing w:after="0" w:line="240" w:lineRule="auto"/>
      </w:pPr>
      <w:r>
        <w:separator/>
      </w:r>
    </w:p>
  </w:endnote>
  <w:endnote w:type="continuationSeparator" w:id="0">
    <w:p w14:paraId="5F12A517" w14:textId="77777777" w:rsidR="0026642C" w:rsidRDefault="0026642C"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2F06" w14:textId="77777777" w:rsidR="0026642C" w:rsidRDefault="0026642C" w:rsidP="009C76C7">
      <w:pPr>
        <w:spacing w:after="0" w:line="240" w:lineRule="auto"/>
      </w:pPr>
      <w:r>
        <w:separator/>
      </w:r>
    </w:p>
  </w:footnote>
  <w:footnote w:type="continuationSeparator" w:id="0">
    <w:p w14:paraId="25F86B4D" w14:textId="77777777" w:rsidR="0026642C" w:rsidRDefault="0026642C"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3647</Words>
  <Characters>20791</Characters>
  <Application>Microsoft Office Word</Application>
  <DocSecurity>0</DocSecurity>
  <Lines>173</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189</cp:revision>
  <cp:lastPrinted>2021-03-11T06:47:00Z</cp:lastPrinted>
  <dcterms:created xsi:type="dcterms:W3CDTF">2021-03-09T13:09:00Z</dcterms:created>
  <dcterms:modified xsi:type="dcterms:W3CDTF">2021-04-27T08:49:00Z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