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7C448834" w:rsidR="00E30B60" w:rsidRDefault="00CB547F">
      <w:pPr>
        <w:spacing w:before="6"/>
        <w:ind w:left="105" w:right="225"/>
        <w:jc w:val="center"/>
        <w:rPr>
          <w:sz w:val="46"/>
        </w:rPr>
      </w:pP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674FFD">
        <w:rPr>
          <w:sz w:val="46"/>
        </w:rPr>
        <w:t xml:space="preserve"> </w:t>
      </w:r>
      <w:r>
        <w:rPr>
          <w:sz w:val="46"/>
        </w:rPr>
        <w:t xml:space="preserve">LOVSAMLING </w:t>
      </w:r>
    </w:p>
    <w:p w14:paraId="350B1BBF" w14:textId="77777777" w:rsidR="00E30B60" w:rsidRDefault="00CB547F">
      <w:pPr>
        <w:spacing w:before="66"/>
        <w:ind w:left="105" w:right="105"/>
        <w:jc w:val="center"/>
        <w:rPr>
          <w:sz w:val="34"/>
        </w:rPr>
      </w:pPr>
      <w:r>
        <w:rPr>
          <w:sz w:val="34"/>
        </w:rPr>
        <w:t>FOR DEN SLOVAKISKE REPUBLIK</w:t>
      </w:r>
    </w:p>
    <w:p w14:paraId="06343233" w14:textId="77777777" w:rsidR="00E30B60" w:rsidRDefault="00846F8C">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Bind 2021</w:t>
      </w:r>
    </w:p>
    <w:p w14:paraId="0B8D25E3" w14:textId="24A362E2" w:rsidR="00D0358C" w:rsidRDefault="00CB547F">
      <w:pPr>
        <w:tabs>
          <w:tab w:val="left" w:pos="4781"/>
        </w:tabs>
        <w:spacing w:before="38" w:line="403" w:lineRule="auto"/>
        <w:ind w:left="105" w:right="103"/>
        <w:jc w:val="center"/>
      </w:pPr>
      <w:r>
        <w:t>Offentliggjort: 26.11.2021</w:t>
      </w:r>
      <w:r w:rsidR="00674FFD">
        <w:tab/>
      </w:r>
      <w:r w:rsidR="00674FFD">
        <w:tab/>
      </w:r>
      <w:r w:rsidR="00674FFD">
        <w:tab/>
      </w:r>
      <w:r>
        <w:t>Tidsversion af gældende lovgivning fra:1.01.2030</w:t>
      </w:r>
    </w:p>
    <w:p w14:paraId="1B7690C4" w14:textId="22EA24A9" w:rsidR="00E30B60" w:rsidRDefault="00CB547F">
      <w:pPr>
        <w:tabs>
          <w:tab w:val="left" w:pos="4781"/>
        </w:tabs>
        <w:spacing w:before="38" w:line="403" w:lineRule="auto"/>
        <w:ind w:left="105" w:right="103"/>
        <w:jc w:val="center"/>
      </w:pPr>
      <w:r>
        <w:t xml:space="preserve"> Indholdet i dette dokument er juridisk bindende.</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L O V</w:t>
      </w:r>
    </w:p>
    <w:p w14:paraId="319B4591" w14:textId="77777777" w:rsidR="00E30B60" w:rsidRDefault="00CB547F">
      <w:pPr>
        <w:pStyle w:val="BodyText"/>
        <w:spacing w:before="60"/>
        <w:ind w:left="105" w:right="105"/>
        <w:jc w:val="center"/>
      </w:pPr>
      <w:r>
        <w:t>af 2. november 2021</w:t>
      </w:r>
    </w:p>
    <w:p w14:paraId="2CC89435" w14:textId="77777777" w:rsidR="00E30B60" w:rsidRDefault="00CB547F">
      <w:pPr>
        <w:pStyle w:val="BodyText"/>
        <w:spacing w:before="93" w:line="244" w:lineRule="auto"/>
        <w:ind w:left="1230" w:right="1228"/>
        <w:jc w:val="center"/>
        <w:rPr>
          <w:b/>
        </w:rPr>
      </w:pPr>
      <w:r>
        <w:rPr>
          <w:b/>
        </w:rPr>
        <w:t>om ændring af lov nr. 79/2015 om affald og om ændringer af visse love, som ændret, og om ændring af lov nr. 302/2019 om pantordning for drikkevareemballage til engangsbrug og om ændringer af visse love, som ændret</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Det slovakiske parlament har vedtaget følgende lov:</w:t>
      </w:r>
    </w:p>
    <w:p w14:paraId="5C1BC0D2" w14:textId="77777777" w:rsidR="00E30B60" w:rsidRDefault="00CB547F">
      <w:pPr>
        <w:pStyle w:val="BodyText"/>
        <w:spacing w:before="208"/>
        <w:ind w:left="105" w:right="105"/>
        <w:jc w:val="center"/>
        <w:rPr>
          <w:b/>
        </w:rPr>
      </w:pPr>
      <w:r>
        <w:rPr>
          <w:b/>
        </w:rPr>
        <w:t>Artikel I</w:t>
      </w:r>
    </w:p>
    <w:p w14:paraId="2FC10E75" w14:textId="4EC5C8BF" w:rsidR="00E30B60" w:rsidRDefault="00CB547F">
      <w:pPr>
        <w:pStyle w:val="BodyText"/>
        <w:spacing w:before="217" w:line="276" w:lineRule="auto"/>
        <w:ind w:left="105" w:right="103" w:firstLine="226"/>
        <w:jc w:val="both"/>
      </w:pPr>
      <w:r>
        <w:t>Lov nr. 79/2015 om affald og om ændringer af visse love, som ændret ved lov nr. 91/2016, lov nr. 313/2016, lov nr. 90/2017, lov nr. 292/2017, lov nr. 106/2018, lov nr. 177/2018, lov nr. 208/2018, lov nr. 312/2018, lov nr. 302/2019, lov nr. 364/2019, lov nr. 460/2019, lov nr. 74/2020, lov nr. 218/2020, lov nr. 285/2020, lov nr. 9/2021</w:t>
      </w:r>
    </w:p>
    <w:p w14:paraId="1C547400" w14:textId="235D3DB4" w:rsidR="00E30B60" w:rsidRDefault="00CB547F">
      <w:pPr>
        <w:pStyle w:val="BodyText"/>
        <w:spacing w:line="276" w:lineRule="auto"/>
        <w:ind w:left="105" w:right="193"/>
      </w:pPr>
      <w:r>
        <w:t>46/2021, lov nr. 128/2021, lov nr. 216/2021 og lov nr. 372/2021 ændres som følger:</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I § 27, stk. 1, ændres "syvende" til "ottende".</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I § 52 udgår stk. 29 og 30.</w:t>
      </w:r>
    </w:p>
    <w:p w14:paraId="731629A1" w14:textId="77777777" w:rsidR="00E30B60" w:rsidRDefault="00CB547F">
      <w:pPr>
        <w:pStyle w:val="BodyText"/>
        <w:spacing w:before="105"/>
        <w:ind w:left="729"/>
      </w:pPr>
      <w:r>
        <w:t>Stk. 31-35 omdøbes til stk. 29-33.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Efter § 53 indsættes § 53aa, der har følgende ordlyd:</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53aa</w:t>
      </w:r>
    </w:p>
    <w:p w14:paraId="78A7988B" w14:textId="0782E007" w:rsidR="00E30B60" w:rsidRDefault="00CB547F">
      <w:pPr>
        <w:pStyle w:val="BodyText"/>
        <w:spacing w:before="217" w:line="276" w:lineRule="auto"/>
        <w:ind w:left="502" w:right="193" w:firstLine="226"/>
      </w:pPr>
      <w:r>
        <w:t>Statslige forvaltningsorganer må ikke arrangere indkøb af drikkevarer, der købes i engangsemballage til deres aktiviteter.".</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53a udgår.</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 73a udgår.</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Efter § 75 indsættes et nyt afsnit otte, som med titlen lyder:</w:t>
      </w:r>
    </w:p>
    <w:p w14:paraId="2697A68C" w14:textId="77777777" w:rsidR="00E30B60" w:rsidRDefault="00CB547F">
      <w:pPr>
        <w:pStyle w:val="BodyText"/>
        <w:spacing w:before="208" w:line="302" w:lineRule="auto"/>
        <w:ind w:left="3793" w:right="3380" w:firstLine="657"/>
        <w:rPr>
          <w:b/>
        </w:rPr>
      </w:pPr>
      <w:r>
        <w:rPr>
          <w:b/>
        </w:rPr>
        <w:t>"Afsnit otte</w:t>
      </w:r>
      <w:r>
        <w:rPr>
          <w:b/>
        </w:rPr>
        <w:br/>
        <w:t>Specielle plastprodukter</w:t>
      </w:r>
    </w:p>
    <w:p w14:paraId="22DCFF1C" w14:textId="77777777" w:rsidR="00E30B60" w:rsidRDefault="00CB547F">
      <w:pPr>
        <w:pStyle w:val="BodyText"/>
        <w:spacing w:before="245" w:line="280" w:lineRule="auto"/>
        <w:ind w:left="4014" w:right="3603" w:firstLine="852"/>
        <w:rPr>
          <w:b/>
        </w:rPr>
      </w:pPr>
      <w:r>
        <w:rPr>
          <w:b/>
        </w:rPr>
        <w:t>§ 75a</w:t>
      </w:r>
      <w:r>
        <w:rPr>
          <w:b/>
        </w:rPr>
        <w:br/>
        <w:t>Grundbestemmelser</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Dette afsnit indeholder bestemmelser om krav og foranstaltninger til forebyggelse af miljøpåvirkninger fra visse engangsplastprodukter, navnlig for vandmiljøet, på</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menneskers sundhed, med henblik på at mindske den indvirkning og støtte overgangen til en cirkulær økonomi med innovative og bæredygtige forretningsmodeller, produkter og materialer.</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Bestemmelserne i dette afsnit finder anvendelse på engangsplastprodukter, der er opført i bilag 7a, </w:t>
      </w:r>
      <w:proofErr w:type="spellStart"/>
      <w:r>
        <w:rPr>
          <w:sz w:val="20"/>
        </w:rPr>
        <w:t>oxo</w:t>
      </w:r>
      <w:proofErr w:type="spellEnd"/>
      <w:r>
        <w:rPr>
          <w:sz w:val="20"/>
        </w:rPr>
        <w:t>-nedbrydelige plastprodukter og fiskeredskaber, der indeholder plast.</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Medmindre andet er fastsat i dette afsnit, finder de almindelige bestemmelser i denne lov anvendelse på alle engangsplastprodukter og fiskeredskaber, der indeholder plast, der markedsføres eller distribueres i Slovakiet, og på håndtering af affald fra disse.</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I dette afsnit forstås ved plast et materiale bestående af en polymer, </w:t>
      </w:r>
      <w:r>
        <w:rPr>
          <w:sz w:val="10"/>
        </w:rPr>
        <w:t>72(a)</w:t>
      </w:r>
      <w:r>
        <w:rPr>
          <w:sz w:val="20"/>
        </w:rPr>
        <w:t xml:space="preserve"> hvortil der kan være tilsat additiver eller andre stoffer, og som kan fungere som de færdige produkters hovedbestanddel, bortset fra naturlige polymerer, der ikke er kemisk modificerede.</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Engangsplastprodukt er et produkt, der helt eller delvis er fremstillet af plast, og som ikke er konstrueret, fremstillet eller markedsført med henblik på inden for dets levetid at gennemføre flere cyklusser eller rotationer ved at blive returneret til en fabrikant til genopfyldning eller genanvendes til samme formål, som det er fremstillet til.</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proofErr w:type="spellStart"/>
      <w:r>
        <w:rPr>
          <w:sz w:val="20"/>
        </w:rPr>
        <w:t>Oxo</w:t>
      </w:r>
      <w:proofErr w:type="spellEnd"/>
      <w:r>
        <w:rPr>
          <w:sz w:val="20"/>
        </w:rPr>
        <w:t>-nedbrydeligt plast er et plastmateriale, der indeholder additiver, der ved oxidation nedbryder plastmaterialet til mikrofragmenter eller kemisk dekomponerer det.</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Ved fiskeredskaber forstås enhver genstand eller et stykke udstyr, der anvendes til fiskeri eller akvakultur til at målrette, fange eller opdrætte havets biologiske ressourcer, eller som flyder på havoverfladen, og som anvendes med henblik på at tiltrække og fange eller opdrætte sådanne marine biologiske ressourcer.</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Affald af fiskeredskaber betyder ethvert fiskeredskab, der er blevet til affald, herunder alle særskilte komponenter, stoffer eller materialer, der var en del af eller fastgjort til sådanne fiskeredskaber, da det blev kasseret, herunder når det blev efterladt eller tabt.</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Markedsføring er den første tilgængeliggørelse på markedet af et engangsplastprodukt eller fiskeredskaber, der indeholder plast, i Slovakiet.</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At gøre tilgængelig på markedet betyder enhver levering af et engangsplastprodukt eller fiskeredskaber, der indeholder plast, og som er bestemt til distribution, forbrug eller anvendelse på det slovakiske marked som led i erhvervsaktiviteter, mod eller uden vederlag.</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En harmoniseret standard er en europæisk standard, der er vedtaget på grundlag af Kommissionens krav til anvendelsen af harmoniseret EU-lovgivning.</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Fabrikanten af et engangsplastprodukt eller fiskeredskaber, der indeholder plast, er enhver eneindehaver eller virksomhed, der uanset de anvendte salgsteknikker, herunder postordre- og internetsalg, </w:t>
      </w:r>
      <w:r>
        <w:rPr>
          <w:sz w:val="10"/>
        </w:rPr>
        <w:t>96b</w:t>
      </w:r>
      <w:r>
        <w:rPr>
          <w:sz w:val="20"/>
        </w:rPr>
        <w:t xml:space="preserve">) bortset fra en virksomhed der driver fiskeri i henhold til særlig lovgivning,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har sit vedtægtsmæssige hjemsted eller forretningssted i Slovakiet og fremstiller engangsplastprodukter og fiskeredskaber eller fremstiller engangsplastprodukter og fiskeredskaber og markedsfører dem</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har sit vedtægtsmæssige hjemsted eller forretningssted i Slovakiet og sælger engangsplastprodukter og fiskeredskaber i Slovakiet</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har sit vedtægtsmæssige hjemsted eller forretningssted i Slovakiet og forsyner engangsplastprodukter eller forsyner engangsplastprodukter og markedsfører dem</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har sit vedtægtsmæssige hjemsted eller forretningssted i Slovakiet og tilgængeliggøre engangsplastprodukter og fiskeredskaber fra en anden medlemsstat eller fra tredjelande på Slovakiets marked som led i erhvervsaktiviteter</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sælger engangsplastprodukter og fiskeredskaber i Slovakiet ved fjernkommunikation direkte til husholdninger eller ikke-husholdningsbrugere og har sit vedtægtsmæssige hjemsted eller forretningssted i en anden medlemsstat eller i et andet tredjeland</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har sit vedtægtsmæssige hjemsted eller forretningssted i Slovakiet og sælger som led i sine aktiviteter engangsplastprodukter og fiskeredskaber direkte til en bruger i en anden medlemsstat på grundlag af en fjernaftale.</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Bionedbrydelig plast er plast, der kan undergå fysisk og biologisk nedbrydning, således at det i sidste ende nedbrydes til kuldioxid (CO</w:t>
      </w:r>
      <w:r>
        <w:rPr>
          <w:sz w:val="14"/>
        </w:rPr>
        <w:t>2</w:t>
      </w:r>
      <w:r>
        <w:rPr>
          <w:sz w:val="20"/>
        </w:rPr>
        <w:t>), biomasse og vand og i overensstemmelse med europæiske standarder for emballage, som kan genvindes ved kompostering og anaerob nedbrydning.</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Havnemodtagelsesfaciliteter er havnemodtagelsesfaciliteter i henhold til særlig lovgivning.</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Tobaksprodukter er tobaksprodukter, der er defineret i henhold til særlig lovgivning.</w:t>
      </w:r>
      <w:r>
        <w:rPr>
          <w:sz w:val="10"/>
        </w:rPr>
        <w:t>96e</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 75b</w:t>
      </w:r>
      <w:r>
        <w:rPr>
          <w:b/>
        </w:rPr>
        <w:br/>
        <w:t>Reduktion af forbruget</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En fabrikant af engangsplastprodukter, der leverer engangsplastprodukter, der er opført i bilag nr. 7a i del A, til den endelige forbruger med henblik på indtagelse af fødevarer og drikkevarer på et andet sted end salgsstedet, er forpligtet til at</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levere dem mod betaling fabrikanten underretter den endelige forbruger herom</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tilbyde et genanvendeligt alternativ til den endelige forbruger eller</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tilbyde et bionedbrydeligt alternativ.</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Forbrugerne må ikke modtage følgende med henblik på indtagelse af fødevarer og drikkevarer på salgsstedet:</w:t>
      </w:r>
    </w:p>
    <w:p w14:paraId="4734A695" w14:textId="77777777" w:rsidR="00E30B60" w:rsidRDefault="00CB547F">
      <w:pPr>
        <w:pStyle w:val="ListParagraph"/>
        <w:numPr>
          <w:ilvl w:val="0"/>
          <w:numId w:val="18"/>
        </w:numPr>
        <w:tabs>
          <w:tab w:val="left" w:pos="786"/>
        </w:tabs>
        <w:spacing w:before="100"/>
        <w:ind w:right="0"/>
        <w:rPr>
          <w:sz w:val="20"/>
        </w:rPr>
      </w:pPr>
      <w:r>
        <w:rPr>
          <w:sz w:val="20"/>
        </w:rPr>
        <w:t>engangsplastprodukter i faste forretningssteder inden for offentlig forplejning og fastfoodforplejning</w:t>
      </w:r>
    </w:p>
    <w:p w14:paraId="49E77A18" w14:textId="77777777" w:rsidR="00E30B60" w:rsidRDefault="00CB547F">
      <w:pPr>
        <w:pStyle w:val="ListParagraph"/>
        <w:numPr>
          <w:ilvl w:val="0"/>
          <w:numId w:val="18"/>
        </w:numPr>
        <w:tabs>
          <w:tab w:val="left" w:pos="786"/>
        </w:tabs>
        <w:spacing w:before="135"/>
        <w:ind w:right="0"/>
        <w:rPr>
          <w:sz w:val="20"/>
        </w:rPr>
      </w:pPr>
      <w:r>
        <w:rPr>
          <w:sz w:val="20"/>
        </w:rPr>
        <w:t>engangsplasttallerkner ved offentlige arrangementer.</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Ud over forbuddet i stk. 2, litra b), er organisatoren af et offentligt arrangement forpligtet til at sikre, at de efterfølgende særskilte indsamlinger finder sted, når det drejer sig om levering af bionedbrydelige produkter.</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Fabrikanten af engangsplastprodukter, der er opført i bilag 7a, del A, skal føre og vedligeholde fortegnelser over individuelle produkter, der markedsføres i Slovakiet, og indberette data fra disse til ministeriet i det angivne omfang og opbevare de indberettede data.</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Fabrikanten af et engangsplastprodukt, der er opført i bilag 7a, del A, udarbejder en rapport om de foranstaltninger, der er truffet for at reducere forbruget, og underretter senest den 30. april ministeriet om de fremskridt, der er gjort med hensyn til at reducere forbruget.</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8A6FDAC" w14:textId="77777777" w:rsidR="00E30B60" w:rsidRDefault="00CB547F">
      <w:pPr>
        <w:pStyle w:val="BodyText"/>
        <w:spacing w:before="218" w:line="276" w:lineRule="auto"/>
        <w:ind w:left="502" w:right="110" w:firstLine="226"/>
      </w:pPr>
      <w:r>
        <w:t xml:space="preserve">Det er forbudt at markedsføre de engangsplastprodukter, der er anført i bilag 7a, del B, og </w:t>
      </w:r>
      <w:proofErr w:type="spellStart"/>
      <w:r>
        <w:t>oxo</w:t>
      </w:r>
      <w:proofErr w:type="spellEnd"/>
      <w:r>
        <w:t>-nedbrydeligt plast.</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Krav til plastprodukter til engangsbrug</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Fabrikanten af et engangsplastprodukt er forpligtet til at tilgængeliggøre drikkevarebeholdere på det slovakiske marked, der er opført i bilag 7a, del C, forudsat at de kapsler eller låg fremstillet af plast forbliver fastgjort til drikkevarebeholderne under produktets påtænkte anvendelse.</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Drikkevarer, der er opført i bilag 7a, del C, og som er fremstillet i overensstemmelse med harmoniserede standarder, og hvis reference er offentliggjort i Den Europæiske Unions Tidende, betragtes som drikkevarebeholdere i overensstemmelse med kravene i stk.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Metalkapsler eller -låg med plastforseglinger anses ikke for at være fremstillet af plast.</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Fabrikanten af et engangsplastprodukt, der er opført i bilag 7a, del F, er forpligtet til at markedsføre drikkeflasker i Slovakiet</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 xml:space="preserve">fremstillet af </w:t>
      </w:r>
      <w:proofErr w:type="spellStart"/>
      <w:r>
        <w:rPr>
          <w:sz w:val="20"/>
        </w:rPr>
        <w:t>polyethylenterephtalat</w:t>
      </w:r>
      <w:proofErr w:type="spellEnd"/>
      <w:r>
        <w:rPr>
          <w:sz w:val="20"/>
        </w:rPr>
        <w:t>, (i det følgende benævnt "PET-drikkeflasker") og som indeholder mindst 25 % genanvendt plast af den samlede mængde PET-drikkeflasker, som fabrikanten markedsfører i Slovakiet</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med et minimumsindhold på 30 % genanvendt plast fra den samlede mængde plastdrikkeflasker, som fabrikanten markedsfører i Slovakiet.</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Fabrikanten af et engangsplastprodukt skal senest den 30. april for det foregående kalenderår forelægge ministeriet en rapport om indholdet af genvundet plast i henhold til stk. 4. Denne forpligtelse skal opfyldes, hvis der er tale om en emballagefabrikant, der markedsfører drikkevarer i returemballage til engangsbrug, af en virksomhed i henhold til særlig lovgivning.</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Krav til produktmærkning</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Fabrikanten af et engangsplastprodukt, der er opført i bilag 7a, del D, er, før produktet markedsføres i Slovakiet, forpligtet til at mærke dette produkt med forbrugeroplysninger om</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de mest hensigtsmæssige metoder til bortskaffelse af produktet eller måder til bortskaffelse af affald, som er nødvendigt at undgå i tilfælde af det givne produkt, når det bliver til affald i overensstemmelse med affaldshåndteringshierarkiet</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tilstedeværelsen af plast i produktet og dets negative miljøpåvirkninger, når produktet bliver til affald.</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Den i stk. 1 omhandlede mærkning anbringes på produktets emballage, enhedspakker for produktet eller på selve produktet på en sådan måde, at den er fremtrædende, læselig og uudslettelig.</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Fabrikanten af et engangsplastprodukt, der er opført i bilag 7a, del D, er forpligtet til at sikre mærkningen af emballagen i henhold til stk. 1 i overensstemmelse med specifikationerne i henhold til særlig lovgivning.</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Mærkningen af tobaksprodukter som omhandlet i stk. 1 skal supplere mærkningen i henhold til særlig lovgivning.</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Udvidet ansvar for fabrikanten af et særligt plastprodukt</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Ud over forpligtelserne i henhold til stk. 27 og 52 afholder fabrikanten af et engangsplastprodukt, der er opført i bilag 7a, del E, afsnit I, omkostningerne</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til foranstaltninger med henblik på at øge kendskabet til landets produkter, der markedsføres i Slovakiet</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i forbindelse med indsamling, transport, nyttiggørelse, genvinding, behandling og bortskaffelse af affaldsprodukter</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i forbindelse med oprydning af affald fra disse produkter i områder, hvor de ikke er blevet smidt ud i lokale affaldsindsamlingssystemer.</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Fabrikanten af tobaksprodukter kan med henblik på forpligtelsen i stk. 1, litra b) oprette en særlig infrastruktur for indsamling af affald fra disse produkter.</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Fabrikanten af et engangsplastprodukt, der er opført i bilag 7a, del E, afsnit II og III, skal</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afholde udgifterne til foranstaltninger om bevidstgørelse vedrørende deres produkter, der markedsføres i Slovakiet</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afholde udgifterne til oprydning af affald fra disse produkter i områder, hvor de ikke er blevet smidt ud i lokale affaldsindsamlingssystemer</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føre og vedligeholde fortegnelser over produkter, der markedsføres i Slovakiet, og indberette data fra disse til ministeriet i det angivne omfang og opbevare de indberettede data.</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Fabrikanten af et engangsplastprodukt, der er opført i bilag 7a, del E, og fiskeredskaber, der indeholder plast, og som har sit vedtægtsmæssige hjemsted eller forretningssted i Slovakiet og sælger disse produkter i en anden medlemsstat, udpeger en bemyndiget repræsentant i den pågældende medlemsstat til at udføre sine opgaver med hensyn til disse produkter.</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Fabrikanten af fiskeredskaber, der indeholder plast, skal føre og vedligeholde fortegnelser over fiskeredskaber, der markedsføres i Slovakiet, og indberette data fra disse til ministeriet og opbevare de indberettede data.</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En producent af fiskeredskaber, der indeholder plast, er forpligtet til at dække omkostningerne i forbindelse med særskilt indsamling, transport, genanvendelse, nyttiggørelse eller bortskaffelse af udtjente fiskeredskaber, der indeholder plast, og som er landet i de relevante modtagefaciliteter i havne eller andre tilsvarende modtagelsessystemer.</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75g</w:t>
      </w:r>
      <w:r>
        <w:rPr>
          <w:b/>
        </w:rPr>
        <w:br/>
        <w:t>Bevidstgørelse</w:t>
      </w:r>
    </w:p>
    <w:p w14:paraId="20D90145" w14:textId="1BEFC6E3" w:rsidR="00E30B60" w:rsidRDefault="00CB547F">
      <w:pPr>
        <w:pStyle w:val="BodyText"/>
        <w:spacing w:before="193" w:line="276" w:lineRule="auto"/>
        <w:ind w:left="502" w:right="103" w:firstLine="226"/>
        <w:jc w:val="both"/>
      </w:pPr>
      <w:r>
        <w:t>Fabrikanten af en engangsplastprodukt, der er opført i bilag 7a, del G, og af fiskeredskaber, der indeholder plast, skal informere og motivere slutbrugerne af engangsplastproduktet til at opføre sig ansvarligt med henblik på at reducere miljøforureningen fra affald fra disse produkter</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at anvende tilgængelige genanvendelige alternativer</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den korrekte måde at bortskaffe produkter på, når de bliver til affald</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om uhensigtsmæssig bortskaffelse af affald fra engangsplastprodukter og fiskeredskaber, der indeholder plast, for miljøet</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virkningen på spildevandet af uhensigtsmæssig bortskaffelse af disse produkter, når de bliver til affald.</w:t>
      </w:r>
    </w:p>
    <w:p w14:paraId="5D2E916C" w14:textId="77777777" w:rsidR="00E30B60" w:rsidRDefault="00CB547F">
      <w:pPr>
        <w:pStyle w:val="BodyText"/>
        <w:spacing w:before="85"/>
        <w:ind w:left="729"/>
        <w:jc w:val="both"/>
      </w:pPr>
      <w:r>
        <w:t>Fodnote 96a til 96h lyder:</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Artikel 2, stk. 1, litra a) og d), i Europa-Parlamentets og Rådets forordning (EU) nr. 1025/2012 af 25. oktober 2012 om europæisk standardisering, om ændring af Rådets direktiv 89/686/EØF og 93/15/EØF og Europa-Parlamentets og Rådets direktiv 94/9/EF, 94/25/EF, 95/16/EF, 97/23/EF, 98/34/EF, 2004/22/EF,</w:t>
      </w:r>
      <w:r>
        <w:rPr>
          <w:sz w:val="18"/>
        </w:rPr>
        <w:br/>
        <w:t>2007/23/EF, 2009/23/EF og 2009/105/EF og om ophævelse af Rådets beslutning 87/95/EØF og Europa-Parlamentets og Rådets afgørelse nr. 1673/2006/EF, med senere ændringer.</w:t>
      </w:r>
    </w:p>
    <w:p w14:paraId="7D526B49" w14:textId="77777777" w:rsidR="00E30B60" w:rsidRDefault="00CB547F">
      <w:pPr>
        <w:spacing w:before="103" w:line="244" w:lineRule="auto"/>
        <w:ind w:left="729" w:right="103"/>
        <w:jc w:val="both"/>
        <w:rPr>
          <w:sz w:val="18"/>
        </w:rPr>
      </w:pPr>
      <w:r>
        <w:rPr>
          <w:sz w:val="10"/>
        </w:rPr>
        <w:t>96b</w:t>
      </w:r>
      <w:r>
        <w:rPr>
          <w:sz w:val="18"/>
        </w:rPr>
        <w:t>) Lov nr. 102/2014 om forbrugerbeskyttelse i forbindelse med salg af varer eller levering af tjenesteydelser på grundlag af en aftale om fjernsalg eller en aftale indgået uden for fast forretningssted med sælger og om ændring af visse retsakter med senere ændringer.</w:t>
      </w:r>
    </w:p>
    <w:p w14:paraId="5DEAD916" w14:textId="69DCB80D" w:rsidR="00E30B60" w:rsidRDefault="00CB547F">
      <w:pPr>
        <w:spacing w:before="102" w:line="244" w:lineRule="auto"/>
        <w:ind w:left="729" w:right="103"/>
        <w:jc w:val="both"/>
        <w:rPr>
          <w:sz w:val="18"/>
        </w:rPr>
      </w:pPr>
      <w:r>
        <w:rPr>
          <w:sz w:val="10"/>
        </w:rPr>
        <w:t>96c</w:t>
      </w:r>
      <w:r>
        <w:rPr>
          <w:sz w:val="18"/>
        </w:rPr>
        <w:t>) Artikel 4, stk. 1, stk. 28, i Europa-Parlamentets og Rådets forordning (EU) nr. 1380/2013 af 11. december 2013 om den fælles fiskeripolitik, ændring af Rådets forordning (EF) nr. 1954/2003 og (EF) nr. 1224/2009 og ophævelse af Rådets forordning (EF) nr. 2371/2002 og (EF) nr. 639/2004 samt Rådets afgørelse 2004/585/EF (EUT L 354 af 28.12.2013) med senere ændringer.</w:t>
      </w:r>
    </w:p>
    <w:p w14:paraId="15970DB7" w14:textId="77777777" w:rsidR="00E30B60" w:rsidRDefault="00CB547F">
      <w:pPr>
        <w:spacing w:before="102"/>
        <w:ind w:left="729"/>
        <w:jc w:val="both"/>
        <w:rPr>
          <w:sz w:val="18"/>
        </w:rPr>
      </w:pPr>
      <w:r>
        <w:rPr>
          <w:sz w:val="10"/>
        </w:rPr>
        <w:t>96d</w:t>
      </w:r>
      <w:r>
        <w:rPr>
          <w:sz w:val="18"/>
        </w:rPr>
        <w:t>) Søtransportlov nr. 435/2000 med senere ændringer.</w:t>
      </w:r>
    </w:p>
    <w:p w14:paraId="5EF5EE76" w14:textId="58A6960E" w:rsidR="00E30B60" w:rsidRDefault="00CB547F">
      <w:pPr>
        <w:spacing w:before="105" w:line="244" w:lineRule="auto"/>
        <w:ind w:left="729" w:right="103"/>
        <w:jc w:val="both"/>
        <w:rPr>
          <w:sz w:val="18"/>
        </w:rPr>
      </w:pPr>
      <w:r>
        <w:rPr>
          <w:sz w:val="10"/>
        </w:rPr>
        <w:t>96e</w:t>
      </w:r>
      <w:r>
        <w:rPr>
          <w:sz w:val="18"/>
        </w:rPr>
        <w:t>) § 2, stk. 3, i lov nr. 89/2016 om produktion, mærkning og salg af tobaksvarer og dermed forbundne produkter og om ændringer af visse love, som ændret ved lov nr. 92/2019</w:t>
      </w:r>
    </w:p>
    <w:p w14:paraId="1BC9FB90" w14:textId="28B52A0A" w:rsidR="00E30B60" w:rsidRDefault="00CB547F">
      <w:pPr>
        <w:spacing w:before="101" w:line="244" w:lineRule="auto"/>
        <w:ind w:left="729" w:right="103"/>
        <w:jc w:val="both"/>
        <w:rPr>
          <w:sz w:val="18"/>
        </w:rPr>
      </w:pPr>
      <w:r>
        <w:rPr>
          <w:sz w:val="10"/>
        </w:rPr>
        <w:t>96f</w:t>
      </w:r>
      <w:r>
        <w:rPr>
          <w:sz w:val="18"/>
        </w:rPr>
        <w:t>) § 7(1)(v) i lov nr. 302/2019 om pantordning for drikkevareemballage til engangsbrug og om ændringer af visse love, med senere ændringer.</w:t>
      </w:r>
    </w:p>
    <w:p w14:paraId="2EC47CDC" w14:textId="1A1C418A" w:rsidR="00E30B60" w:rsidRDefault="00CB547F">
      <w:pPr>
        <w:spacing w:before="101" w:line="244" w:lineRule="auto"/>
        <w:ind w:left="729" w:right="103"/>
        <w:jc w:val="both"/>
        <w:rPr>
          <w:sz w:val="18"/>
        </w:rPr>
      </w:pPr>
      <w:r>
        <w:rPr>
          <w:sz w:val="10"/>
        </w:rPr>
        <w:t>96g</w:t>
      </w:r>
      <w:r>
        <w:rPr>
          <w:sz w:val="18"/>
        </w:rPr>
        <w:t>) Kommissionens gennemførelsesforordning (EU) 2020/2151 af 17. december 2020 om fastsættelse af harmoniserede specifikationer for mærkning af engangsplastprodukter opført i del D i bilaget til Europa-Parlamentets og Rådets direktiv (EU) 2019/904 om reduktion af visse plastprodukters miljøpåvirkning (EUT L 428 af 18.12.2020).</w:t>
      </w:r>
    </w:p>
    <w:p w14:paraId="42F6CA94" w14:textId="77777777" w:rsidR="00E30B60" w:rsidRDefault="00CB547F">
      <w:pPr>
        <w:spacing w:before="102"/>
        <w:ind w:left="729"/>
        <w:jc w:val="both"/>
        <w:rPr>
          <w:sz w:val="18"/>
        </w:rPr>
      </w:pPr>
      <w:r>
        <w:rPr>
          <w:sz w:val="10"/>
        </w:rPr>
        <w:t>96h</w:t>
      </w:r>
      <w:r>
        <w:rPr>
          <w:sz w:val="18"/>
        </w:rPr>
        <w:t>) lov nr. 89/2016, som ændret ved lov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I § 105, stk. 3, indsættes følgende som litra ad):</w:t>
      </w:r>
    </w:p>
    <w:p w14:paraId="2874BDF9" w14:textId="77777777" w:rsidR="00E30B60" w:rsidRDefault="00CB547F">
      <w:pPr>
        <w:pStyle w:val="BodyText"/>
        <w:spacing w:before="106"/>
        <w:ind w:left="502"/>
        <w:jc w:val="both"/>
      </w:pPr>
      <w:r>
        <w:t>"ad) De mærkningsspecifikationer, der er omhandlet i §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 § 106, litra h), ændres "§ 53a, § 73a" til "§ 75b, § 75c, § 75d, §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 § 110, stk. 1, litra a), udgår teksten "§ 53a", og teksten "§ 73a og 135 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I § 111, stk. 6, ændres "§ 53a og 73a" til "§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I § 117, stk. 1, efter teksten "53, stk. 7, 8, § 54, stk. 1, litra f), nr. 5" indsættes "§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 117, stk. 6 lyder:</w:t>
      </w:r>
    </w:p>
    <w:p w14:paraId="2F50D7B0" w14:textId="77777777" w:rsidR="00E30B60" w:rsidRDefault="00CB547F">
      <w:pPr>
        <w:pStyle w:val="BodyText"/>
        <w:spacing w:before="220" w:line="276" w:lineRule="auto"/>
        <w:ind w:left="502" w:right="103" w:firstLine="226"/>
        <w:jc w:val="both"/>
      </w:pPr>
      <w:r>
        <w:t>"stk. 6 Den relevante statslige affaldshåndteringsmyndighed pålægger en virksomhed eller en enkeltmandsvirksomhed en bøde på mellem 4 000 EUR og 350 000 EUR, som overtræder forpligtelsen efter § 13, § 16, stk. 5 og 10, § 19, stk. 1, litra f), § 21, stk. 2, § 21, stk. 3, litra f), litra g), § 25, stk. 1, nr. 7</w:t>
      </w:r>
    </w:p>
    <w:p w14:paraId="4B6F5513" w14:textId="77777777" w:rsidR="00E30B60" w:rsidRPr="00D0358C" w:rsidRDefault="00CB547F">
      <w:pPr>
        <w:pStyle w:val="BodyText"/>
        <w:ind w:left="502"/>
      </w:pPr>
      <w:r>
        <w:t>§ 27, stk. 25, § 28, stk. 9, litra e), § 31a, stk. 2, 6 og 8, § 33, § 43, § 53, stk. 3, § 62, stk. 6,</w:t>
      </w:r>
    </w:p>
    <w:p w14:paraId="091FA774" w14:textId="77777777" w:rsidR="00E30B60" w:rsidRPr="00D0358C" w:rsidRDefault="00CB547F">
      <w:pPr>
        <w:pStyle w:val="BodyText"/>
        <w:spacing w:before="35"/>
        <w:ind w:left="502"/>
      </w:pPr>
      <w:r>
        <w:t>§ 75b, § 75c, § 75d, § 75e, § 75f, § 75g, § 76, stk. 4, § 79, stk. 16, nr. 24) § 84, stk. 3, nr. 5</w:t>
      </w:r>
    </w:p>
    <w:p w14:paraId="1E67AFAF" w14:textId="77777777" w:rsidR="00E30B60" w:rsidRPr="00D0358C" w:rsidRDefault="00CB547F">
      <w:pPr>
        <w:pStyle w:val="BodyText"/>
        <w:spacing w:before="35"/>
        <w:ind w:left="502"/>
      </w:pPr>
      <w:r>
        <w:t>§ 135e, stk. 1, stk. 2, stk. 3, stk. 4, §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I § 135 g indsættes "del B" efter "7a".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Bilag 7a, med overskriften, lyder:</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"Bilag 7a</w:t>
      </w:r>
      <w:r>
        <w:rPr>
          <w:b/>
        </w:rPr>
        <w:br/>
        <w:t>til lov nr. 79/2015</w:t>
      </w:r>
    </w:p>
    <w:p w14:paraId="53FA3E6C" w14:textId="77777777" w:rsidR="00E30B60" w:rsidRDefault="00CB547F">
      <w:pPr>
        <w:pStyle w:val="BodyText"/>
        <w:spacing w:before="201"/>
        <w:ind w:left="1230" w:right="834"/>
        <w:jc w:val="center"/>
        <w:rPr>
          <w:b/>
        </w:rPr>
      </w:pPr>
      <w:r>
        <w:rPr>
          <w:b/>
        </w:rPr>
        <w:t>DEL A</w:t>
      </w:r>
    </w:p>
    <w:p w14:paraId="423994C5" w14:textId="77777777" w:rsidR="00E30B60" w:rsidRDefault="00CB547F">
      <w:pPr>
        <w:pStyle w:val="BodyText"/>
        <w:spacing w:before="231"/>
        <w:ind w:left="729"/>
        <w:rPr>
          <w:b/>
        </w:rPr>
      </w:pPr>
      <w:r>
        <w:rPr>
          <w:b/>
        </w:rPr>
        <w:t>Engangsplastprodukter, hvis forbrug skal reduceres</w:t>
      </w:r>
    </w:p>
    <w:p w14:paraId="360D13BF" w14:textId="77777777" w:rsidR="00E30B60" w:rsidRDefault="00CB547F">
      <w:pPr>
        <w:pStyle w:val="ListParagraph"/>
        <w:numPr>
          <w:ilvl w:val="0"/>
          <w:numId w:val="9"/>
        </w:numPr>
        <w:tabs>
          <w:tab w:val="left" w:pos="786"/>
        </w:tabs>
        <w:spacing w:before="128"/>
        <w:ind w:right="0"/>
        <w:rPr>
          <w:sz w:val="20"/>
        </w:rPr>
      </w:pPr>
      <w:r>
        <w:rPr>
          <w:sz w:val="20"/>
        </w:rPr>
        <w:t>Drikkekopper, herunder deres kapsler og låg</w:t>
      </w:r>
    </w:p>
    <w:p w14:paraId="2EBB597C" w14:textId="77777777" w:rsidR="00E30B60" w:rsidRDefault="00CB547F">
      <w:pPr>
        <w:pStyle w:val="ListParagraph"/>
        <w:numPr>
          <w:ilvl w:val="0"/>
          <w:numId w:val="9"/>
        </w:numPr>
        <w:tabs>
          <w:tab w:val="left" w:pos="786"/>
        </w:tabs>
        <w:spacing w:before="105" w:line="244" w:lineRule="auto"/>
        <w:rPr>
          <w:sz w:val="20"/>
        </w:rPr>
      </w:pPr>
      <w:r>
        <w:rPr>
          <w:sz w:val="20"/>
        </w:rPr>
        <w:t>fødevarebeholdere, dvs. æsker, med eller uden låg, til fødevarer, der er</w:t>
      </w:r>
    </w:p>
    <w:p w14:paraId="6464AE61" w14:textId="77777777" w:rsidR="00E30B60" w:rsidRDefault="00E30B60">
      <w:pPr>
        <w:spacing w:line="244" w:lineRule="auto"/>
        <w:rPr>
          <w:sz w:val="20"/>
        </w:rPr>
        <w:sectPr w:rsidR="00E30B60">
          <w:pgSz w:w="11910" w:h="16840"/>
          <w:pgMar w:top="1160" w:right="1000" w:bottom="280" w:left="1000" w:header="796" w:footer="0" w:gutter="0"/>
          <w:cols w:space="720"/>
        </w:sectPr>
      </w:pPr>
    </w:p>
    <w:p w14:paraId="0582B242" w14:textId="77777777" w:rsidR="00E30B60" w:rsidRDefault="00E30B60">
      <w:pPr>
        <w:pStyle w:val="BodyText"/>
        <w:spacing w:before="11"/>
        <w:rPr>
          <w:sz w:val="17"/>
        </w:rPr>
      </w:pP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bestemt til umiddelbar fortæring enten på salgsstedet eller på et andet sted end salgsstedet</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typisk fortæres fra denne beholder og</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er klar til at blive fortæret uden yderligere tilberedning såsom stegning, kogning eller opvarmning</w:t>
      </w:r>
    </w:p>
    <w:p w14:paraId="6B251702" w14:textId="77777777" w:rsidR="00E30B60" w:rsidRDefault="00CB547F">
      <w:pPr>
        <w:pStyle w:val="BodyText"/>
        <w:spacing w:before="216" w:line="276" w:lineRule="auto"/>
        <w:ind w:left="785" w:right="103" w:firstLine="226"/>
        <w:jc w:val="both"/>
      </w:pPr>
      <w:r>
        <w:t>herunder fødevarebeholdere, der anvendes til fastfood, eller andre måltider, som er klar til umiddelbar fortæring, undtagen drikkevarebeholdere, tallerkener og indpakningsposer og -folier, der indeholder fødevarer.</w:t>
      </w:r>
    </w:p>
    <w:p w14:paraId="08F0A563" w14:textId="77777777" w:rsidR="00E30B60" w:rsidRDefault="00CB547F">
      <w:pPr>
        <w:pStyle w:val="BodyText"/>
        <w:spacing w:before="187"/>
        <w:ind w:left="1230" w:right="834"/>
        <w:jc w:val="center"/>
        <w:rPr>
          <w:b/>
        </w:rPr>
      </w:pPr>
      <w:r>
        <w:rPr>
          <w:b/>
        </w:rPr>
        <w:t>DEL B</w:t>
      </w:r>
    </w:p>
    <w:p w14:paraId="13056B9C" w14:textId="77777777" w:rsidR="00E30B60" w:rsidRDefault="00CB547F">
      <w:pPr>
        <w:pStyle w:val="BodyText"/>
        <w:spacing w:before="231"/>
        <w:ind w:left="729"/>
        <w:rPr>
          <w:b/>
        </w:rPr>
      </w:pPr>
      <w:r>
        <w:rPr>
          <w:b/>
        </w:rPr>
        <w:t>Det er forbudt at markedsføre disse engangsplastprodukter i Slovakiet</w:t>
      </w:r>
    </w:p>
    <w:p w14:paraId="51FDEC54" w14:textId="77777777" w:rsidR="00E30B60" w:rsidRDefault="00CB547F">
      <w:pPr>
        <w:pStyle w:val="ListParagraph"/>
        <w:numPr>
          <w:ilvl w:val="0"/>
          <w:numId w:val="8"/>
        </w:numPr>
        <w:tabs>
          <w:tab w:val="left" w:pos="786"/>
        </w:tabs>
        <w:spacing w:before="128"/>
        <w:ind w:right="0"/>
        <w:rPr>
          <w:sz w:val="20"/>
        </w:rPr>
      </w:pPr>
      <w:r>
        <w:rPr>
          <w:sz w:val="20"/>
        </w:rPr>
        <w:t>vatpinde til ører, der ikke er omfattet af særlig lovgivning;</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bestik (gafler, knive, skeer, spisepinde)</w:t>
      </w:r>
    </w:p>
    <w:p w14:paraId="270DDFA9" w14:textId="77777777" w:rsidR="00E30B60" w:rsidRDefault="00CB547F">
      <w:pPr>
        <w:pStyle w:val="ListParagraph"/>
        <w:numPr>
          <w:ilvl w:val="0"/>
          <w:numId w:val="8"/>
        </w:numPr>
        <w:tabs>
          <w:tab w:val="left" w:pos="786"/>
        </w:tabs>
        <w:spacing w:before="105"/>
        <w:ind w:right="0"/>
        <w:rPr>
          <w:sz w:val="20"/>
        </w:rPr>
      </w:pPr>
      <w:r>
        <w:rPr>
          <w:sz w:val="20"/>
        </w:rPr>
        <w:t>tallerkener</w:t>
      </w:r>
    </w:p>
    <w:p w14:paraId="5A4A28E4" w14:textId="77777777" w:rsidR="00E30B60" w:rsidRDefault="00CB547F">
      <w:pPr>
        <w:pStyle w:val="ListParagraph"/>
        <w:numPr>
          <w:ilvl w:val="0"/>
          <w:numId w:val="8"/>
        </w:numPr>
        <w:tabs>
          <w:tab w:val="left" w:pos="786"/>
        </w:tabs>
        <w:spacing w:before="105"/>
        <w:ind w:right="0"/>
        <w:rPr>
          <w:sz w:val="20"/>
        </w:rPr>
      </w:pPr>
      <w:r>
        <w:rPr>
          <w:sz w:val="20"/>
        </w:rPr>
        <w:t>sugerør, der ikke er omfattet af særlig lovgivning;</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proofErr w:type="spellStart"/>
      <w:r>
        <w:rPr>
          <w:sz w:val="20"/>
        </w:rPr>
        <w:t>omrørere</w:t>
      </w:r>
      <w:proofErr w:type="spellEnd"/>
      <w:r>
        <w:rPr>
          <w:sz w:val="20"/>
        </w:rPr>
        <w:t xml:space="preserve"> til drikkevarer</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pinde der fastgøres til balloner som understøttelse, med undtagelse af balloner til industriel eller anden erhvervsmæssig anvendelse samt anvendelser, der ikke distribueres til forbrugere, herunder mekanismerne til sådanne pinde</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fødevarebeholdere af ekspanderet polystyren, dvs. beholdere som f.eks. æsker, med eller uden låg, til fødevarer, der benyttes til fødevarer</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bestemt til umiddelbar fortæring enten på salgsstedet eller på et andet sted end salgsstedet</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typisk fortæres fra denne beholder og</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er klar til at blive fortæret uden yderligere tilberedning såsom stegning, kogning eller opvarmning</w:t>
      </w:r>
    </w:p>
    <w:p w14:paraId="2B86D403" w14:textId="77777777" w:rsidR="00E30B60" w:rsidRDefault="00CB547F">
      <w:pPr>
        <w:pStyle w:val="BodyText"/>
        <w:spacing w:before="216" w:line="276" w:lineRule="auto"/>
        <w:ind w:left="785" w:right="103" w:firstLine="226"/>
        <w:jc w:val="both"/>
      </w:pPr>
      <w:r>
        <w:t>herunder fødevarebeholdere, der anvendes til fastfood, eller andre måltider, som er klar til umiddelbar fortæring, undtagen drikkevarebeholdere, tallerkener og indpakningsposer og -folier, der indeholder fødevarer</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drikkevarebeholdere af ekspanderet polystyren, herunder kapsler og låg til disse</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kopper til drikkevarer af ekspanderet polystyren, herunder kapsler og låg.</w:t>
      </w:r>
    </w:p>
    <w:p w14:paraId="5A3D23E4" w14:textId="77777777" w:rsidR="00E30B60" w:rsidRDefault="00CB547F">
      <w:pPr>
        <w:pStyle w:val="BodyText"/>
        <w:spacing w:before="208"/>
        <w:ind w:left="1230" w:right="834"/>
        <w:jc w:val="center"/>
        <w:rPr>
          <w:b/>
        </w:rPr>
      </w:pPr>
      <w:r>
        <w:rPr>
          <w:b/>
        </w:rPr>
        <w:t>DEL C</w:t>
      </w:r>
    </w:p>
    <w:p w14:paraId="7696BE96" w14:textId="77777777" w:rsidR="00E30B60" w:rsidRDefault="00CB547F">
      <w:pPr>
        <w:pStyle w:val="BodyText"/>
        <w:spacing w:before="231" w:line="297" w:lineRule="auto"/>
        <w:ind w:left="502" w:right="103" w:firstLine="226"/>
        <w:jc w:val="both"/>
        <w:rPr>
          <w:b/>
        </w:rPr>
      </w:pPr>
      <w:r>
        <w:rPr>
          <w:b/>
        </w:rPr>
        <w:t>Engangsplastprodukter, der kan markedsføres i overensstemmelse med kravet i henhold til lovens § 75d, stk. 1</w:t>
      </w:r>
    </w:p>
    <w:p w14:paraId="101A7BC1" w14:textId="77777777" w:rsidR="00E30B60" w:rsidRDefault="00CB547F">
      <w:pPr>
        <w:pStyle w:val="BodyText"/>
        <w:spacing w:before="185" w:line="276" w:lineRule="auto"/>
        <w:ind w:left="502" w:right="103" w:firstLine="226"/>
        <w:jc w:val="both"/>
      </w:pPr>
      <w:r>
        <w:t>Drikkevarebeholdere på højst tre liter, dvs. beholdere til væsker, f.eks. drikkeflasker, herunder kapsler og låg, samt drikkevarebeholdere, herunder kapsler og låg, undtagen</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drikkevarebeholdere af glas eller metal med plastkapsler og -låg</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drikkevarebeholdere, der er beregnet til og anvendes til fødevare til særlige medicinske formål i flydende form, med forbehold af særlig lovgivning.</w:t>
      </w:r>
      <w:r>
        <w:rPr>
          <w:sz w:val="10"/>
        </w:rPr>
        <w:t>163</w:t>
      </w:r>
      <w:r>
        <w:rPr>
          <w:sz w:val="20"/>
        </w:rPr>
        <w:t>)</w:t>
      </w:r>
    </w:p>
    <w:p w14:paraId="5A8C8B95" w14:textId="77777777" w:rsidR="00E30B60" w:rsidRDefault="00CB547F">
      <w:pPr>
        <w:pStyle w:val="BodyText"/>
        <w:spacing w:before="203"/>
        <w:ind w:left="1230" w:right="834"/>
        <w:jc w:val="center"/>
        <w:rPr>
          <w:b/>
        </w:rPr>
      </w:pPr>
      <w:r>
        <w:rPr>
          <w:b/>
        </w:rPr>
        <w:t>DEL D</w:t>
      </w:r>
    </w:p>
    <w:p w14:paraId="43A76956" w14:textId="288C4191" w:rsidR="00E30B60" w:rsidRDefault="00CB547F" w:rsidP="00D0358C">
      <w:pPr>
        <w:pStyle w:val="BodyText"/>
        <w:spacing w:before="231"/>
        <w:ind w:left="729"/>
        <w:rPr>
          <w:b/>
        </w:rPr>
      </w:pPr>
      <w:r>
        <w:rPr>
          <w:b/>
        </w:rPr>
        <w:t>Engangsplastprodukter, der skal opfylde mærkningskravet i henhold til lovens § 75e</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Hygiejnebind, tamponer og indføringsanordninger til tamponer</w:t>
      </w:r>
    </w:p>
    <w:p w14:paraId="50510A03" w14:textId="77777777" w:rsidR="00E30B60" w:rsidRDefault="00CB547F">
      <w:pPr>
        <w:pStyle w:val="ListParagraph"/>
        <w:numPr>
          <w:ilvl w:val="0"/>
          <w:numId w:val="6"/>
        </w:numPr>
        <w:tabs>
          <w:tab w:val="left" w:pos="786"/>
        </w:tabs>
        <w:spacing w:before="106"/>
        <w:ind w:right="0"/>
        <w:rPr>
          <w:sz w:val="20"/>
        </w:rPr>
      </w:pPr>
      <w:r>
        <w:rPr>
          <w:sz w:val="20"/>
        </w:rPr>
        <w:t>Vådservietter, dvs. allerede fugtede personlige hygiejneservietter og husholdningsservietter</w:t>
      </w:r>
    </w:p>
    <w:p w14:paraId="4FF9E3EA" w14:textId="77777777" w:rsidR="00E30B60" w:rsidRDefault="00CB547F">
      <w:pPr>
        <w:pStyle w:val="ListParagraph"/>
        <w:numPr>
          <w:ilvl w:val="0"/>
          <w:numId w:val="6"/>
        </w:numPr>
        <w:tabs>
          <w:tab w:val="left" w:pos="786"/>
        </w:tabs>
        <w:spacing w:before="105" w:line="244" w:lineRule="auto"/>
        <w:rPr>
          <w:sz w:val="20"/>
        </w:rPr>
      </w:pPr>
      <w:proofErr w:type="gramStart"/>
      <w:r>
        <w:rPr>
          <w:sz w:val="20"/>
        </w:rPr>
        <w:t>}tobaksprodukter</w:t>
      </w:r>
      <w:proofErr w:type="gramEnd"/>
      <w:r>
        <w:rPr>
          <w:sz w:val="20"/>
        </w:rPr>
        <w:t xml:space="preserve"> indeholdende filtre og filtre, der sælges til brug i kombination med tobaksprodukter</w:t>
      </w:r>
    </w:p>
    <w:p w14:paraId="40A96525" w14:textId="77777777" w:rsidR="00E30B60" w:rsidRDefault="00CB547F">
      <w:pPr>
        <w:pStyle w:val="ListParagraph"/>
        <w:numPr>
          <w:ilvl w:val="0"/>
          <w:numId w:val="6"/>
        </w:numPr>
        <w:tabs>
          <w:tab w:val="left" w:pos="786"/>
        </w:tabs>
        <w:spacing w:before="101"/>
        <w:ind w:right="0"/>
        <w:rPr>
          <w:sz w:val="20"/>
        </w:rPr>
      </w:pPr>
      <w:r>
        <w:rPr>
          <w:sz w:val="20"/>
        </w:rPr>
        <w:t>drikkekopper.</w:t>
      </w:r>
    </w:p>
    <w:p w14:paraId="3D9A0DD0" w14:textId="77777777" w:rsidR="00E30B60" w:rsidRDefault="00CB547F">
      <w:pPr>
        <w:pStyle w:val="BodyText"/>
        <w:spacing w:before="208"/>
        <w:ind w:left="1230" w:right="834"/>
        <w:jc w:val="center"/>
        <w:rPr>
          <w:b/>
        </w:rPr>
      </w:pPr>
      <w:r>
        <w:rPr>
          <w:b/>
        </w:rPr>
        <w:t>DEL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Engangsplastprodukter omfattet af lovens § 75f, stk. 1 og 4</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Fødevarebeholdere, dvs. æsker, med eller uden låg, til fødevarer, der</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bestemt til umiddelbar fortæring enten på salgsstedet eller på et andet sted end salgsstedet</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typisk fortæres fra denne beholder og</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er klar til at blive fortæret uden yderligere tilberedning såsom stegning, kogning eller opvarmning</w:t>
      </w:r>
    </w:p>
    <w:p w14:paraId="0138E3D4" w14:textId="77777777" w:rsidR="00E30B60" w:rsidRDefault="00CB547F">
      <w:pPr>
        <w:pStyle w:val="BodyText"/>
        <w:spacing w:before="200" w:line="276" w:lineRule="auto"/>
        <w:ind w:left="785" w:right="103" w:firstLine="226"/>
        <w:jc w:val="both"/>
      </w:pPr>
      <w:r>
        <w:t>herunder fødevarebeholdere, der anvendes til fastfood, eller andre måltider, som er klar til umiddelbar fortæring, undtagen drikkevarebeholdere, tallerkener og indpakningsposer og -folier, der indeholder fødevarer</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pakker og indpakninger fremstillet af fleksibelt materiale, der indeholder fødevarer, som er bestemt til umiddelbar fortæring fra pakningen eller indpakningen uden yderligere tilberedning</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drikkevarebeholdere med et rumindhold på op til tre liter, dvs. beholdere, der anvendes til at indeholde væske, dvs. drikkeflasker, herunder kapsler og låg, og kompositemballage af drikkevarer, herunder kapsler og låg, undtagen drikkevarebeholdere af glas eller metal, der er forsynet med plastkapsler og -låg</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drikkekopper, herunder kapsler og låg</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letvægtsplastbæreposer.</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Engangsplastprodukter omfattet af lovens § 75f, stk. 1, 3 og 4</w:t>
      </w:r>
    </w:p>
    <w:p w14:paraId="4BA744C0" w14:textId="77777777" w:rsidR="00E30B60" w:rsidRDefault="00CB547F">
      <w:pPr>
        <w:pStyle w:val="ListParagraph"/>
        <w:numPr>
          <w:ilvl w:val="0"/>
          <w:numId w:val="4"/>
        </w:numPr>
        <w:tabs>
          <w:tab w:val="left" w:pos="786"/>
        </w:tabs>
        <w:spacing w:before="143"/>
        <w:ind w:right="0"/>
        <w:rPr>
          <w:sz w:val="20"/>
        </w:rPr>
      </w:pPr>
      <w:r>
        <w:rPr>
          <w:sz w:val="20"/>
        </w:rPr>
        <w:t>Vådservietter, dvs. allerede fugtede personlige hygiejneservietter, og husholdningsservietter</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balloner, undtagen balloner der ikke distribueres til forbrugere og som er beregnet til industriel eller anden erhvervsmæssig brug og anvendelse.</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Andre engangsplastprodukter, der er omfattet af lovens § 75f, stk. 1-4</w:t>
      </w:r>
    </w:p>
    <w:p w14:paraId="475248E0" w14:textId="77777777" w:rsidR="00E30B60" w:rsidRDefault="00CB547F">
      <w:pPr>
        <w:pStyle w:val="BodyText"/>
        <w:spacing w:before="43" w:line="276" w:lineRule="auto"/>
        <w:ind w:left="502" w:firstLine="226"/>
      </w:pPr>
      <w:r>
        <w:t>Tobaksprodukter, der indeholder filtre, og filtre, der sælges til anvendelse sammen med tobaksprodukter.</w:t>
      </w:r>
    </w:p>
    <w:p w14:paraId="3AC28F65" w14:textId="77777777" w:rsidR="00E30B60" w:rsidRDefault="00CB547F">
      <w:pPr>
        <w:pStyle w:val="BodyText"/>
        <w:spacing w:before="188"/>
        <w:ind w:left="1230" w:right="834"/>
        <w:jc w:val="center"/>
        <w:rPr>
          <w:b/>
        </w:rPr>
      </w:pPr>
      <w:r>
        <w:rPr>
          <w:b/>
        </w:rPr>
        <w:t>DEL F</w:t>
      </w:r>
    </w:p>
    <w:p w14:paraId="5503DD3F" w14:textId="77777777" w:rsidR="00E30B60" w:rsidRDefault="00CB547F">
      <w:pPr>
        <w:pStyle w:val="BodyText"/>
        <w:spacing w:before="230" w:line="297" w:lineRule="auto"/>
        <w:ind w:left="502" w:firstLine="226"/>
        <w:rPr>
          <w:b/>
        </w:rPr>
      </w:pPr>
      <w:r>
        <w:rPr>
          <w:b/>
        </w:rPr>
        <w:t>Engangsplastprodukter, der kan markedsføres i overensstemmelse med kravet i henhold til lovens § 75d, stk. 4</w:t>
      </w:r>
    </w:p>
    <w:p w14:paraId="104BA5A3" w14:textId="77777777" w:rsidR="00E30B60" w:rsidRDefault="00CB547F">
      <w:pPr>
        <w:pStyle w:val="BodyText"/>
        <w:spacing w:before="186"/>
        <w:ind w:left="729"/>
      </w:pPr>
      <w:r>
        <w:t>Drikkevarer på op til tre liter, herunder kapsler og låg, undtagen</w:t>
      </w:r>
    </w:p>
    <w:p w14:paraId="411E1955" w14:textId="77777777" w:rsidR="00E30B60" w:rsidRDefault="00CB547F">
      <w:pPr>
        <w:pStyle w:val="ListParagraph"/>
        <w:numPr>
          <w:ilvl w:val="0"/>
          <w:numId w:val="3"/>
        </w:numPr>
        <w:tabs>
          <w:tab w:val="left" w:pos="786"/>
        </w:tabs>
        <w:spacing w:before="120"/>
        <w:ind w:right="0"/>
        <w:rPr>
          <w:sz w:val="20"/>
        </w:rPr>
      </w:pPr>
      <w:r>
        <w:rPr>
          <w:sz w:val="20"/>
        </w:rPr>
        <w:t>flasker af glas eller metal med plastkapsler og -låg</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drikkeflasker, der er bestemt til og anvendes til fødevare til særlige medicinske formål i flydende form, og som er omfattet af særlig lovgivning.</w:t>
      </w:r>
      <w:r>
        <w:rPr>
          <w:sz w:val="10"/>
        </w:rPr>
        <w:t>163</w:t>
      </w:r>
      <w:r>
        <w:rPr>
          <w:sz w:val="20"/>
        </w:rPr>
        <w:t>)</w:t>
      </w:r>
    </w:p>
    <w:p w14:paraId="67830F6F" w14:textId="77777777" w:rsidR="00674FFD" w:rsidRDefault="00674FFD" w:rsidP="00470FBD">
      <w:pPr>
        <w:pStyle w:val="BodyText"/>
        <w:keepNext/>
        <w:keepLines/>
        <w:spacing w:before="204"/>
        <w:ind w:left="1230" w:right="834"/>
        <w:jc w:val="center"/>
        <w:rPr>
          <w:b/>
        </w:rPr>
      </w:pPr>
    </w:p>
    <w:p w14:paraId="419D4EB2" w14:textId="2B153445" w:rsidR="00E30B60" w:rsidRDefault="00CB547F" w:rsidP="00470FBD">
      <w:pPr>
        <w:pStyle w:val="BodyText"/>
        <w:keepNext/>
        <w:keepLines/>
        <w:spacing w:before="204"/>
        <w:ind w:left="1230" w:right="834"/>
        <w:jc w:val="center"/>
        <w:rPr>
          <w:b/>
        </w:rPr>
      </w:pPr>
      <w:r>
        <w:rPr>
          <w:b/>
        </w:rPr>
        <w:t>DEL G</w:t>
      </w:r>
    </w:p>
    <w:p w14:paraId="0B3CFA54" w14:textId="416D168C" w:rsidR="00E30B60" w:rsidRDefault="00CB547F" w:rsidP="00470FBD">
      <w:pPr>
        <w:pStyle w:val="BodyText"/>
        <w:keepNext/>
        <w:keepLines/>
        <w:spacing w:before="231"/>
        <w:ind w:left="729"/>
        <w:rPr>
          <w:b/>
          <w:sz w:val="17"/>
        </w:rPr>
      </w:pPr>
      <w:r>
        <w:rPr>
          <w:b/>
        </w:rPr>
        <w:t>Engangsplastprodukter omfattet af lovens § 75 g</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Fødevarebeholdere, dvs. æsker, med eller uden låg, til fødevarer, der</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bestemt til umiddelbar fortæring enten på salgsstedet eller på et andet sted end salgsstedet</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typisk fortæres fra denne beholder og</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er klar til at blive fortæret uden yderligere tilberedning såsom stegning, kogning eller opvarmning</w:t>
      </w:r>
    </w:p>
    <w:p w14:paraId="43510610" w14:textId="77777777" w:rsidR="00E30B60" w:rsidRDefault="00CB547F">
      <w:pPr>
        <w:pStyle w:val="BodyText"/>
        <w:spacing w:before="216" w:line="276" w:lineRule="auto"/>
        <w:ind w:left="785" w:right="103" w:firstLine="226"/>
        <w:jc w:val="both"/>
      </w:pPr>
      <w:r>
        <w:t>herunder fødevarebeholdere, der anvendes til fastfood, eller andre måltider, som er klar til umiddelbar fortæring, undtagen drikkevarebeholdere, tallerkener og indpakningsposer og -folier, der indeholder fødevarer</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pakker og indpakninger fremstillet af fleksibelt materiale, der indeholder fødevarer, som er bestemt til umiddelbar fortæring fra pakningen eller indpakningen uden yderligere tilberedning</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drikkevarebeholdere med et rumindhold på op til tre liter, dvs. beholdere, der anvendes til at indeholde væske, dvs. drikkeflasker, herunder kapsler og låg, og kompositemballage af drikkevarer, herunder kapsler og låg, undtagen drikkevarebeholdere af glas eller metal, der er forsynet med plastkapsler og -låg</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drikkekopper, herunder kapsler og låg</w:t>
      </w:r>
    </w:p>
    <w:p w14:paraId="3860162F" w14:textId="77777777" w:rsidR="00E30B60" w:rsidRDefault="00CB547F">
      <w:pPr>
        <w:pStyle w:val="ListParagraph"/>
        <w:numPr>
          <w:ilvl w:val="0"/>
          <w:numId w:val="2"/>
        </w:numPr>
        <w:tabs>
          <w:tab w:val="left" w:pos="786"/>
        </w:tabs>
        <w:spacing w:before="105" w:line="244" w:lineRule="auto"/>
        <w:jc w:val="both"/>
        <w:rPr>
          <w:sz w:val="20"/>
        </w:rPr>
      </w:pPr>
      <w:proofErr w:type="gramStart"/>
      <w:r>
        <w:rPr>
          <w:sz w:val="20"/>
        </w:rPr>
        <w:t>}tobaksprodukter</w:t>
      </w:r>
      <w:proofErr w:type="gramEnd"/>
      <w:r>
        <w:rPr>
          <w:sz w:val="20"/>
        </w:rPr>
        <w:t xml:space="preserve"> indeholdende filtre og filtre, der sælges til brug i kombination med tobaksprodukter</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vådservietter, dvs. allerede fugtede personlige hygiejneservietter og husholdningsservietter</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balloner, undtagen balloner der ikke distribueres til forbrugere og som er beregnet til industriel eller anden erhvervsmæssig brug og anvendelse.</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letvægtsplastbæreposer;</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hygiejnebind, tamponer og indføringsanordninger til tamponer.". Fodnote 162 til 164 affattes således:</w:t>
      </w:r>
    </w:p>
    <w:p w14:paraId="159DB5FD" w14:textId="77777777" w:rsidR="00E30B60" w:rsidRDefault="00CB547F">
      <w:pPr>
        <w:spacing w:line="244" w:lineRule="auto"/>
        <w:ind w:left="729" w:right="103"/>
        <w:jc w:val="both"/>
        <w:rPr>
          <w:sz w:val="18"/>
        </w:rPr>
      </w:pPr>
      <w:r>
        <w:rPr>
          <w:sz w:val="18"/>
        </w:rPr>
        <w:t>‘</w:t>
      </w:r>
      <w:proofErr w:type="gramStart"/>
      <w:r>
        <w:rPr>
          <w:sz w:val="10"/>
        </w:rPr>
        <w:t>162</w:t>
      </w:r>
      <w:r>
        <w:rPr>
          <w:sz w:val="18"/>
        </w:rPr>
        <w:t>)For</w:t>
      </w:r>
      <w:proofErr w:type="gramEnd"/>
      <w:r>
        <w:rPr>
          <w:sz w:val="18"/>
        </w:rPr>
        <w:t xml:space="preserve"> eksempel lov nr. 362/2011 om lægemidler og medicinsk udstyr og om ændringer af visse love, med senere ændringer, lov nr. 362/2011 om lægemidler og medicinsk udstyr om ændringer i visse love, med senere ændringer.</w:t>
      </w:r>
    </w:p>
    <w:p w14:paraId="5E5B56BE" w14:textId="62F04962" w:rsidR="00E30B60" w:rsidRDefault="00CB547F">
      <w:pPr>
        <w:spacing w:before="99" w:line="244" w:lineRule="auto"/>
        <w:ind w:left="729" w:right="103"/>
        <w:jc w:val="both"/>
        <w:rPr>
          <w:sz w:val="18"/>
        </w:rPr>
      </w:pPr>
      <w:r>
        <w:rPr>
          <w:sz w:val="10"/>
        </w:rPr>
        <w:t>163</w:t>
      </w:r>
      <w:r>
        <w:rPr>
          <w:sz w:val="18"/>
        </w:rPr>
        <w:t>)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(EFT L 181 af 29.6.2013), med senere ændringer."</w:t>
      </w:r>
    </w:p>
    <w:p w14:paraId="711B9AD3" w14:textId="77777777" w:rsidR="00E30B60" w:rsidRDefault="00CB547F">
      <w:pPr>
        <w:spacing w:before="103" w:line="244" w:lineRule="auto"/>
        <w:ind w:left="729" w:right="103"/>
        <w:jc w:val="both"/>
        <w:rPr>
          <w:sz w:val="18"/>
        </w:rPr>
      </w:pPr>
      <w:r>
        <w:rPr>
          <w:sz w:val="10"/>
        </w:rPr>
        <w:t>164</w:t>
      </w:r>
      <w:r>
        <w:rPr>
          <w:sz w:val="18"/>
        </w:rPr>
        <w:t>) § 52, stk. 27 i lov nr. 79/2015 om affald og om ændringer af visse love, med senere ændringer.".</w:t>
      </w:r>
    </w:p>
    <w:p w14:paraId="4B0F8EC2" w14:textId="77777777" w:rsidR="00E30B60" w:rsidRDefault="00CB547F">
      <w:pPr>
        <w:pStyle w:val="BodyText"/>
        <w:spacing w:before="205"/>
        <w:ind w:left="105" w:right="105"/>
        <w:jc w:val="center"/>
        <w:rPr>
          <w:b/>
        </w:rPr>
      </w:pPr>
      <w:r>
        <w:rPr>
          <w:b/>
        </w:rPr>
        <w:t>Artikel II</w:t>
      </w:r>
    </w:p>
    <w:p w14:paraId="2EE476EE" w14:textId="2C3D0D68" w:rsidR="00E30B60" w:rsidRDefault="00CB547F">
      <w:pPr>
        <w:pStyle w:val="BodyText"/>
        <w:spacing w:before="217" w:line="276" w:lineRule="auto"/>
        <w:ind w:left="105" w:right="103" w:firstLine="226"/>
        <w:jc w:val="both"/>
      </w:pPr>
      <w:r>
        <w:t>I lov nr. 302/2019 om pantordning for drikkevareemballage til engangsbrug og om ændringer af visse love, som ændret ved lov nr. 74/2020, lov nr. 285/2020 og lov nr. 372/2021, foretages følgende ændringer:</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I § 4, stk. 1, litra h), ændres teksten "l) og m)" til "l), m) og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I § 7, stk. 1, indsættes følgende som litra v):</w:t>
      </w:r>
    </w:p>
    <w:p w14:paraId="05E6705E" w14:textId="1AC38935" w:rsidR="00E30B60" w:rsidRDefault="00CB547F">
      <w:pPr>
        <w:pStyle w:val="BodyText"/>
        <w:spacing w:before="105" w:line="244" w:lineRule="auto"/>
        <w:ind w:left="785" w:right="103" w:hanging="397"/>
        <w:jc w:val="both"/>
      </w:pPr>
      <w:r>
        <w:t>"v) rapporterer til ministeriet om indholdet af genvundet plast i produkter i overensstemmelse med en emballagefabrikants forpligtelser i henhold til særlig lovgivning</w:t>
      </w:r>
      <w:r>
        <w:rPr>
          <w:sz w:val="10"/>
        </w:rPr>
        <w:t>11a</w:t>
      </w:r>
      <w:r>
        <w:t>) senest den 30. april for det foregående kalenderår.".</w:t>
      </w:r>
    </w:p>
    <w:p w14:paraId="747169BD" w14:textId="77777777" w:rsidR="00E30B60" w:rsidRDefault="00CB547F">
      <w:pPr>
        <w:pStyle w:val="BodyText"/>
        <w:spacing w:before="102"/>
        <w:ind w:left="615"/>
        <w:jc w:val="both"/>
      </w:pPr>
      <w:r>
        <w:t>Fodnote 11a får følgende ordlyd:</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 75d, stk. 4 og 5, i lov nr. 79/2015 om affald og om ændringer af visse love, med senere ændringer."</w:t>
      </w:r>
    </w:p>
    <w:p w14:paraId="3C4273E1" w14:textId="0677A09A" w:rsidR="00E30B60" w:rsidRPr="00674FFD" w:rsidRDefault="00CB547F" w:rsidP="00674FFD">
      <w:pPr>
        <w:pStyle w:val="ListParagraph"/>
        <w:numPr>
          <w:ilvl w:val="0"/>
          <w:numId w:val="1"/>
        </w:numPr>
        <w:tabs>
          <w:tab w:val="left" w:pos="389"/>
        </w:tabs>
        <w:spacing w:before="102"/>
        <w:ind w:right="0"/>
        <w:jc w:val="both"/>
        <w:rPr>
          <w:sz w:val="20"/>
        </w:rPr>
      </w:pPr>
      <w:r>
        <w:rPr>
          <w:sz w:val="20"/>
        </w:rPr>
        <w:t xml:space="preserve">I § 13, litra i), indsættes et komma efter teksten "(p) til (s)", og teksten "og (u)" erstattes af "(u) og </w:t>
      </w:r>
      <w:r>
        <w:rPr>
          <w:sz w:val="20"/>
        </w:rPr>
        <w:lastRenderedPageBreak/>
        <w:t>(v)".</w:t>
      </w:r>
    </w:p>
    <w:p w14:paraId="5C64465E" w14:textId="77777777" w:rsidR="00E30B60" w:rsidRDefault="00CB547F">
      <w:pPr>
        <w:pStyle w:val="ListParagraph"/>
        <w:numPr>
          <w:ilvl w:val="0"/>
          <w:numId w:val="1"/>
        </w:numPr>
        <w:tabs>
          <w:tab w:val="left" w:pos="389"/>
        </w:tabs>
        <w:spacing w:before="125"/>
        <w:ind w:right="0"/>
        <w:rPr>
          <w:sz w:val="20"/>
        </w:rPr>
      </w:pPr>
      <w:r>
        <w:rPr>
          <w:sz w:val="20"/>
        </w:rPr>
        <w:t>I artikel IV udgår teksten "og § 103, stk. 23, nr. 5)," og følgende tekst indsættes i slutningen:</w:t>
      </w:r>
    </w:p>
    <w:p w14:paraId="0DEC76DE" w14:textId="77777777" w:rsidR="00E30B60" w:rsidRDefault="00CB547F">
      <w:pPr>
        <w:pStyle w:val="BodyText"/>
        <w:spacing w:before="6"/>
        <w:ind w:left="388"/>
      </w:pPr>
      <w:r>
        <w:t>"med undtagelse af artikel III, § 103, stk. 23, nr. 5), som træder i kraft den 1. januar 2023".</w:t>
      </w:r>
    </w:p>
    <w:p w14:paraId="4398D9A5" w14:textId="77777777" w:rsidR="00E30B60" w:rsidRDefault="00CB547F">
      <w:pPr>
        <w:pStyle w:val="ListParagraph"/>
        <w:numPr>
          <w:ilvl w:val="0"/>
          <w:numId w:val="1"/>
        </w:numPr>
        <w:tabs>
          <w:tab w:val="left" w:pos="389"/>
        </w:tabs>
        <w:spacing w:before="105"/>
        <w:ind w:right="0"/>
        <w:rPr>
          <w:sz w:val="20"/>
        </w:rPr>
      </w:pPr>
      <w:r>
        <w:rPr>
          <w:sz w:val="20"/>
        </w:rPr>
        <w:t>Den eksisterende tekst i bilag 2 mærkes som punkt ét, og følgende indsættes som punkt to:</w:t>
      </w:r>
    </w:p>
    <w:p w14:paraId="59E27538" w14:textId="77777777" w:rsidR="00E30B60" w:rsidRDefault="00CB547F">
      <w:pPr>
        <w:pStyle w:val="BodyText"/>
        <w:spacing w:before="105" w:line="244" w:lineRule="auto"/>
        <w:ind w:left="785" w:hanging="397"/>
      </w:pPr>
      <w:r>
        <w:t>"2.Europa-Parlamentets og Rådets direktiv (EU) 2019/904 af 5. juni 2019 om reduktion af visse plastprodukters miljøpåvirkning (EUT L 155 af 12.6.2019).".</w:t>
      </w:r>
    </w:p>
    <w:p w14:paraId="5FB7BCDC" w14:textId="77777777" w:rsidR="00E30B60" w:rsidRDefault="00CB547F">
      <w:pPr>
        <w:pStyle w:val="BodyText"/>
        <w:spacing w:before="204"/>
        <w:ind w:left="105" w:right="105"/>
        <w:jc w:val="center"/>
        <w:rPr>
          <w:b/>
        </w:rPr>
      </w:pPr>
      <w:r>
        <w:rPr>
          <w:b/>
        </w:rPr>
        <w:t>Artikel III</w:t>
      </w:r>
    </w:p>
    <w:p w14:paraId="26D523C2" w14:textId="77777777" w:rsidR="00E30B60" w:rsidRDefault="00CB547F">
      <w:pPr>
        <w:pStyle w:val="BodyText"/>
        <w:spacing w:before="217" w:line="276" w:lineRule="auto"/>
        <w:ind w:left="105" w:right="103" w:firstLine="226"/>
        <w:jc w:val="both"/>
      </w:pPr>
      <w:r>
        <w:t>Denne lov træder i kraft den 1. december 2021, bortset fra artikel I, nr. 3 og 6, § 75f, stk. 1 og nr. 11, som træder i kraft den 1. januar 2022, artikel I, nr. 6 i § 75d, stk. 1, der træder i kraft den 3. juli 2024, artikel I, nr. 6 i § 75f, litra d), og stk. 6, som træder i kraft den 1. december 2021, artikel I, nr. 6, § 75d, stk. 4, litra a), der træder i kraft den 1. januar 2025, og artikel I, nr. 6, i § 75d, stk. 4, litra b), som træder i kraft den 1. januar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proofErr w:type="spellStart"/>
      <w:r>
        <w:rPr>
          <w:b/>
        </w:rPr>
        <w:t>Zuzana</w:t>
      </w:r>
      <w:proofErr w:type="spellEnd"/>
      <w:r>
        <w:rPr>
          <w:b/>
        </w:rPr>
        <w:t xml:space="preserve"> </w:t>
      </w:r>
      <w:proofErr w:type="spellStart"/>
      <w:r>
        <w:rPr>
          <w:b/>
        </w:rPr>
        <w:t>Čaputová</w:t>
      </w:r>
      <w:proofErr w:type="spellEnd"/>
      <w:r>
        <w:rPr>
          <w:b/>
        </w:rPr>
        <w:t xml:space="preserve"> </w:t>
      </w:r>
      <w:proofErr w:type="spellStart"/>
      <w:r>
        <w:rPr>
          <w:b/>
        </w:rPr>
        <w:t>m.p</w:t>
      </w:r>
      <w:proofErr w:type="spellEnd"/>
      <w:r>
        <w:rPr>
          <w:b/>
        </w:rPr>
        <w:t>.</w:t>
      </w:r>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w:t>
      </w:r>
      <w:proofErr w:type="spellStart"/>
      <w:r>
        <w:rPr>
          <w:b/>
        </w:rPr>
        <w:t>m.p</w:t>
      </w:r>
      <w:proofErr w:type="spellEnd"/>
      <w:r>
        <w:rPr>
          <w:b/>
        </w:rPr>
        <w:t xml:space="preserve">. Eduard Heger </w:t>
      </w:r>
      <w:proofErr w:type="spellStart"/>
      <w:r>
        <w:rPr>
          <w:b/>
        </w:rPr>
        <w:t>m.p</w:t>
      </w:r>
      <w:proofErr w:type="spellEnd"/>
      <w:r>
        <w:rPr>
          <w:b/>
        </w:rPr>
        <w:t>.</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6BF7E0BB" w:rsidR="00E30B60" w:rsidRDefault="00846F8C">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Side 11 </w:t>
      </w:r>
      <w:r w:rsidR="00674FFD">
        <w:tab/>
      </w:r>
      <w:r w:rsidR="00D0358C">
        <w:t xml:space="preserve">Samling af love for Den Slovakiske Republik </w:t>
      </w:r>
      <w:r w:rsidR="00674FFD">
        <w:tab/>
      </w:r>
      <w:r w:rsidR="00674FFD">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846F8C">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Udgiver af Den Slovakiske Republiks lovsamling og indholdsadministrator og operatør af den juridiske og informationsportal </w:t>
      </w:r>
      <w:proofErr w:type="spellStart"/>
      <w:r>
        <w:rPr>
          <w:sz w:val="18"/>
        </w:rPr>
        <w:t>Slov</w:t>
      </w:r>
      <w:proofErr w:type="spellEnd"/>
      <w:r>
        <w:rPr>
          <w:sz w:val="18"/>
        </w:rPr>
        <w:t xml:space="preserve">-Lex, der kan findes på </w:t>
      </w:r>
      <w:hyperlink r:id="rId10">
        <w:r>
          <w:rPr>
            <w:sz w:val="18"/>
          </w:rPr>
          <w:t>www.slov-lex.sk</w:t>
        </w:r>
      </w:hyperlink>
      <w:r>
        <w:t>is</w:t>
      </w:r>
    </w:p>
    <w:p w14:paraId="38FEE7A0" w14:textId="77777777" w:rsidR="00E30B60" w:rsidRDefault="00CB547F">
      <w:pPr>
        <w:spacing w:before="1" w:line="244" w:lineRule="auto"/>
        <w:ind w:left="1754" w:right="1752"/>
        <w:jc w:val="center"/>
        <w:rPr>
          <w:sz w:val="18"/>
        </w:rPr>
      </w:pPr>
      <w:r>
        <w:rPr>
          <w:sz w:val="18"/>
        </w:rPr>
        <w:t xml:space="preserve">Den Slovakiske Republiks regeringskontor,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tlf.:02 888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BE86" w14:textId="77777777" w:rsidR="00846F8C" w:rsidRDefault="00846F8C">
      <w:r>
        <w:separator/>
      </w:r>
    </w:p>
  </w:endnote>
  <w:endnote w:type="continuationSeparator" w:id="0">
    <w:p w14:paraId="133E7DBF" w14:textId="77777777" w:rsidR="00846F8C" w:rsidRDefault="0084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340" w14:textId="77777777" w:rsidR="00846F8C" w:rsidRDefault="00846F8C">
      <w:r>
        <w:separator/>
      </w:r>
    </w:p>
  </w:footnote>
  <w:footnote w:type="continuationSeparator" w:id="0">
    <w:p w14:paraId="123CA785" w14:textId="77777777" w:rsidR="00846F8C" w:rsidRDefault="0084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846F8C">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Side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Den Slovakiske Republiks lovsamling</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7777777" w:rsidR="00E30B60" w:rsidRDefault="00846F8C">
    <w:pPr>
      <w:pStyle w:val="BodyText"/>
      <w:spacing w:line="14" w:lineRule="auto"/>
    </w:pP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type id="_x0000_t202" coordsize="21600,21600" o:spt="202" path="m,l,21600r21600,l21600,xe">
          <v:stroke joinstyle="miter"/>
          <v:path gradientshapeok="t" o:connecttype="rect"/>
        </v:shapetype>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Den Slovakiske Republiks lovsamling</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Side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70FBD"/>
    <w:rsid w:val="004F4D7F"/>
    <w:rsid w:val="00674FFD"/>
    <w:rsid w:val="00846F8C"/>
    <w:rsid w:val="00CB547F"/>
    <w:rsid w:val="00D0358C"/>
    <w:rsid w:val="00DE715F"/>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3795</Words>
  <Characters>21787</Characters>
  <Application>Microsoft Office Word</Application>
  <DocSecurity>0</DocSecurity>
  <Lines>484</Lines>
  <Paragraphs>243</Paragraphs>
  <ScaleCrop>false</ScaleCrop>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2022-03-29T07:00:00Z</dcterms:created>
  <dcterms:modified xsi:type="dcterms:W3CDTF">2022-03-29T08:40:00Z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