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0C28677B" w:rsidR="00E30B60" w:rsidRDefault="00CB547F">
      <w:pPr>
        <w:spacing w:before="6"/>
        <w:ind w:left="105" w:right="225"/>
        <w:jc w:val="center"/>
        <w:rPr>
          <w:sz w:val="46"/>
        </w:rPr>
      </w:pPr>
      <w:r>
        <w:rPr>
          <w:sz w:val="46"/>
        </w:rPr>
        <w:t xml:space="preserve">COLETÂNEA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456759">
        <w:rPr>
          <w:sz w:val="46"/>
        </w:rPr>
        <w:t xml:space="preserve"> </w:t>
      </w:r>
      <w:r>
        <w:rPr>
          <w:sz w:val="46"/>
        </w:rPr>
        <w:t>DAS LEIS</w:t>
      </w:r>
    </w:p>
    <w:p w14:paraId="350B1BBF" w14:textId="77777777" w:rsidR="00E30B60" w:rsidRDefault="00CB547F">
      <w:pPr>
        <w:spacing w:before="66"/>
        <w:ind w:left="105" w:right="105"/>
        <w:jc w:val="center"/>
        <w:rPr>
          <w:sz w:val="34"/>
        </w:rPr>
      </w:pPr>
      <w:r>
        <w:rPr>
          <w:sz w:val="34"/>
        </w:rPr>
        <w:t>DA REPÚBLICA ESLOVACA</w:t>
      </w:r>
    </w:p>
    <w:p w14:paraId="06343233" w14:textId="77777777" w:rsidR="00E30B60" w:rsidRDefault="00501543">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Volume de 2021</w:t>
      </w:r>
    </w:p>
    <w:p w14:paraId="0B8D25E3" w14:textId="531DB29F" w:rsidR="00D0358C" w:rsidRDefault="00CB547F">
      <w:pPr>
        <w:tabs>
          <w:tab w:val="left" w:pos="4781"/>
        </w:tabs>
        <w:spacing w:before="38" w:line="403" w:lineRule="auto"/>
        <w:ind w:left="105" w:right="103"/>
        <w:jc w:val="center"/>
      </w:pPr>
      <w:r>
        <w:t xml:space="preserve">Promulgado: 26.11.2021 </w:t>
      </w:r>
      <w:r w:rsidR="00456759">
        <w:t xml:space="preserve">        </w:t>
      </w:r>
      <w:r>
        <w:t>Versão temporal da legislação em vigor desde: 01.01.2030</w:t>
      </w:r>
    </w:p>
    <w:p w14:paraId="1B7690C4" w14:textId="22EA24A9" w:rsidR="00E30B60" w:rsidRDefault="00CB547F">
      <w:pPr>
        <w:tabs>
          <w:tab w:val="left" w:pos="4781"/>
        </w:tabs>
        <w:spacing w:before="38" w:line="403" w:lineRule="auto"/>
        <w:ind w:left="105" w:right="103"/>
        <w:jc w:val="center"/>
      </w:pPr>
      <w:r>
        <w:t xml:space="preserve"> O conteúdo do documento é juridicamente vinculativo.</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L E I</w:t>
      </w:r>
    </w:p>
    <w:p w14:paraId="319B4591" w14:textId="77777777" w:rsidR="00E30B60" w:rsidRDefault="00CB547F">
      <w:pPr>
        <w:pStyle w:val="BodyText"/>
        <w:spacing w:before="60"/>
        <w:ind w:left="105" w:right="105"/>
        <w:jc w:val="center"/>
      </w:pPr>
      <w:r>
        <w:t>de 2 de novembro de 2021,</w:t>
      </w:r>
    </w:p>
    <w:p w14:paraId="2CC89435" w14:textId="77777777" w:rsidR="00E30B60" w:rsidRDefault="00CB547F">
      <w:pPr>
        <w:pStyle w:val="BodyText"/>
        <w:spacing w:before="93" w:line="244" w:lineRule="auto"/>
        <w:ind w:left="1230" w:right="1228"/>
        <w:jc w:val="center"/>
        <w:rPr>
          <w:b/>
        </w:rPr>
      </w:pPr>
      <w:r>
        <w:rPr>
          <w:b/>
        </w:rPr>
        <w:t>que altera a Lei n.º 79/2015 relativa aos resíduos e às alterações a determinadas leis, na sua versão alterada, e que altera a Lei n.º 302/2019 relativa a um regime de devolução de depósitos para recipientes de bebidas descartáveis e à alteração de determinadas leis, conforme alteração</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O Conselho Nacional da República Eslovaca aprovou a seguinte Lei:</w:t>
      </w:r>
    </w:p>
    <w:p w14:paraId="5C1BC0D2" w14:textId="77777777" w:rsidR="00E30B60" w:rsidRDefault="00CB547F">
      <w:pPr>
        <w:pStyle w:val="BodyText"/>
        <w:spacing w:before="208"/>
        <w:ind w:left="105" w:right="105"/>
        <w:jc w:val="center"/>
        <w:rPr>
          <w:b/>
        </w:rPr>
      </w:pPr>
      <w:r>
        <w:rPr>
          <w:b/>
        </w:rPr>
        <w:t>Artigo I</w:t>
      </w:r>
    </w:p>
    <w:p w14:paraId="2FC10E75" w14:textId="4EC5C8BF" w:rsidR="00E30B60" w:rsidRDefault="00CB547F">
      <w:pPr>
        <w:pStyle w:val="BodyText"/>
        <w:spacing w:before="217" w:line="276" w:lineRule="auto"/>
        <w:ind w:left="105" w:right="103" w:firstLine="226"/>
        <w:jc w:val="both"/>
      </w:pPr>
      <w:r>
        <w:t>A Lei n.º 79/2015 relativa aos resíduos e às alterações a determinadas leis, alterada pela Lei n.º 91/2016, Lei n.º 313/2016, Lei n.º 90/2017, Lei n.º 292/2017, Lei n.º 106/2018, Lei n.º 177/2018, Lei n.º 208/2018, Lei n.º 312/2018, Lei n.º 302/2019, Lei n.º 364/2019, Lei n.º 460/2019, Lei n.º 74/2020, Lei n.º 218/2020, Lei n.º 285/2020, Lei n.º 9/2021</w:t>
      </w:r>
    </w:p>
    <w:p w14:paraId="1C547400" w14:textId="235D3DB4" w:rsidR="00E30B60" w:rsidRDefault="00CB547F">
      <w:pPr>
        <w:pStyle w:val="BodyText"/>
        <w:spacing w:line="276" w:lineRule="auto"/>
        <w:ind w:left="105" w:right="193"/>
      </w:pPr>
      <w:r>
        <w:t>46/2021, A Lei n.º 128/2021, a Lei n.º 216/2021 e a Lei n.º 372/2021 são alteradas do seguinte modo:</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No Artigo 27(1), o termo ‘sétimo’ é substituído por ‘oitavo’.</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No Artigo 52, os parágrafos 29 e 30 são suprimidos.</w:t>
      </w:r>
    </w:p>
    <w:p w14:paraId="731629A1" w14:textId="77777777" w:rsidR="00E30B60" w:rsidRDefault="00CB547F">
      <w:pPr>
        <w:pStyle w:val="BodyText"/>
        <w:spacing w:before="105"/>
        <w:ind w:left="729"/>
      </w:pPr>
      <w:r>
        <w:t>Os parágrafos 31 a 35 passam a ser os parágrafos 29 a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Após o Artigo 53, é inserido o Artigo 53aa, com a seguinte redação:</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‘Artigo 53aa</w:t>
      </w:r>
    </w:p>
    <w:p w14:paraId="78A7988B" w14:textId="0782E007" w:rsidR="00E30B60" w:rsidRDefault="00CB547F">
      <w:pPr>
        <w:pStyle w:val="BodyText"/>
        <w:spacing w:before="217" w:line="276" w:lineRule="auto"/>
        <w:ind w:left="502" w:right="193" w:firstLine="226"/>
      </w:pPr>
      <w:r>
        <w:t>Os organismos de administração do estado não devem organizar a compra de bebidas em embalagens de utilização única para as suas atividades.’.</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O Artigo 53a é suprimido.</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O Artigo 73a é suprimido.</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Após o Artigo 75, é inserida uma nova secção oito que, incluindo o título, diz:</w:t>
      </w:r>
    </w:p>
    <w:p w14:paraId="2697A68C" w14:textId="2E831C55" w:rsidR="00E30B60" w:rsidRDefault="00456759" w:rsidP="00456759">
      <w:pPr>
        <w:pStyle w:val="BodyText"/>
        <w:spacing w:before="208" w:line="302" w:lineRule="auto"/>
        <w:ind w:left="3119" w:right="1701" w:firstLine="720"/>
        <w:rPr>
          <w:b/>
        </w:rPr>
      </w:pPr>
      <w:r>
        <w:rPr>
          <w:b/>
        </w:rPr>
        <w:t xml:space="preserve">            </w:t>
      </w:r>
      <w:r w:rsidR="00CB547F">
        <w:rPr>
          <w:b/>
        </w:rPr>
        <w:t>«Secção oito</w:t>
      </w:r>
      <w:r w:rsidR="00CB547F">
        <w:rPr>
          <w:b/>
        </w:rPr>
        <w:br/>
      </w:r>
      <w:r>
        <w:rPr>
          <w:b/>
        </w:rPr>
        <w:t xml:space="preserve">            </w:t>
      </w:r>
      <w:r w:rsidR="00CB547F">
        <w:rPr>
          <w:b/>
        </w:rPr>
        <w:t>Produtos plásticos especiais</w:t>
      </w:r>
    </w:p>
    <w:p w14:paraId="22DCFF1C" w14:textId="5AE4B7C0" w:rsidR="00E30B60" w:rsidRDefault="00456759" w:rsidP="00456759">
      <w:pPr>
        <w:pStyle w:val="BodyText"/>
        <w:spacing w:before="245" w:line="281" w:lineRule="auto"/>
        <w:ind w:left="4014" w:right="1701" w:firstLine="851"/>
        <w:rPr>
          <w:b/>
        </w:rPr>
      </w:pPr>
      <w:r>
        <w:rPr>
          <w:b/>
        </w:rPr>
        <w:t xml:space="preserve">    </w:t>
      </w:r>
      <w:r w:rsidR="00CB547F">
        <w:rPr>
          <w:b/>
        </w:rPr>
        <w:t>§ 75a</w:t>
      </w:r>
      <w:r w:rsidR="00CB547F">
        <w:rPr>
          <w:b/>
        </w:rPr>
        <w:br/>
      </w:r>
      <w:r>
        <w:rPr>
          <w:b/>
        </w:rPr>
        <w:t xml:space="preserve">      </w:t>
      </w:r>
      <w:r w:rsidR="00CB547F">
        <w:rPr>
          <w:b/>
        </w:rPr>
        <w:t>Disposições de base</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A presente Secção regula os requisitos e as medidas destinadas a prevenir o impacto ambiental de determinados produtos plásticos de utilização única, em especial no meio aquático, na</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saúde humana, a fim de reduzir esse impacto e apoiar a transição para uma economia circular com modelos de negócios, produtos e materiais inovadores e sustentáveis.</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As disposições da presente Secção aplicam-se aos produtos plásticos de utilização única enumerados no Anexo 7a, aos produtos plásticos oxo-degradáveis e às artes de pesca que contenham plástico.</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Salvo disposição em contrário da presente Secção, as disposições gerais da presente Lei aplicam-se a todos os produtos plásticos de utilização única e às artes de pesca que contenham plástico colocados no mercado ou para distribuição na República Eslovaca e à gestão dos resíduos deles provenientes.</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Para efeitos da presente secção, entende-se por plástico um material constituído por um polímero, 72(a) ao qual podem ter sido adicionados aditivos ou outras substâncias e que pode funcionar como o principal componente dos produtos acabados, com exceção dos polímeros naturais que não tenham sido quimicamente modificados.</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Produto plástico de utilização única significa que é um produto produzido total ou parcialmente a partir de plástico e que não é concebido, fabricado ou colocado no mercado para realizar, dentro do seu tempo de vida, ciclos ou rotações múltiplos, sendo devolvido a um produtor para recarregar ou reutilizar para o mesmo fim para o qual foi fabricado.</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Plástico oxo-degradável é um material plástico que contém aditivos que, por oxidação, decompõem o material plástico em micro-fragmentos ou decompõem-no quimicamente.</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Arte de pesca significa qualquer artigo ou equipamento utilizado na pesca ou na aquicultura para atingir, capturar ou elevar recursos biológicos marinhos ou que flutua na superfície do mar, e que é utilizado com o objetivo de atrair e capturar ou elevar esses recursos biológicos marinhos.</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Resíduos de artes de pesca significa qualquer arte de pesca que se tenha transformado em resíduos, incluindo todos os componentes, substâncias ou materiais separados que faziam parte ou estavam ligados a essas artes de pesca quando foram descartadas, incluindo quando foram abandonadas ou perdidas.</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A colocação no mercado é a primeira disponibilização no mercado de um produto plástico de utilização única ou de artes de pesca que contenham plástico na República Eslovaca.</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A colocação à disposição no mercado significa qualquer fornecimento de um produto plástico de utilização única ou de artes de pesca que contenham plástico destinado à distribuição, consumo ou utilização no mercado da República Eslovaca como parte de atividades comerciais, a título oneroso ou gratuito.</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Uma norma harmonizada é uma norma europeia adotada com base nos requisitos da Comissão para a aplicação da legislação harmonizada da UE.</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O fabricante de um produto plástico de utilização única ou de artes de pesca contendo plástico é qualquer operador único ou entidade empresarial que, independentemente das técnicas de venda utilizadas, incluindo as vendas por correspondência e pela internet, 96b) exceto no caso de uma entidade que exerça atividades de pesca ao abrigo da legislação especial,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tenha a sua sede social ou estabelecimento na República Eslovaca e fabrique produtos plásticos de utilização única e artes de pesca, ou tenha produtos plásticos de utilização única e artes de pesca fabricados, e os coloque no mercado;</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tenha a sua sede social ou estabelecimento na República Eslovaca e venda produtos plásticos e artes de pesca de utilização única na República Eslovaca;</w:t>
      </w:r>
    </w:p>
    <w:p w14:paraId="4D4600DA" w14:textId="47D2096B" w:rsidR="00E30B60" w:rsidRPr="00456759" w:rsidRDefault="00CB547F" w:rsidP="00456759">
      <w:pPr>
        <w:pStyle w:val="ListParagraph"/>
        <w:numPr>
          <w:ilvl w:val="0"/>
          <w:numId w:val="21"/>
        </w:numPr>
        <w:tabs>
          <w:tab w:val="left" w:pos="786"/>
        </w:tabs>
        <w:spacing w:before="100" w:line="276" w:lineRule="auto"/>
        <w:jc w:val="both"/>
        <w:rPr>
          <w:sz w:val="20"/>
        </w:rPr>
      </w:pPr>
      <w:r>
        <w:rPr>
          <w:sz w:val="20"/>
        </w:rPr>
        <w:lastRenderedPageBreak/>
        <w:t>tenha a sua sede social ou estabelecimento na República Eslovaca e encha produtos plásticos de uso único ou tenha enchido produtos plásticos de uso único e os coloque no mercado;</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tenha a sua sede social ou estabelecimento na República Eslovaca e coloque no mercado da República Eslovaca produtos plásticos de utilização única e artes de pesca provenientes de outro Estado-Membro ou de um Estado terceiro, como parte das suas atividades comerciais;</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venda na República Eslovaca produtos plásticos de utilização única e artes de pesca, através de meios de comunicação à distância, diretamente a utilizadores domésticos ou utilizadores não domésticos e tenha a sua sede social ou estabelecimento noutro Estado-Membro ou noutro Estado terceiro;</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tenha a sua sede social ou estabelecimento na República Eslovaca e, no âmbito das suas atividades comerciais, venda produtos plásticos de utilização única e artes de pesca diretamente a um utilizador de outro Estado-Membro, com base num contrato à distância.</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Plástico biodegradável significa plástico capaz de sofrer decomposição física e biológica de modo que, em última análise, se decompõe em dióxido de carbono (CO2), biomassa e água e é, em conformidade com as normas europeias de embalagem, recuperável através da compostagem e da digestão anaeróbia.</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As instalações de receção portuária são instalações de receção portuária de acordo com a legislação especial.96d)</w:t>
      </w:r>
    </w:p>
    <w:p w14:paraId="3BCA738D" w14:textId="77777777" w:rsidR="00E30B60" w:rsidRDefault="00CB547F">
      <w:pPr>
        <w:pStyle w:val="ListParagraph"/>
        <w:numPr>
          <w:ilvl w:val="1"/>
          <w:numId w:val="22"/>
        </w:numPr>
        <w:tabs>
          <w:tab w:val="left" w:pos="1161"/>
        </w:tabs>
        <w:ind w:left="1161" w:right="0" w:hanging="432"/>
        <w:rPr>
          <w:sz w:val="20"/>
        </w:rPr>
      </w:pPr>
      <w:r>
        <w:rPr>
          <w:sz w:val="20"/>
        </w:rPr>
        <w:t>Os produtos do tabaco são produtos do tabaco definidos de acordo com a legislação especial.96e)</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 75b</w:t>
      </w:r>
      <w:r>
        <w:rPr>
          <w:b/>
        </w:rPr>
        <w:br/>
        <w:t>Redução do consumo</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Um fabricante de produtos plásticos de utilização única que forneça os produtos plásticos de utilização única enumerados no Anexo n.º 7a da Parte A ao consumidor final, para o consumo de alimentos e bebidas num local diferente do local de venda é obrigado a</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fornecê-los em contrapartida do pagamento; deve informar o consumidor final desse facto;</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oferecer uma alternativa reutilizável ao consumidor final; ou</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oferecer uma alternativa biodegradável.</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Não podem ser fornecidos aos consumidores para consumo de alimentos e bebidas no ponto de venda:</w:t>
      </w:r>
    </w:p>
    <w:p w14:paraId="4734A695" w14:textId="77777777" w:rsidR="00E30B60" w:rsidRDefault="00CB547F">
      <w:pPr>
        <w:pStyle w:val="ListParagraph"/>
        <w:numPr>
          <w:ilvl w:val="0"/>
          <w:numId w:val="18"/>
        </w:numPr>
        <w:tabs>
          <w:tab w:val="left" w:pos="786"/>
        </w:tabs>
        <w:spacing w:before="100"/>
        <w:ind w:right="0"/>
        <w:rPr>
          <w:sz w:val="20"/>
        </w:rPr>
      </w:pPr>
      <w:r>
        <w:rPr>
          <w:sz w:val="20"/>
        </w:rPr>
        <w:t>produtos plásticos de utilização única em estabelecimentos permanentes de restauração pública e de fast-food;</w:t>
      </w:r>
    </w:p>
    <w:p w14:paraId="49E77A18" w14:textId="77777777" w:rsidR="00E30B60" w:rsidRDefault="00CB547F">
      <w:pPr>
        <w:pStyle w:val="ListParagraph"/>
        <w:numPr>
          <w:ilvl w:val="0"/>
          <w:numId w:val="18"/>
        </w:numPr>
        <w:tabs>
          <w:tab w:val="left" w:pos="786"/>
        </w:tabs>
        <w:spacing w:before="135"/>
        <w:ind w:right="0"/>
        <w:rPr>
          <w:sz w:val="20"/>
        </w:rPr>
      </w:pPr>
      <w:r>
        <w:rPr>
          <w:sz w:val="20"/>
        </w:rPr>
        <w:t>pratos plásticos de uso único em eventos públicos.</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Para além da proibição prevista no parágrafo 2(b), o organizador de um evento público é obrigado, no caso de produtos biodegradáveis, a assegurar a sua subsequente recolha separada.</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O fabricante de produtos plásticos de utilização única enumerados na Parte A do Anexo 7a manterá e conservará registos de cada produto colocado no mercado da República Eslovaca e comunicará ao Ministério os seus dados na medida especificada e manterá os dados comunicados.</w:t>
      </w:r>
    </w:p>
    <w:p w14:paraId="2E7C43F1" w14:textId="5FC02576" w:rsidR="00E30B60" w:rsidRDefault="00CB547F">
      <w:pPr>
        <w:pStyle w:val="ListParagraph"/>
        <w:numPr>
          <w:ilvl w:val="0"/>
          <w:numId w:val="20"/>
        </w:numPr>
        <w:tabs>
          <w:tab w:val="left" w:pos="1058"/>
        </w:tabs>
        <w:spacing w:line="276" w:lineRule="auto"/>
        <w:ind w:firstLine="226"/>
        <w:jc w:val="both"/>
        <w:rPr>
          <w:sz w:val="20"/>
        </w:rPr>
      </w:pPr>
      <w:r>
        <w:rPr>
          <w:sz w:val="20"/>
        </w:rPr>
        <w:t>O fabricante de um produto plástico de utilização única constante da Parte A do Anexo 7a elaborará um relatório sobre as medidas tomadas para reduzir o consumo e comunicará ao Ministério, o mais tardar até 30 de abril, os progressos realizados na redução do consumo.</w:t>
      </w:r>
    </w:p>
    <w:p w14:paraId="696A06AB" w14:textId="77777777" w:rsidR="00456759" w:rsidRDefault="00456759" w:rsidP="00456759">
      <w:pPr>
        <w:pStyle w:val="ListParagraph"/>
        <w:tabs>
          <w:tab w:val="left" w:pos="1058"/>
        </w:tabs>
        <w:spacing w:line="276" w:lineRule="auto"/>
        <w:ind w:left="728" w:firstLine="0"/>
        <w:jc w:val="left"/>
        <w:rPr>
          <w:sz w:val="20"/>
        </w:rPr>
      </w:pP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 75c</w:t>
      </w:r>
    </w:p>
    <w:p w14:paraId="3AF504C1" w14:textId="4FB54CC3" w:rsidR="00E30B60" w:rsidRDefault="00CB547F" w:rsidP="00456759">
      <w:pPr>
        <w:pStyle w:val="BodyText"/>
        <w:spacing w:before="218" w:line="276" w:lineRule="auto"/>
        <w:ind w:left="502" w:right="110" w:firstLine="226"/>
      </w:pPr>
      <w:r>
        <w:t>É proibido colocar no mercado da República Eslovaca os produtos de plástico de utilização única enumerados no anexo 7a, parte B, e plástico oxodegradável.</w:t>
      </w: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Requisitos aplicáveis aos produtos plásticos de utilização única</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O fabricante de um produto plástico de utilização única é obrigado a colocar, no mercado da República Eslovaca, recipientes para bebidas, enumerados na Parte C do Anexo 7a, desde que as tampas ou cápsulas feitas de plástico permaneçam ligadas aos recipientes de bebidas durante a utilização prevista do produto.</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Os recipientes para bebidas enumerados na Parte C do Anexo 7a, fabricados em conformidade com normas harmonizadas, cuja referência tenha sido publicada no Jornal Oficial da União Europeia, são considerados recipientes para bebidas em conformidade com o requisito previsto no parágrafo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As tampas metálicas ou as tampas com selos de plástico não são consideradas como sendo feitas de plástico.</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O fabricante de um produto plástico de utilização única, constante da Parte F do Anexo 7a, é obrigado a colocar garrafas de bebidas no mercado da República Eslovaca</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fabricadas a partir de tereftalato de polietileno (a seguir designadas ‘garrafas de bebidas PET’) contendo, pelo menos, 25% de plástico reciclado a partir da quantidade total de garrafas de bebidas PET que coloca no mercado na República Eslovaca;</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com um teor mínimo de 30% de plástico reciclado a partir da quantidade total de garrafas plásticas de bebidas que coloca no mercado na República Eslovaca.</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O fabricante de um produto plástico de utilização única deve apresentar ao Ministério, o mais tardar até 30 de abril, um relatório sobre o teor de plástico reciclado, nos termos do parágrafo 4, relativamente ao ano civil anterior. Esta obrigação deve ser cumprida, no caso de um fabricante de embalagens que coloque no mercado bebidas em embalagens de uso único retornáveis, por uma entidade nos termos da legislação especial.</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Requisitos em matéria de rotulagem de produtos</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O fabricante de um produto plástico de utilização única constante da Parte D do Anexo 7a é obrigado, antes de colocar o produto no mercado da República Eslovaca, a rotular este produto com informações destinadas aos consumidores quanto</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às formas mais adequadas de eliminação do produto ou de eliminação de resíduos, que é necessário evitar no caso do produto em questão, quando se transforma em resíduo, de acordo com a hierarquia de gestão dos resíduos;</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à presença de plástico no produto e aos seus impactos ambientais negativos quando o produto se transforma em resíduo.</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A rotulagem referida no parágrafo 1 deve ser aposta na embalagem do produto, nas unidades de embalagem do produto ou no próprio produto, de modo a que seja proeminente, legível e indelével.</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O fabricante de um produto plástico de utilização única enumerado na Parte D do Anexo 7a é obrigado a assegurar a rotulagem da embalagem em conformidade com o parágrafo 1, de acordo com as especificações previstas na legislação especial.</w:t>
      </w:r>
      <w:r>
        <w:rPr>
          <w:sz w:val="10"/>
        </w:rPr>
        <w:t>96g</w:t>
      </w:r>
      <w:r>
        <w:rPr>
          <w:sz w:val="20"/>
        </w:rPr>
        <w:t>)</w:t>
      </w:r>
      <w:r>
        <w:t>.</w:t>
      </w:r>
    </w:p>
    <w:p w14:paraId="31D82300" w14:textId="41829729" w:rsidR="00E30B60" w:rsidRPr="00456759" w:rsidRDefault="00CB547F" w:rsidP="00456759">
      <w:pPr>
        <w:pStyle w:val="ListParagraph"/>
        <w:numPr>
          <w:ilvl w:val="0"/>
          <w:numId w:val="15"/>
        </w:numPr>
        <w:tabs>
          <w:tab w:val="left" w:pos="1039"/>
        </w:tabs>
        <w:spacing w:line="276" w:lineRule="auto"/>
        <w:ind w:firstLine="226"/>
        <w:jc w:val="both"/>
        <w:rPr>
          <w:sz w:val="20"/>
        </w:rPr>
      </w:pPr>
      <w:r>
        <w:rPr>
          <w:sz w:val="20"/>
        </w:rPr>
        <w:t xml:space="preserve">A rotulagem dos produtos do tabaco a que se refere o parágrafo 1 será complementar à </w:t>
      </w:r>
      <w:r>
        <w:rPr>
          <w:sz w:val="20"/>
        </w:rPr>
        <w:lastRenderedPageBreak/>
        <w:t>rotulagem nos termos da legislação especial.</w:t>
      </w:r>
      <w:r>
        <w:rPr>
          <w:sz w:val="10"/>
        </w:rPr>
        <w:t>96h</w:t>
      </w:r>
      <w:r>
        <w:rPr>
          <w:sz w:val="20"/>
        </w:rPr>
        <w:t>)</w:t>
      </w: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Responsabilidade alargada do fabricante de um produto plástico especial</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Para além das obrigações previstas nos parágrafos 27 e 52, o fabricante de um produto plástico de utilização única enumerado no Anexo 7a, Parte E, Secção I, suportará os custos</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das medidas de sensibilização para os seus produtos colocados no mercado da República Eslovaca;</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associados à recolha, transporte, valorização, reciclagem, tratamento e eliminação de resíduos;</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associados à limpeza do lixo resultante destes produtos em áreas onde não foram descartados em sistemas locais de recolha de resíduos.</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O fabricante de produtos de tabaco, para efeitos da obrigação prevista no parágrafo 1(b) pode estabelecer uma infraestrutura específica para a recolha de resíduos desses produtos.</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O fabricante de um produto plástico de utilização única constante do Anexo 7a, Parte E, Secções II e III deve ser obrigado a</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suportar os custos das medidas de sensibilização relacionadas com os seus produtos colocados no mercado da República Eslovaca;</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suportar os custos associados à limpeza do lixo destes produtos em zonas em que não tenham sido descartados em sistemas locais de recolha de resíduos;</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manter e conservar registos dos produtos colocados no mercado da República Eslovaca e comunicar os seus dados ao Ministério, na medida especificada, e manter os dados comunicados.</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O fabricante de um produto plástico de utilização única constante do Anexo 7a, Parte E, e de artes de pesca que contenham plástico, com sede social ou estabelecimento na República Eslovaca e que venda esses produtos noutro Estado-Membro, designará um representante autorizado nesse Estado-Membro para cumprir as suas funções em relação a esses produtos.</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O fabricante de artes de pesca que contenham plástico deve manter e conservar registos das artes de pesca colocadas no mercado da República Eslovaca, comunicar os seus dados ao Ministério e conservar os dados comunicados.</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Os produtores de artes de pesca que contenham plástico são obrigados a cobrir os custos associados à recolha seletiva, ao transporte, à reciclagem, à valorização ou à eliminação dos resíduos de artes de pesca que contenham plástico desembarcados nos meios portuários de receção pertinentes ou noutros sistemas de receção equivalentes.</w:t>
      </w:r>
    </w:p>
    <w:p w14:paraId="4A47B1B1" w14:textId="77777777" w:rsidR="00E30B60" w:rsidRDefault="00E30B60">
      <w:pPr>
        <w:pStyle w:val="BodyText"/>
        <w:spacing w:before="6"/>
        <w:rPr>
          <w:sz w:val="24"/>
        </w:rPr>
      </w:pPr>
    </w:p>
    <w:p w14:paraId="3B78B588" w14:textId="20198011" w:rsidR="00E30B60" w:rsidRDefault="00CB547F" w:rsidP="00D0358C">
      <w:pPr>
        <w:pStyle w:val="BodyText"/>
        <w:spacing w:line="280" w:lineRule="auto"/>
        <w:ind w:left="3742" w:right="3331" w:firstLine="758"/>
        <w:rPr>
          <w:b/>
        </w:rPr>
      </w:pPr>
      <w:r>
        <w:rPr>
          <w:b/>
        </w:rPr>
        <w:t>§ 75g</w:t>
      </w:r>
      <w:r>
        <w:rPr>
          <w:b/>
        </w:rPr>
        <w:br/>
      </w:r>
      <w:r w:rsidR="000969DE">
        <w:rPr>
          <w:b/>
        </w:rPr>
        <w:t xml:space="preserve">    </w:t>
      </w:r>
      <w:r>
        <w:rPr>
          <w:b/>
        </w:rPr>
        <w:t>Sensibilização</w:t>
      </w:r>
    </w:p>
    <w:p w14:paraId="20D90145" w14:textId="1BEFC6E3" w:rsidR="00E30B60" w:rsidRDefault="00CB547F">
      <w:pPr>
        <w:pStyle w:val="BodyText"/>
        <w:spacing w:before="193" w:line="276" w:lineRule="auto"/>
        <w:ind w:left="502" w:right="103" w:firstLine="226"/>
        <w:jc w:val="both"/>
      </w:pPr>
      <w:r>
        <w:t>O fabricante de um produto plástico de utilização única constante da parte G do anexo 7a e de artes de pesca que contenham plástico deve informar e motivar os utilizadores finais do produto plástico de utilização única a comportarem-se de forma responsável, a fim de reduzir a poluição ambiental proveniente dos resíduos provenientes desses produtos:</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a utilizar as alternativas reutilizáveis disponíveis;</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quanto à forma correta de eliminação dos produtos quando estes se transformam em resíduos;</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sobre o impacto da eliminação inadequada de resíduos de produtos plásticos de utilização única e de artes de pesca que contenham plástico no ambiente;</w:t>
      </w:r>
    </w:p>
    <w:p w14:paraId="0A6FF4DC" w14:textId="77777777" w:rsidR="00E30B60" w:rsidRDefault="00E30B60">
      <w:pPr>
        <w:spacing w:line="276" w:lineRule="auto"/>
        <w:rPr>
          <w:sz w:val="20"/>
        </w:rPr>
        <w:sectPr w:rsidR="00E30B60">
          <w:headerReference w:type="even" r:id="rId8"/>
          <w:headerReference w:type="default" r:id="rId9"/>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sobre o impacto nos esgotos da eliminação inadequada destes produtos quando estes se transformam em resíduos.</w:t>
      </w:r>
    </w:p>
    <w:p w14:paraId="5D2E916C" w14:textId="77777777" w:rsidR="00E30B60" w:rsidRDefault="00CB547F">
      <w:pPr>
        <w:pStyle w:val="BodyText"/>
        <w:spacing w:before="85"/>
        <w:ind w:left="729"/>
        <w:jc w:val="both"/>
      </w:pPr>
      <w:r>
        <w:t>As notas de rodapé 96a a 96h têm a seguinte redação:</w:t>
      </w:r>
    </w:p>
    <w:p w14:paraId="5E8DB480" w14:textId="7317C8B4" w:rsidR="00E30B60" w:rsidRPr="00456759" w:rsidRDefault="00CB547F">
      <w:pPr>
        <w:spacing w:before="104" w:line="244" w:lineRule="auto"/>
        <w:ind w:left="729" w:right="103"/>
        <w:jc w:val="both"/>
        <w:rPr>
          <w:sz w:val="18"/>
          <w:szCs w:val="18"/>
        </w:rPr>
      </w:pPr>
      <w:r w:rsidRPr="006901C2">
        <w:rPr>
          <w:sz w:val="18"/>
          <w:szCs w:val="18"/>
          <w:vertAlign w:val="subscript"/>
        </w:rPr>
        <w:t>'96a</w:t>
      </w:r>
      <w:r w:rsidRPr="00456759">
        <w:rPr>
          <w:sz w:val="18"/>
          <w:szCs w:val="18"/>
        </w:rPr>
        <w:t>) Artigo 2(1)(c), da Regulamentação (UE) n.º 1025/2012 do Parlamento Europeu e do Conselho, de 25 de outubro de 2012, relativo à normalização europeia, que altera as Diretivas 89/686/CEE e 93/15/CEE do Conselho e as Diretivas 94/9/CE, 94/25/CE, 95/16/CE, 97/23/CE, 98/34/CE, 2004/22/CE, 2007/23/CE, 2009/23/CE e 2009/105/CE do Parlamento Europeu e do Conselho e revogando a Decisão do Conselho 87/95/CEE e a Decisão nº 1673/2006/CE do Parlamento Europeu e do Conselho, com as alterações que lhe foram introduzidas.</w:t>
      </w:r>
    </w:p>
    <w:p w14:paraId="7D526B49" w14:textId="77777777" w:rsidR="00E30B60" w:rsidRPr="00456759" w:rsidRDefault="00CB547F">
      <w:pPr>
        <w:spacing w:before="103" w:line="244" w:lineRule="auto"/>
        <w:ind w:left="729" w:right="103"/>
        <w:jc w:val="both"/>
        <w:rPr>
          <w:sz w:val="18"/>
          <w:szCs w:val="18"/>
        </w:rPr>
      </w:pPr>
      <w:r w:rsidRPr="006901C2">
        <w:rPr>
          <w:sz w:val="18"/>
          <w:szCs w:val="18"/>
          <w:vertAlign w:val="subscript"/>
        </w:rPr>
        <w:t>96b</w:t>
      </w:r>
      <w:r w:rsidRPr="00456759">
        <w:rPr>
          <w:sz w:val="18"/>
          <w:szCs w:val="18"/>
        </w:rPr>
        <w:t>) Lei n.º 102/2014 relativa à proteção do consumidor na venda de bens ou prestação de serviços com base num contrato à distância ou num contrato celebrado fora do estabelecimento comercial do vendedor e que altera determinadas leis, com as alterações que lhe foram introduzidas.</w:t>
      </w:r>
    </w:p>
    <w:p w14:paraId="5DEAD916" w14:textId="69DCB80D" w:rsidR="00E30B60" w:rsidRPr="00456759" w:rsidRDefault="00CB547F">
      <w:pPr>
        <w:spacing w:before="102" w:line="244" w:lineRule="auto"/>
        <w:ind w:left="729" w:right="103"/>
        <w:jc w:val="both"/>
        <w:rPr>
          <w:sz w:val="18"/>
          <w:szCs w:val="18"/>
        </w:rPr>
      </w:pPr>
      <w:r w:rsidRPr="006901C2">
        <w:rPr>
          <w:sz w:val="18"/>
          <w:szCs w:val="18"/>
          <w:vertAlign w:val="subscript"/>
        </w:rPr>
        <w:t>96c</w:t>
      </w:r>
      <w:r w:rsidRPr="00456759">
        <w:rPr>
          <w:sz w:val="18"/>
          <w:szCs w:val="18"/>
        </w:rPr>
        <w:t>) Artigo 4(1)(28) da Regulamentação (UE) n.º 1380/2013 do Parlamento Europeu e do Conselho, de 11 de dezembro de 2013, relativo à política comum das pescas, que altera as Regulamentações (CE) n.º 1954/2003 e (CE) n.º 1224/2009 do Conselho e revoga as Regulamentações (CE) n.º 2371/2002 e (CE) n.º 639/2004 do Conselho e a Decisão 2004/585/CE do Conselho (JO L 354 de 28.12.2013), com as alterações que lhe foram introduzidas.</w:t>
      </w:r>
    </w:p>
    <w:p w14:paraId="15970DB7" w14:textId="77777777" w:rsidR="00E30B60" w:rsidRPr="00456759" w:rsidRDefault="00CB547F">
      <w:pPr>
        <w:spacing w:before="102"/>
        <w:ind w:left="729"/>
        <w:jc w:val="both"/>
        <w:rPr>
          <w:sz w:val="18"/>
          <w:szCs w:val="18"/>
        </w:rPr>
      </w:pPr>
      <w:r w:rsidRPr="006901C2">
        <w:rPr>
          <w:sz w:val="18"/>
          <w:szCs w:val="18"/>
          <w:vertAlign w:val="subscript"/>
        </w:rPr>
        <w:t>96d</w:t>
      </w:r>
      <w:r w:rsidRPr="00456759">
        <w:rPr>
          <w:sz w:val="18"/>
          <w:szCs w:val="18"/>
        </w:rPr>
        <w:t>) Lei n.º 435/2000 do transporte marítimo, com as alterações que lhe foram introduzidas.</w:t>
      </w:r>
    </w:p>
    <w:p w14:paraId="5EF5EE76" w14:textId="58A6960E" w:rsidR="00E30B60" w:rsidRPr="00456759" w:rsidRDefault="00CB547F">
      <w:pPr>
        <w:spacing w:before="105" w:line="244" w:lineRule="auto"/>
        <w:ind w:left="729" w:right="103"/>
        <w:jc w:val="both"/>
        <w:rPr>
          <w:sz w:val="18"/>
          <w:szCs w:val="18"/>
        </w:rPr>
      </w:pPr>
      <w:r w:rsidRPr="006901C2">
        <w:rPr>
          <w:sz w:val="18"/>
          <w:szCs w:val="18"/>
          <w:vertAlign w:val="subscript"/>
        </w:rPr>
        <w:t>96e</w:t>
      </w:r>
      <w:r w:rsidRPr="00456759">
        <w:rPr>
          <w:sz w:val="18"/>
          <w:szCs w:val="18"/>
        </w:rPr>
        <w:t>) Artigo 2(3) da Lei n.º 89/2016 relativa à produção, rotulagem e venda de produtos de tabaco e produtos relacionados e às alterações de certas leis, com a redação que lhe foi dada pela Lei n.º 92/2019</w:t>
      </w:r>
    </w:p>
    <w:p w14:paraId="1BC9FB90" w14:textId="28B52A0A" w:rsidR="00E30B60" w:rsidRPr="00456759" w:rsidRDefault="00CB547F">
      <w:pPr>
        <w:spacing w:before="101" w:line="244" w:lineRule="auto"/>
        <w:ind w:left="729" w:right="103"/>
        <w:jc w:val="both"/>
        <w:rPr>
          <w:sz w:val="18"/>
          <w:szCs w:val="18"/>
        </w:rPr>
      </w:pPr>
      <w:r w:rsidRPr="006901C2">
        <w:rPr>
          <w:sz w:val="18"/>
          <w:szCs w:val="18"/>
          <w:vertAlign w:val="subscript"/>
        </w:rPr>
        <w:t>96f</w:t>
      </w:r>
      <w:r w:rsidRPr="00456759">
        <w:rPr>
          <w:sz w:val="18"/>
          <w:szCs w:val="18"/>
        </w:rPr>
        <w:t>) Artigo 7(1)(v) da Lei n.º 302/2019 relativa a um regime de devolução de depósitos para recipientes de bebidas descartáveis e à alteração de determinadas leis, com as alterações que lhe foram introduzidas.</w:t>
      </w:r>
    </w:p>
    <w:p w14:paraId="2EC47CDC" w14:textId="1A1C418A" w:rsidR="00E30B60" w:rsidRPr="00456759" w:rsidRDefault="00CB547F">
      <w:pPr>
        <w:spacing w:before="101" w:line="244" w:lineRule="auto"/>
        <w:ind w:left="729" w:right="103"/>
        <w:jc w:val="both"/>
        <w:rPr>
          <w:sz w:val="18"/>
          <w:szCs w:val="18"/>
        </w:rPr>
      </w:pPr>
      <w:r w:rsidRPr="006901C2">
        <w:rPr>
          <w:sz w:val="18"/>
          <w:szCs w:val="18"/>
          <w:vertAlign w:val="subscript"/>
        </w:rPr>
        <w:t>96g</w:t>
      </w:r>
      <w:r w:rsidRPr="00456759">
        <w:rPr>
          <w:sz w:val="18"/>
          <w:szCs w:val="18"/>
        </w:rPr>
        <w:t>) Regulamentação de Execução (UE) 2020/2151 da Comissão, de 17 de dezembro de 2020, que estabelece regras relativas às especificações harmonizadas de marcação dos produtos plásticos de utilização única, enumerados na Parte D do Anexo da Diretiva (UE) 2019/904 do Parlamento Europeu e do Conselho, relativa à redução dos efeitos de determinados produtos plásticos no ambiente (JO L 428 de 18.12.2020).</w:t>
      </w:r>
    </w:p>
    <w:p w14:paraId="42F6CA94" w14:textId="77777777" w:rsidR="00E30B60" w:rsidRPr="00456759" w:rsidRDefault="00CB547F">
      <w:pPr>
        <w:spacing w:before="102"/>
        <w:ind w:left="729"/>
        <w:jc w:val="both"/>
        <w:rPr>
          <w:sz w:val="18"/>
          <w:szCs w:val="18"/>
        </w:rPr>
      </w:pPr>
      <w:r w:rsidRPr="006901C2">
        <w:rPr>
          <w:sz w:val="18"/>
          <w:szCs w:val="18"/>
          <w:vertAlign w:val="subscript"/>
        </w:rPr>
        <w:t>96h</w:t>
      </w:r>
      <w:r w:rsidRPr="00456759">
        <w:rPr>
          <w:sz w:val="18"/>
          <w:szCs w:val="18"/>
        </w:rPr>
        <w:t>) Lei n.º 89/2016, com a redação que lhe foi dada pela Lei n.º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No Artigo 105(3), é aditado o seguinte ponto ad):</w:t>
      </w:r>
    </w:p>
    <w:p w14:paraId="2874BDF9" w14:textId="77777777" w:rsidR="00E30B60" w:rsidRDefault="00CB547F">
      <w:pPr>
        <w:pStyle w:val="BodyText"/>
        <w:spacing w:before="106"/>
        <w:ind w:left="502"/>
        <w:jc w:val="both"/>
      </w:pPr>
      <w:r>
        <w:t>«ad) As especificações de rotulagem referidas no §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No Artigo 106(h), o texto ‘Artigos 53a, 73a’ é substituído por ‘Artigos 75b, 75c, 75d,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No Artigo 110(1)(a), o texto ‘Artigo 53a’ é suprimido e o texto «Artigos 73a e 135g’.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No Artigo 111(6), o texto ‘Artigos 53a e 73a’ é substituído por ‘Artigo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No Artigo 117(1), após o texto ‘53(7), (8); Artigo 54(1)(f), (5);’ é inserido o texto «Artigo 53aa;’.</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O Artigo 117(6) tem a seguinte redação:</w:t>
      </w:r>
    </w:p>
    <w:p w14:paraId="2F50D7B0" w14:textId="77777777" w:rsidR="00E30B60" w:rsidRDefault="00CB547F">
      <w:pPr>
        <w:pStyle w:val="BodyText"/>
        <w:spacing w:before="220" w:line="276" w:lineRule="auto"/>
        <w:ind w:left="502" w:right="103" w:firstLine="226"/>
        <w:jc w:val="both"/>
      </w:pPr>
      <w:r>
        <w:t>‘(6) É aplicada uma coima entre 4 000 EUR e 350 000 EUR pela autoridade de gestão de resíduos da administração pública competente a uma entidade societária ou a um único comerciante que viole a obrigação nos termos de Artigo 13; Artigo 16(5), (10); Artigo 19(1)(f), Artigo 21(2); Artigo 21(3)(f), (g); Artigo 25(1),(7);</w:t>
      </w:r>
    </w:p>
    <w:p w14:paraId="4B6F5513" w14:textId="77777777" w:rsidR="00E30B60" w:rsidRPr="00D0358C" w:rsidRDefault="00CB547F">
      <w:pPr>
        <w:pStyle w:val="BodyText"/>
        <w:ind w:left="502"/>
      </w:pPr>
      <w:r>
        <w:t>Artigos 27(25); 28(9)(e); 31a(2), (6), (8); 33; 43; 53(3); 62(6);</w:t>
      </w:r>
    </w:p>
    <w:p w14:paraId="091FA774" w14:textId="77777777" w:rsidR="00E30B60" w:rsidRPr="00D0358C" w:rsidRDefault="00CB547F">
      <w:pPr>
        <w:pStyle w:val="BodyText"/>
        <w:spacing w:before="35"/>
        <w:ind w:left="502"/>
      </w:pPr>
      <w:r>
        <w:t>Artigos 75b; 75c; 75d; 75e; 75f; 75g; 76(4); 79(16), (24); 84(3), (5);</w:t>
      </w:r>
    </w:p>
    <w:p w14:paraId="1E67AFAF" w14:textId="77777777" w:rsidR="00E30B60" w:rsidRPr="00D0358C" w:rsidRDefault="00CB547F">
      <w:pPr>
        <w:pStyle w:val="BodyText"/>
        <w:spacing w:before="35"/>
        <w:ind w:left="502"/>
      </w:pPr>
      <w:r>
        <w:t>§ 135e(1), (2), (3), (4); §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No Artigo 135g, o texto ‘Parte B’ é inserido após ‘7a’.</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O Anexo 7a, incluindo o título, tem a seguinte redação:</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«Anexo 7a</w:t>
      </w:r>
      <w:r>
        <w:rPr>
          <w:b/>
        </w:rPr>
        <w:br/>
        <w:t>à Lei n.º 79/2015</w:t>
      </w:r>
    </w:p>
    <w:p w14:paraId="53FA3E6C" w14:textId="77777777" w:rsidR="00E30B60" w:rsidRDefault="00CB547F">
      <w:pPr>
        <w:pStyle w:val="BodyText"/>
        <w:spacing w:before="201"/>
        <w:ind w:left="1230" w:right="834"/>
        <w:jc w:val="center"/>
        <w:rPr>
          <w:b/>
        </w:rPr>
      </w:pPr>
      <w:r>
        <w:rPr>
          <w:b/>
        </w:rPr>
        <w:t>PARTE A</w:t>
      </w:r>
    </w:p>
    <w:p w14:paraId="423994C5" w14:textId="77777777" w:rsidR="00E30B60" w:rsidRDefault="00CB547F">
      <w:pPr>
        <w:pStyle w:val="BodyText"/>
        <w:spacing w:before="231"/>
        <w:ind w:left="729"/>
        <w:rPr>
          <w:b/>
        </w:rPr>
      </w:pPr>
      <w:r>
        <w:rPr>
          <w:b/>
        </w:rPr>
        <w:t>Produtos plásticos de utilização única cujo consumo deve ser reduzido</w:t>
      </w:r>
    </w:p>
    <w:p w14:paraId="360D13BF" w14:textId="77777777" w:rsidR="00E30B60" w:rsidRDefault="00CB547F">
      <w:pPr>
        <w:pStyle w:val="ListParagraph"/>
        <w:numPr>
          <w:ilvl w:val="0"/>
          <w:numId w:val="9"/>
        </w:numPr>
        <w:tabs>
          <w:tab w:val="left" w:pos="786"/>
        </w:tabs>
        <w:spacing w:before="128"/>
        <w:ind w:right="0"/>
        <w:rPr>
          <w:sz w:val="20"/>
        </w:rPr>
      </w:pPr>
      <w:r>
        <w:rPr>
          <w:sz w:val="20"/>
        </w:rPr>
        <w:t>Copos para bebidas, incluindo as suas tampas;</w:t>
      </w:r>
    </w:p>
    <w:p w14:paraId="0582B242" w14:textId="6AEC9EB4" w:rsidR="00E30B60" w:rsidRPr="00ED39BE" w:rsidRDefault="00CB547F" w:rsidP="00ED39BE">
      <w:pPr>
        <w:pStyle w:val="ListParagraph"/>
        <w:numPr>
          <w:ilvl w:val="0"/>
          <w:numId w:val="9"/>
        </w:numPr>
        <w:tabs>
          <w:tab w:val="left" w:pos="786"/>
        </w:tabs>
        <w:spacing w:before="105" w:line="244" w:lineRule="auto"/>
        <w:rPr>
          <w:sz w:val="20"/>
        </w:rPr>
      </w:pPr>
      <w:r>
        <w:rPr>
          <w:sz w:val="20"/>
        </w:rPr>
        <w:lastRenderedPageBreak/>
        <w:t>recipientes para alimentos, ou seja, recipientes como caixas, com ou sem tampa, para produtos alimentares que</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se destinem ao consumo imediato, quer no ponto de venda, quer num ponto diferente do ponto de venda;</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sejam normalmente consumidos a partir deste recipiente; e</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estejam prontos a consumir sem preparação suplementar, ou seja, sem cozinhar, ferver ou aquecer;</w:t>
      </w:r>
    </w:p>
    <w:p w14:paraId="6B251702" w14:textId="77777777" w:rsidR="00E30B60" w:rsidRDefault="00CB547F">
      <w:pPr>
        <w:pStyle w:val="BodyText"/>
        <w:spacing w:before="216" w:line="276" w:lineRule="auto"/>
        <w:ind w:left="785" w:right="103" w:firstLine="226"/>
        <w:jc w:val="both"/>
      </w:pPr>
      <w:r>
        <w:t>incluindo os recipientes para alimentos utilizados na restauração rápida ou noutras refeições prontas para consumo imediato, excetuando os recipientes para bebidas, os pratos e as embalagens e invólucros que contenham alimentos.</w:t>
      </w:r>
    </w:p>
    <w:p w14:paraId="08F0A563" w14:textId="77777777" w:rsidR="00E30B60" w:rsidRDefault="00CB547F">
      <w:pPr>
        <w:pStyle w:val="BodyText"/>
        <w:spacing w:before="187"/>
        <w:ind w:left="1230" w:right="834"/>
        <w:jc w:val="center"/>
        <w:rPr>
          <w:b/>
        </w:rPr>
      </w:pPr>
      <w:r>
        <w:rPr>
          <w:b/>
        </w:rPr>
        <w:t>PARTE B</w:t>
      </w:r>
    </w:p>
    <w:p w14:paraId="13056B9C" w14:textId="77777777" w:rsidR="00E30B60" w:rsidRDefault="00CB547F">
      <w:pPr>
        <w:pStyle w:val="BodyText"/>
        <w:spacing w:before="231"/>
        <w:ind w:left="729"/>
        <w:rPr>
          <w:b/>
        </w:rPr>
      </w:pPr>
      <w:r>
        <w:rPr>
          <w:b/>
        </w:rPr>
        <w:t>É proibido colocar estes produtos de plástico de utilização única no mercado da República Eslovaca</w:t>
      </w:r>
    </w:p>
    <w:p w14:paraId="51FDEC54" w14:textId="77777777" w:rsidR="00E30B60" w:rsidRDefault="00CB547F">
      <w:pPr>
        <w:pStyle w:val="ListParagraph"/>
        <w:numPr>
          <w:ilvl w:val="0"/>
          <w:numId w:val="8"/>
        </w:numPr>
        <w:tabs>
          <w:tab w:val="left" w:pos="786"/>
        </w:tabs>
        <w:spacing w:before="128"/>
        <w:ind w:right="0"/>
        <w:rPr>
          <w:sz w:val="20"/>
        </w:rPr>
      </w:pPr>
      <w:r>
        <w:t>cotonetes de algodão para os ouvidos não abrangidos pela legislação especial;162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talheres (garfos, facas, colheres, pauzinhos);</w:t>
      </w:r>
    </w:p>
    <w:p w14:paraId="270DDFA9" w14:textId="77777777" w:rsidR="00E30B60" w:rsidRDefault="00CB547F">
      <w:pPr>
        <w:pStyle w:val="ListParagraph"/>
        <w:numPr>
          <w:ilvl w:val="0"/>
          <w:numId w:val="8"/>
        </w:numPr>
        <w:tabs>
          <w:tab w:val="left" w:pos="786"/>
        </w:tabs>
        <w:spacing w:before="105"/>
        <w:ind w:right="0"/>
        <w:rPr>
          <w:sz w:val="20"/>
        </w:rPr>
      </w:pPr>
      <w:r>
        <w:rPr>
          <w:sz w:val="20"/>
        </w:rPr>
        <w:t>pratos;</w:t>
      </w:r>
    </w:p>
    <w:p w14:paraId="5A4A28E4" w14:textId="77777777" w:rsidR="00E30B60" w:rsidRDefault="00CB547F">
      <w:pPr>
        <w:pStyle w:val="ListParagraph"/>
        <w:numPr>
          <w:ilvl w:val="0"/>
          <w:numId w:val="8"/>
        </w:numPr>
        <w:tabs>
          <w:tab w:val="left" w:pos="786"/>
        </w:tabs>
        <w:spacing w:before="105"/>
        <w:ind w:right="0"/>
        <w:rPr>
          <w:sz w:val="20"/>
        </w:rPr>
      </w:pPr>
      <w:r>
        <w:rPr>
          <w:sz w:val="20"/>
        </w:rPr>
        <w:t>palhinhas não abrangidas pela legislação especial;162)</w:t>
      </w:r>
    </w:p>
    <w:p w14:paraId="6A0F8C24" w14:textId="77777777" w:rsidR="00E30B60" w:rsidRDefault="00CB547F">
      <w:pPr>
        <w:pStyle w:val="ListParagraph"/>
        <w:numPr>
          <w:ilvl w:val="0"/>
          <w:numId w:val="8"/>
        </w:numPr>
        <w:tabs>
          <w:tab w:val="left" w:pos="786"/>
        </w:tabs>
        <w:spacing w:before="106"/>
        <w:ind w:right="0"/>
        <w:rPr>
          <w:sz w:val="20"/>
        </w:rPr>
      </w:pPr>
      <w:r>
        <w:rPr>
          <w:sz w:val="20"/>
        </w:rPr>
        <w:t>agitadores para bebidas;</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varas concebidas para serem fixadas a balões e os prenderem, à exceção de balões para utilização industrial ou outras utilizações e aplicações profissionais, que não sejam distribuídos a consumidores, incluindo os mecanismos dessas varas;</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recipientes para alimentos, feitos de poliestireno expandido, ou seja, recipientes como caixas, com ou sem tampa, para produtos alimentares que sejam utilizados para géneros alimentícios</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se destinem ao consumo imediato, quer no ponto de venda, quer num ponto diferente do ponto de venda;</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sejam normalmente consumidos a partir deste recipiente; e</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estejam prontos a consumir sem preparação suplementar, ou seja, sem cozinhar, ferver ou aquecer;</w:t>
      </w:r>
    </w:p>
    <w:p w14:paraId="2B86D403" w14:textId="77777777" w:rsidR="00E30B60" w:rsidRDefault="00CB547F">
      <w:pPr>
        <w:pStyle w:val="BodyText"/>
        <w:spacing w:before="216" w:line="276" w:lineRule="auto"/>
        <w:ind w:left="785" w:right="103" w:firstLine="226"/>
        <w:jc w:val="both"/>
      </w:pPr>
      <w:r>
        <w:t>incluindo os recipientes para alimentos utilizados na restauração rápida ou noutras refeições prontas para consumo imediato, excetuando os recipientes para bebidas, os pratos e as embalagens e invólucros que contenham alimentos;</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recipientes para bebidas, feitos de poliestireno expandido, incluindo as suas cápsulas e tampas;</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copos para bebidas, feitos de poliestireno expandido, incluindo as suas cápsulas e tampas.</w:t>
      </w:r>
    </w:p>
    <w:p w14:paraId="5A3D23E4" w14:textId="77777777" w:rsidR="00E30B60" w:rsidRDefault="00CB547F">
      <w:pPr>
        <w:pStyle w:val="BodyText"/>
        <w:spacing w:before="208"/>
        <w:ind w:left="1230" w:right="834"/>
        <w:jc w:val="center"/>
        <w:rPr>
          <w:b/>
        </w:rPr>
      </w:pPr>
      <w:r>
        <w:rPr>
          <w:b/>
        </w:rPr>
        <w:t>PARTE C</w:t>
      </w:r>
    </w:p>
    <w:p w14:paraId="7696BE96" w14:textId="77777777" w:rsidR="00E30B60" w:rsidRDefault="00CB547F">
      <w:pPr>
        <w:pStyle w:val="BodyText"/>
        <w:spacing w:before="231" w:line="297" w:lineRule="auto"/>
        <w:ind w:left="502" w:right="103" w:firstLine="226"/>
        <w:jc w:val="both"/>
        <w:rPr>
          <w:b/>
        </w:rPr>
      </w:pPr>
      <w:r>
        <w:rPr>
          <w:b/>
        </w:rPr>
        <w:t>Produtos plásticos de uso único que podem ser colocados no mercado de acordo com o requisito previsto no § 75d(1), da lei</w:t>
      </w:r>
    </w:p>
    <w:p w14:paraId="101A7BC1" w14:textId="77777777" w:rsidR="00E30B60" w:rsidRDefault="00CB547F">
      <w:pPr>
        <w:pStyle w:val="BodyText"/>
        <w:spacing w:before="185" w:line="276" w:lineRule="auto"/>
        <w:ind w:left="502" w:right="103" w:firstLine="226"/>
        <w:jc w:val="both"/>
      </w:pPr>
      <w:r>
        <w:t>Recipientes para bebidas, que não excedam os três litros, ou seja, recipientes para líquidos, tais como garrafas de bebidas, incluindo cápsulas e tampas, e recipientes compostos para bebidas, incluindo cápsulas e tampas, à exceção de</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recipientes para bebidas, de vidro ou metal, com cápsulas e tampas de plástico;</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recipientes para bebidas destinados e utilizados para alimentos para fins médicos específicos sob forma líquida, sujeitos a legislação especial.163)</w:t>
      </w:r>
    </w:p>
    <w:p w14:paraId="5A8C8B95" w14:textId="77777777" w:rsidR="00E30B60" w:rsidRDefault="00CB547F">
      <w:pPr>
        <w:pStyle w:val="BodyText"/>
        <w:spacing w:before="203"/>
        <w:ind w:left="1230" w:right="834"/>
        <w:jc w:val="center"/>
        <w:rPr>
          <w:b/>
        </w:rPr>
      </w:pPr>
      <w:r>
        <w:rPr>
          <w:b/>
        </w:rPr>
        <w:t>PARTE D</w:t>
      </w:r>
    </w:p>
    <w:p w14:paraId="43A76956" w14:textId="288C4191" w:rsidR="00E30B60" w:rsidRDefault="00CB547F" w:rsidP="00D0358C">
      <w:pPr>
        <w:pStyle w:val="BodyText"/>
        <w:spacing w:before="231"/>
        <w:ind w:left="729"/>
        <w:rPr>
          <w:b/>
        </w:rPr>
      </w:pPr>
      <w:r>
        <w:rPr>
          <w:b/>
        </w:rPr>
        <w:t>Produtos plásticos de utilização única que devem cumprir o requisito de rotulagem nos termos do Artigo 75e da Lei</w:t>
      </w:r>
    </w:p>
    <w:p w14:paraId="0880F258" w14:textId="77777777" w:rsidR="00E30B60" w:rsidRDefault="00E30B60">
      <w:pPr>
        <w:sectPr w:rsidR="00E30B60">
          <w:pgSz w:w="11910" w:h="16840"/>
          <w:pgMar w:top="1160" w:right="1000" w:bottom="280" w:left="1000" w:header="796" w:footer="0" w:gutter="0"/>
          <w:cols w:space="720"/>
        </w:sectPr>
      </w:pP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Pensos higiénicos, tampões e aplicadores de tampões;</w:t>
      </w:r>
    </w:p>
    <w:p w14:paraId="50510A03" w14:textId="77777777" w:rsidR="00E30B60" w:rsidRDefault="00CB547F">
      <w:pPr>
        <w:pStyle w:val="ListParagraph"/>
        <w:numPr>
          <w:ilvl w:val="0"/>
          <w:numId w:val="6"/>
        </w:numPr>
        <w:tabs>
          <w:tab w:val="left" w:pos="786"/>
        </w:tabs>
        <w:spacing w:before="106"/>
        <w:ind w:right="0"/>
        <w:rPr>
          <w:sz w:val="20"/>
        </w:rPr>
      </w:pPr>
      <w:r>
        <w:rPr>
          <w:sz w:val="20"/>
        </w:rPr>
        <w:t>Toalhetes húmidos, ou seja, toalhetes de higiene pessoal pré-humedecidos e toalhetes para uso doméstico;</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}produtos de tabaco que contenham filtros e filtros vendidos para utilização em combinação com produtos de tabaco;</w:t>
      </w:r>
    </w:p>
    <w:p w14:paraId="40A96525" w14:textId="77777777" w:rsidR="00E30B60" w:rsidRDefault="00CB547F">
      <w:pPr>
        <w:pStyle w:val="ListParagraph"/>
        <w:numPr>
          <w:ilvl w:val="0"/>
          <w:numId w:val="6"/>
        </w:numPr>
        <w:tabs>
          <w:tab w:val="left" w:pos="786"/>
        </w:tabs>
        <w:spacing w:before="101"/>
        <w:ind w:right="0"/>
        <w:rPr>
          <w:sz w:val="20"/>
        </w:rPr>
      </w:pPr>
      <w:r>
        <w:rPr>
          <w:sz w:val="20"/>
        </w:rPr>
        <w:t>copos para bebidas.</w:t>
      </w:r>
    </w:p>
    <w:p w14:paraId="3D9A0DD0" w14:textId="77777777" w:rsidR="00E30B60" w:rsidRDefault="00CB547F">
      <w:pPr>
        <w:pStyle w:val="BodyText"/>
        <w:spacing w:before="208"/>
        <w:ind w:left="1230" w:right="834"/>
        <w:jc w:val="center"/>
        <w:rPr>
          <w:b/>
        </w:rPr>
      </w:pPr>
      <w:r>
        <w:rPr>
          <w:b/>
        </w:rPr>
        <w:t>PARTE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Produtos plásticos de utilização única abrangidos pelo Artigo 75f(1) e (4) da Lei</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Recipientes para alimentos, ou seja, recipientes como caixas, com ou sem tampa, para produtos alimentares que</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se destinem ao consumo imediato, quer no ponto de venda, quer num ponto diferente do ponto de venda;</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sejam normalmente consumidos a partir deste recipiente; e</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estejam prontos a consumir sem preparação suplementar, ou seja, sem cozinhar, ferver ou aquecer;</w:t>
      </w:r>
    </w:p>
    <w:p w14:paraId="0138E3D4" w14:textId="77777777" w:rsidR="00E30B60" w:rsidRDefault="00CB547F">
      <w:pPr>
        <w:pStyle w:val="BodyText"/>
        <w:spacing w:before="200" w:line="276" w:lineRule="auto"/>
        <w:ind w:left="785" w:right="103" w:firstLine="226"/>
        <w:jc w:val="both"/>
      </w:pPr>
      <w:r>
        <w:t>incluindo os recipientes para alimentos utilizados na restauração rápida ou noutras refeições prontas para consumo imediato, excetuando os recipientes para bebidas, os pratos e as embalagens e invólucros que contenham alimentos;</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embalagens e invólucros, fabricados a partir de material flexível, que contenham alimentos destinados ao consumo imediato a partir da embalagem ou do invólucro, sem qualquer outra preparação;</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recipientes de bebidas com um volume de até três litros, ou seja, recipientes utilizados para conter líquidos, tais como garrafas de bebidas, incluindo as respetivas cápsulas e tampas, bem como embalagens de bebidas compostas, incluindo as suas cápsulas e tampas, à exceção de recipientes para bebidas, em vidro ou metal, com cápsulas e tampas de plástico;</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copos para bebidas, incluindo as respetivas cápsulas e tampas;</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sacos de plástico leves.164)</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Produtos plásticos de utilização única abrangidos pelo Artigo 75f(1), (3) e (4) da Lei</w:t>
      </w:r>
    </w:p>
    <w:p w14:paraId="4BA744C0" w14:textId="77777777" w:rsidR="00E30B60" w:rsidRDefault="00CB547F">
      <w:pPr>
        <w:pStyle w:val="ListParagraph"/>
        <w:numPr>
          <w:ilvl w:val="0"/>
          <w:numId w:val="4"/>
        </w:numPr>
        <w:tabs>
          <w:tab w:val="left" w:pos="786"/>
        </w:tabs>
        <w:spacing w:before="143"/>
        <w:ind w:right="0"/>
        <w:rPr>
          <w:sz w:val="20"/>
        </w:rPr>
      </w:pPr>
      <w:r>
        <w:rPr>
          <w:sz w:val="20"/>
        </w:rPr>
        <w:t>Toalhetes húmidos, ou seja, toalhetes de higiene pessoal pré-humedecidos e toalhetes para utilização doméstica;</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balões, exceto os balões que não são distribuídos aos consumidores e que se destinam a uso e consumo industrial ou a outros usos profissionais.</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Outros produtos plásticos de utilização única abrangidos pelo Artigo 75f(1) a (4) da Lei</w:t>
      </w:r>
    </w:p>
    <w:p w14:paraId="475248E0" w14:textId="77777777" w:rsidR="00E30B60" w:rsidRDefault="00CB547F">
      <w:pPr>
        <w:pStyle w:val="BodyText"/>
        <w:spacing w:before="43" w:line="276" w:lineRule="auto"/>
        <w:ind w:left="502" w:firstLine="226"/>
      </w:pPr>
      <w:r>
        <w:t>Produtos de tabaco que contenham filtros e filtros vendidos para utilização em combinação com produtos de tabaco.</w:t>
      </w:r>
    </w:p>
    <w:p w14:paraId="3AC28F65" w14:textId="77777777" w:rsidR="00E30B60" w:rsidRDefault="00CB547F">
      <w:pPr>
        <w:pStyle w:val="BodyText"/>
        <w:spacing w:before="188"/>
        <w:ind w:left="1230" w:right="834"/>
        <w:jc w:val="center"/>
        <w:rPr>
          <w:b/>
        </w:rPr>
      </w:pPr>
      <w:r>
        <w:rPr>
          <w:b/>
        </w:rPr>
        <w:t>PARTE F</w:t>
      </w:r>
    </w:p>
    <w:p w14:paraId="5503DD3F" w14:textId="77777777" w:rsidR="00E30B60" w:rsidRDefault="00CB547F">
      <w:pPr>
        <w:pStyle w:val="BodyText"/>
        <w:spacing w:before="230" w:line="297" w:lineRule="auto"/>
        <w:ind w:left="502" w:firstLine="226"/>
        <w:rPr>
          <w:b/>
        </w:rPr>
      </w:pPr>
      <w:r>
        <w:rPr>
          <w:b/>
        </w:rPr>
        <w:t>Produtos plásticos de uso único que podem ser colocados no mercado de acordo com o requisito previsto no § 75d(4) da lei</w:t>
      </w:r>
    </w:p>
    <w:p w14:paraId="104BA5A3" w14:textId="77777777" w:rsidR="00E30B60" w:rsidRDefault="00CB547F">
      <w:pPr>
        <w:pStyle w:val="BodyText"/>
        <w:spacing w:before="186"/>
        <w:ind w:left="729"/>
      </w:pPr>
      <w:r>
        <w:t>Garrafas de bebidas até três litros, incluindo cápsulas e tampas, à exceção de</w:t>
      </w:r>
    </w:p>
    <w:p w14:paraId="411E1955" w14:textId="77777777" w:rsidR="00E30B60" w:rsidRDefault="00CB547F">
      <w:pPr>
        <w:pStyle w:val="ListParagraph"/>
        <w:numPr>
          <w:ilvl w:val="0"/>
          <w:numId w:val="3"/>
        </w:numPr>
        <w:tabs>
          <w:tab w:val="left" w:pos="786"/>
        </w:tabs>
        <w:spacing w:before="120"/>
        <w:ind w:right="0"/>
        <w:rPr>
          <w:sz w:val="20"/>
        </w:rPr>
      </w:pPr>
      <w:r>
        <w:rPr>
          <w:sz w:val="20"/>
        </w:rPr>
        <w:t>garrafas para bebidas, em vidro ou metal, com cápsulas e tampas de plástico;</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garrafas de bebidas destinadas e utilizadas para alimentos para fins médicos específicos, sob forma líquida, sujeitas a legislação especial.163)</w:t>
      </w:r>
    </w:p>
    <w:p w14:paraId="419D4EB2" w14:textId="77777777" w:rsidR="00E30B60" w:rsidRDefault="00CB547F" w:rsidP="00470FBD">
      <w:pPr>
        <w:pStyle w:val="BodyText"/>
        <w:keepNext/>
        <w:keepLines/>
        <w:spacing w:before="204"/>
        <w:ind w:left="1230" w:right="834"/>
        <w:jc w:val="center"/>
        <w:rPr>
          <w:b/>
        </w:rPr>
      </w:pPr>
      <w:r>
        <w:rPr>
          <w:b/>
        </w:rPr>
        <w:lastRenderedPageBreak/>
        <w:t>PARTE G</w:t>
      </w:r>
    </w:p>
    <w:p w14:paraId="0B3CFA54" w14:textId="416D168C" w:rsidR="00E30B60" w:rsidRDefault="00CB547F" w:rsidP="00470FBD">
      <w:pPr>
        <w:pStyle w:val="BodyText"/>
        <w:keepNext/>
        <w:keepLines/>
        <w:spacing w:before="231"/>
        <w:ind w:left="729"/>
        <w:rPr>
          <w:b/>
          <w:sz w:val="17"/>
        </w:rPr>
      </w:pPr>
      <w:r>
        <w:rPr>
          <w:b/>
        </w:rPr>
        <w:t>Produtos plásticos de utilização única abrangidos pelo § 75g da lei</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Recipientes para alimentos, ou seja, recipientes como caixas, com ou sem tampa, para produtos alimentares que</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se destinem ao consumo imediato, quer no ponto de venda, quer num ponto diferente do ponto de venda;</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sejam normalmente consumidos a partir deste recipiente; e</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estejam prontos a consumir sem preparação suplementar, ou seja, sem cozinhar, ferver ou aquecer;</w:t>
      </w:r>
    </w:p>
    <w:p w14:paraId="43510610" w14:textId="77777777" w:rsidR="00E30B60" w:rsidRDefault="00CB547F">
      <w:pPr>
        <w:pStyle w:val="BodyText"/>
        <w:spacing w:before="216" w:line="276" w:lineRule="auto"/>
        <w:ind w:left="785" w:right="103" w:firstLine="226"/>
        <w:jc w:val="both"/>
      </w:pPr>
      <w:r>
        <w:t>incluindo os recipientes para alimentos utilizados na restauração rápida ou noutras refeições prontas para consumo imediato, excetuando os recipientes para bebidas, os pratos e as embalagens e invólucros que contenham alimentos;</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embalagens e invólucros, fabricados a partir de material flexível, que contenham alimentos destinados ao consumo imediato a partir da embalagem ou do invólucro, sem qualquer outra preparação;</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recipientes de bebidas com um volume de até três litros, ou seja, recipientes utilizados para conter líquidos, tais como garrafas de bebidas, incluindo as respetivas cápsulas e tampas, bem como embalagens de bebidas compostas, incluindo as suas cápsulas e tampas, à exceção de recipientes para bebidas, em vidro ou metal, com cápsulas e tampas de plástico;</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copos para bebidas, incluindo as respetivas cápsulas e tampas;</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}produtos de tabaco que contenham filtros e filtros vendidos para utilização em combinação com produtos de tabaco;</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toalhetes húmidos, ou seja, toalhetes de higiene pessoal pré-humedecidos e toalhetes para utilização doméstica;</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balões, exceto os balões que não são distribuídos aos consumidores e que se destinam a uso e consumo industrial ou a outros usos profissionais.</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sacos de plástico leves;164)</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pensos higiénicos, tampões e aplicadores de tampões.’. As notas de rodapé 162 a 164 passam a ter a seguinte redação:</w:t>
      </w:r>
    </w:p>
    <w:p w14:paraId="159DB5FD" w14:textId="77777777" w:rsidR="00E30B60" w:rsidRDefault="00CB547F">
      <w:pPr>
        <w:spacing w:line="244" w:lineRule="auto"/>
        <w:ind w:left="729" w:right="103"/>
        <w:jc w:val="both"/>
        <w:rPr>
          <w:sz w:val="18"/>
        </w:rPr>
      </w:pPr>
      <w:r>
        <w:rPr>
          <w:sz w:val="18"/>
        </w:rPr>
        <w:t>‘162)Por exemplo, a Lei n.º 362/2011 relativa aos medicamentos e dispositivos médicos e às alterações a determinadas leis, com a última redação que lhe foi dada, a Lei n.º 362/2011 sobre medicamentos e dispositivos médicos e sobre alterações a determinadas leis, com a última redação que lhe foi dada.</w:t>
      </w:r>
    </w:p>
    <w:p w14:paraId="5E5B56BE" w14:textId="62F04962" w:rsidR="00E30B60" w:rsidRDefault="00CB547F">
      <w:pPr>
        <w:spacing w:before="99" w:line="244" w:lineRule="auto"/>
        <w:ind w:left="729" w:right="103"/>
        <w:jc w:val="both"/>
        <w:rPr>
          <w:sz w:val="18"/>
        </w:rPr>
      </w:pPr>
      <w:r>
        <w:rPr>
          <w:sz w:val="10"/>
        </w:rPr>
        <w:t>163</w:t>
      </w:r>
      <w:r>
        <w:rPr>
          <w:sz w:val="18"/>
        </w:rPr>
        <w:t>) A Regulamentação (UE) n.º 609/2013 do Parlamento Europeu e do Conselho, de 12 de junho de 2013, relativo aos alimentos para lactentes e crianças pequenas, aos alimentos destinados a fins medicinais específicos e aos substitutos integrais da dieta para controlo do peso e que revoga a Diretiva 92/52/CEE do Conselho, as Diretivas 96/8/CE, 1999/21/CE, 2006/125/CE e 2006/141/CE da Comissão, a Diretiva 2009/39/CE do Parlamento Europeu e do Conselho e os Regulamentos (CE) n.º 41/2009 e (CE) n.º 953/2009 da Comissão (JO L 181 de 29.6.2013), conforme alterações.</w:t>
      </w:r>
    </w:p>
    <w:p w14:paraId="711B9AD3" w14:textId="77777777" w:rsidR="00E30B60" w:rsidRDefault="00CB547F">
      <w:pPr>
        <w:spacing w:before="103" w:line="244" w:lineRule="auto"/>
        <w:ind w:left="729" w:right="103"/>
        <w:jc w:val="both"/>
        <w:rPr>
          <w:sz w:val="18"/>
        </w:rPr>
      </w:pPr>
      <w:r>
        <w:t>164) Artigo 52(27), da Lei n.º 79/2015 relativa aos resíduos e às alterações a determinadas leis, conforme alterações.’.</w:t>
      </w:r>
    </w:p>
    <w:p w14:paraId="4B0F8EC2" w14:textId="77777777" w:rsidR="00E30B60" w:rsidRDefault="00CB547F">
      <w:pPr>
        <w:pStyle w:val="BodyText"/>
        <w:spacing w:before="205"/>
        <w:ind w:left="105" w:right="105"/>
        <w:jc w:val="center"/>
        <w:rPr>
          <w:b/>
        </w:rPr>
      </w:pPr>
      <w:r>
        <w:rPr>
          <w:b/>
        </w:rPr>
        <w:t>Artigo II</w:t>
      </w:r>
    </w:p>
    <w:p w14:paraId="2EE476EE" w14:textId="2C3D0D68" w:rsidR="00E30B60" w:rsidRDefault="00CB547F">
      <w:pPr>
        <w:pStyle w:val="BodyText"/>
        <w:spacing w:before="217" w:line="276" w:lineRule="auto"/>
        <w:ind w:left="105" w:right="103" w:firstLine="226"/>
        <w:jc w:val="both"/>
      </w:pPr>
      <w:r>
        <w:t>A Lei n.º 302/2019 relativa a um regime de devolução de depósitos para os recipientes para bebidas descartáveis e à alteração de determinadas leis, com a redação que lhe foi dada pela Lei n.º 74/2020 e pela Lei n.º 285/2020 e Lei n.º 372/2021, é alterada do seguinte modo:</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No Artigo 4(1)(h), o texto ‘(l) e (m)’ é substituído pelos termos ‘(l), (m) e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No Artigo 7(1) é aditado o seguinte ponto v):</w:t>
      </w:r>
    </w:p>
    <w:p w14:paraId="05E6705E" w14:textId="1AC38935" w:rsidR="00E30B60" w:rsidRDefault="00CB547F">
      <w:pPr>
        <w:pStyle w:val="BodyText"/>
        <w:spacing w:before="105" w:line="244" w:lineRule="auto"/>
        <w:ind w:left="785" w:right="103" w:hanging="397"/>
        <w:jc w:val="both"/>
      </w:pPr>
      <w:r>
        <w:t>‘v) Relatórios ao Ministério sobre o conteúdo de plástico reciclado em produtos, em conformidade com as obrigações de um fabricante de embalagens nos termos da legislação especial11a) até 30 de abril, o mais tardar, para o ano civil anterior.’.</w:t>
      </w:r>
    </w:p>
    <w:p w14:paraId="747169BD" w14:textId="77777777" w:rsidR="00E30B60" w:rsidRDefault="00CB547F">
      <w:pPr>
        <w:pStyle w:val="BodyText"/>
        <w:spacing w:before="102"/>
        <w:ind w:left="615"/>
        <w:jc w:val="both"/>
      </w:pPr>
      <w:r>
        <w:t>A nota de rodapé 11a passa a ter a seguinte redação:</w:t>
      </w:r>
    </w:p>
    <w:p w14:paraId="3DF25C37" w14:textId="17E88567" w:rsidR="00E30B60" w:rsidRDefault="00CB547F">
      <w:pPr>
        <w:spacing w:before="104" w:line="244" w:lineRule="auto"/>
        <w:ind w:left="615" w:right="103"/>
        <w:jc w:val="both"/>
        <w:rPr>
          <w:sz w:val="18"/>
        </w:rPr>
      </w:pPr>
      <w:r>
        <w:rPr>
          <w:sz w:val="18"/>
        </w:rPr>
        <w:lastRenderedPageBreak/>
        <w:t>‘11a) Artigo 75d(4) e (5), da Lei n.º 79/2015 relativa aos resíduos e às alterações a determinadas leis, na sua versão alterada.’</w:t>
      </w:r>
    </w:p>
    <w:p w14:paraId="3C4273E1" w14:textId="19F8FDBF" w:rsidR="00E30B60" w:rsidRPr="00456759" w:rsidRDefault="00CB547F" w:rsidP="00456759">
      <w:pPr>
        <w:pStyle w:val="ListParagraph"/>
        <w:numPr>
          <w:ilvl w:val="0"/>
          <w:numId w:val="1"/>
        </w:numPr>
        <w:tabs>
          <w:tab w:val="left" w:pos="389"/>
        </w:tabs>
        <w:spacing w:before="102"/>
        <w:ind w:right="0"/>
        <w:jc w:val="both"/>
        <w:rPr>
          <w:sz w:val="20"/>
        </w:rPr>
      </w:pPr>
      <w:r>
        <w:rPr>
          <w:sz w:val="20"/>
        </w:rPr>
        <w:t>No Artigo 13(i), é inserida uma vírgula após o texto ‘(p) a (s)’ e o texto ‘e (u)’ é substituído por ‘(u) e (v)’.</w:t>
      </w:r>
    </w:p>
    <w:p w14:paraId="5C64465E" w14:textId="77777777" w:rsidR="00E30B60" w:rsidRDefault="00CB547F">
      <w:pPr>
        <w:pStyle w:val="ListParagraph"/>
        <w:numPr>
          <w:ilvl w:val="0"/>
          <w:numId w:val="1"/>
        </w:numPr>
        <w:tabs>
          <w:tab w:val="left" w:pos="389"/>
        </w:tabs>
        <w:spacing w:before="125"/>
        <w:ind w:right="0"/>
        <w:rPr>
          <w:sz w:val="20"/>
        </w:rPr>
      </w:pPr>
      <w:r>
        <w:rPr>
          <w:sz w:val="20"/>
        </w:rPr>
        <w:t>No artigo IV, o texto ‘e Artigo 103(23), ponto 5’ é suprimido e, no final, é aditado o seguinte texto:</w:t>
      </w:r>
    </w:p>
    <w:p w14:paraId="0DEC76DE" w14:textId="77777777" w:rsidR="00E30B60" w:rsidRDefault="00CB547F">
      <w:pPr>
        <w:pStyle w:val="BodyText"/>
        <w:spacing w:before="6"/>
        <w:ind w:left="388"/>
      </w:pPr>
      <w:r>
        <w:t>‘com exceção do Artigo III, Artigo 103(23), ponto 5, que produz efeitos a partir de 1 de janeiro de 2023’.</w:t>
      </w:r>
    </w:p>
    <w:p w14:paraId="4398D9A5" w14:textId="77777777" w:rsidR="00E30B60" w:rsidRDefault="00CB547F">
      <w:pPr>
        <w:pStyle w:val="ListParagraph"/>
        <w:numPr>
          <w:ilvl w:val="0"/>
          <w:numId w:val="1"/>
        </w:numPr>
        <w:tabs>
          <w:tab w:val="left" w:pos="389"/>
        </w:tabs>
        <w:spacing w:before="105"/>
        <w:ind w:right="0"/>
        <w:rPr>
          <w:sz w:val="20"/>
        </w:rPr>
      </w:pPr>
      <w:r>
        <w:rPr>
          <w:sz w:val="20"/>
        </w:rPr>
        <w:t>O texto existente no Anexo 2 é rotulado como ponto um e é aditado o seguinte ponto dois:</w:t>
      </w:r>
    </w:p>
    <w:p w14:paraId="59E27538" w14:textId="77777777" w:rsidR="00E30B60" w:rsidRDefault="00CB547F">
      <w:pPr>
        <w:pStyle w:val="BodyText"/>
        <w:spacing w:before="105" w:line="244" w:lineRule="auto"/>
        <w:ind w:left="785" w:hanging="397"/>
      </w:pPr>
      <w:r>
        <w:t>«2.Diretiva (UE) 2019/904 do Parlamento Europeu e do Conselho, de 5 de junho de 2019, relativa à redução dos efeitos de determinados produtos plásticos no ambiente (JO L 155 de 12.6.2019).».</w:t>
      </w:r>
    </w:p>
    <w:p w14:paraId="5FB7BCDC" w14:textId="77777777" w:rsidR="00E30B60" w:rsidRDefault="00CB547F">
      <w:pPr>
        <w:pStyle w:val="BodyText"/>
        <w:spacing w:before="204"/>
        <w:ind w:left="105" w:right="105"/>
        <w:jc w:val="center"/>
        <w:rPr>
          <w:b/>
        </w:rPr>
      </w:pPr>
      <w:r>
        <w:rPr>
          <w:b/>
        </w:rPr>
        <w:t>Artigo III</w:t>
      </w:r>
    </w:p>
    <w:p w14:paraId="26D523C2" w14:textId="77777777" w:rsidR="00E30B60" w:rsidRDefault="00CB547F">
      <w:pPr>
        <w:pStyle w:val="BodyText"/>
        <w:spacing w:before="217" w:line="276" w:lineRule="auto"/>
        <w:ind w:left="105" w:right="103" w:firstLine="226"/>
        <w:jc w:val="both"/>
      </w:pPr>
      <w:r>
        <w:t>Esta Lei entra em vigor em 1 de dezembro de 2021, com excepção do Artigo I, pontos 3, 6 Artigo 75f(1) e ponto 11, que entram em vigor em 1 de janeiro de 2022, artigo I, ponto 6 do Artigo 75d(1), que entra em vigor em 3 de julho de 2024, Artigo I ponto 6 do Artigo 75f(d) e (6), que entra em vigor em 1 de dezembro de 2021, Artigo I ponto 6 Artigo 75d(4)(a), que entra em vigor em 1 de janeiro de 2025 e Artigo I ponto 6 Artigo 75d(4)(b), que entra em vigor em 1 de janeiro de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 m.p.</w:t>
      </w:r>
    </w:p>
    <w:p w14:paraId="076E5D6C" w14:textId="77777777" w:rsidR="00E30B60" w:rsidRDefault="00CB547F" w:rsidP="00D0358C">
      <w:pPr>
        <w:pStyle w:val="BodyText"/>
        <w:spacing w:before="246" w:line="489" w:lineRule="auto"/>
        <w:ind w:left="3971" w:right="3790" w:firstLine="66"/>
        <w:jc w:val="center"/>
        <w:rPr>
          <w:b/>
        </w:rPr>
      </w:pPr>
      <w:r>
        <w:rPr>
          <w:b/>
        </w:rPr>
        <w:t>Boris Kollár m.p. Eduard Heger m.p.</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19CBEF1C" w:rsidR="00E30B60" w:rsidRDefault="00501543">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Página 11</w:t>
      </w:r>
      <w:r w:rsidR="00456759">
        <w:tab/>
      </w:r>
      <w:r w:rsidR="00D0358C">
        <w:t>Coletânea das Leis da República Eslovaca</w:t>
      </w:r>
      <w:r w:rsidR="00D0358C">
        <w:tab/>
      </w:r>
      <w:r w:rsidR="00456759">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501543">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A entidade responsável pela publicação da Coletânea das Leis da República Eslovaca, bem como pela administração do conteúdo e pela operação do portal jurídico e de informação Slov-Lex disponível em </w:t>
      </w:r>
      <w:hyperlink r:id="rId10">
        <w:r>
          <w:rPr>
            <w:sz w:val="18"/>
          </w:rPr>
          <w:t xml:space="preserve">www.slov-lex.sk </w:t>
        </w:r>
      </w:hyperlink>
      <w:r>
        <w:rPr>
          <w:sz w:val="18"/>
        </w:rPr>
        <w:t>é</w:t>
      </w:r>
    </w:p>
    <w:p w14:paraId="38FEE7A0" w14:textId="77777777" w:rsidR="00E30B60" w:rsidRDefault="00CB547F">
      <w:pPr>
        <w:spacing w:before="1" w:line="244" w:lineRule="auto"/>
        <w:ind w:left="1754" w:right="1752"/>
        <w:jc w:val="center"/>
        <w:rPr>
          <w:sz w:val="18"/>
        </w:rPr>
      </w:pPr>
      <w:r>
        <w:rPr>
          <w:sz w:val="18"/>
        </w:rPr>
        <w:t>Gabinete do Governo da República Eslovaca, Námestie slobody 1, 813 70 Bratislava, tel.:02 888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6CF9" w14:textId="77777777" w:rsidR="00501543" w:rsidRDefault="00501543">
      <w:r>
        <w:separator/>
      </w:r>
    </w:p>
  </w:endnote>
  <w:endnote w:type="continuationSeparator" w:id="0">
    <w:p w14:paraId="6B278CD9" w14:textId="77777777" w:rsidR="00501543" w:rsidRDefault="0050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9C09" w14:textId="77777777" w:rsidR="00501543" w:rsidRDefault="00501543">
      <w:r>
        <w:separator/>
      </w:r>
    </w:p>
  </w:footnote>
  <w:footnote w:type="continuationSeparator" w:id="0">
    <w:p w14:paraId="635BBA39" w14:textId="77777777" w:rsidR="00501543" w:rsidRDefault="0050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3FAD9568" w:rsidR="00E30B60" w:rsidRDefault="00501543">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85.9pt;margin-top:39.3pt;width:236.7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Coletânea das Leis da República Eslovaca</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Página </w:t>
                </w:r>
                <w:r>
                  <w:fldChar w:fldCharType="begin"/>
                </w:r>
                <w:r>
                  <w:instrText xml:space="preserve"> PAGE </w:instrText>
                </w:r>
                <w:r>
                  <w:fldChar w:fldCharType="separate"/>
                </w:r>
                <w:r>
                  <w:t>1</w:t>
                </w:r>
                <w:r>
                  <w:t>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1274FF12" w:rsidR="00E30B60" w:rsidRDefault="00501543">
    <w:pPr>
      <w:pStyle w:val="BodyText"/>
      <w:spacing w:line="14" w:lineRule="auto"/>
    </w:pPr>
    <w:r>
      <w:pict w14:anchorId="7F7A7A74">
        <v:shapetype id="_x0000_t202" coordsize="21600,21600" o:spt="202" path="m,l,21600r21600,l21600,xe">
          <v:stroke joinstyle="miter"/>
          <v:path gradientshapeok="t" o:connecttype="rect"/>
        </v:shapetype>
        <v:shape id="_x0000_s1025" type="#_x0000_t202" style="position:absolute;margin-left:480.9pt;margin-top:39.3pt;width:62.05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Página </w:t>
                </w:r>
                <w:r>
                  <w:fldChar w:fldCharType="begin"/>
                </w:r>
                <w:r>
                  <w:instrText xml:space="preserve"> PAGE </w:instrText>
                </w:r>
                <w:r>
                  <w:fldChar w:fldCharType="separate"/>
                </w:r>
                <w:r>
                  <w:t>3</w:t>
                </w:r>
                <w:r>
                  <w:fldChar w:fldCharType="end"/>
                </w:r>
              </w:p>
            </w:txbxContent>
          </v:textbox>
          <w10:wrap anchorx="page" anchory="page"/>
        </v:shape>
      </w:pict>
    </w:r>
    <w:r>
      <w:pict w14:anchorId="0C2195BF">
        <v:shape id="_x0000_s1026" type="#_x0000_t202" style="position:absolute;margin-left:181.5pt;margin-top:39.3pt;width:208.1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Coletânea das Leis da República Eslovaca</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0969DE"/>
    <w:rsid w:val="00456759"/>
    <w:rsid w:val="00470FBD"/>
    <w:rsid w:val="00501543"/>
    <w:rsid w:val="006901C2"/>
    <w:rsid w:val="009F123F"/>
    <w:rsid w:val="00CA79BC"/>
    <w:rsid w:val="00CB547F"/>
    <w:rsid w:val="00D0358C"/>
    <w:rsid w:val="00E30B60"/>
    <w:rsid w:val="00ED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6759"/>
    <w:pPr>
      <w:tabs>
        <w:tab w:val="center" w:pos="4536"/>
        <w:tab w:val="right" w:pos="9072"/>
      </w:tabs>
    </w:pPr>
  </w:style>
  <w:style w:type="character" w:customStyle="1" w:styleId="HeaderChar">
    <w:name w:val="Header Char"/>
    <w:basedOn w:val="DefaultParagraphFont"/>
    <w:link w:val="Header"/>
    <w:uiPriority w:val="99"/>
    <w:rsid w:val="00456759"/>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456759"/>
    <w:pPr>
      <w:tabs>
        <w:tab w:val="center" w:pos="4536"/>
        <w:tab w:val="right" w:pos="9072"/>
      </w:tabs>
    </w:pPr>
  </w:style>
  <w:style w:type="character" w:customStyle="1" w:styleId="FooterChar">
    <w:name w:val="Footer Char"/>
    <w:basedOn w:val="DefaultParagraphFont"/>
    <w:link w:val="Footer"/>
    <w:uiPriority w:val="99"/>
    <w:rsid w:val="00456759"/>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4581</Words>
  <Characters>24098</Characters>
  <Application>Microsoft Office Word</Application>
  <DocSecurity>0</DocSecurity>
  <Lines>512</Lines>
  <Paragraphs>247</Paragraphs>
  <ScaleCrop>false</ScaleCrop>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5</cp:revision>
  <dcterms:created xsi:type="dcterms:W3CDTF">2022-03-29T08:30:00Z</dcterms:created>
  <dcterms:modified xsi:type="dcterms:W3CDTF">2022-03-29T08:45:00Z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