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C2F48F" w14:textId="77777777" w:rsidR="006C19EC" w:rsidRDefault="00FC378D" w:rsidP="002A3743">
      <w:pPr>
        <w:spacing w:after="0" w:line="320" w:lineRule="atLeast"/>
        <w:jc w:val="center"/>
        <w:rPr>
          <w:b/>
          <w:sz w:val="28"/>
        </w:rPr>
      </w:pPr>
      <w:r>
        <w:rPr>
          <w:b/>
          <w:sz w:val="28"/>
        </w:rPr>
        <w:t>Säännöt valtion mediasopimuksen (MStV) 84 §:n 8 momentin mukaisten asetusten täytäntöönpanosta yksityisen tarjonnan löytämisen helpottamiseksi</w:t>
      </w:r>
    </w:p>
    <w:p w14:paraId="562CFE12" w14:textId="77777777" w:rsidR="00FC378D" w:rsidRPr="00FC378D" w:rsidRDefault="00FC378D" w:rsidP="002A3743">
      <w:pPr>
        <w:spacing w:after="0" w:line="320" w:lineRule="atLeast"/>
        <w:jc w:val="center"/>
        <w:rPr>
          <w:b/>
          <w:sz w:val="28"/>
        </w:rPr>
      </w:pPr>
      <w:r>
        <w:rPr>
          <w:b/>
          <w:sz w:val="28"/>
        </w:rPr>
        <w:t>(Julkisen arvon perussääntö)</w:t>
      </w:r>
    </w:p>
    <w:p w14:paraId="171BD681" w14:textId="77777777" w:rsidR="00FC378D" w:rsidRDefault="00FC378D" w:rsidP="00164A49">
      <w:pPr>
        <w:spacing w:after="0" w:line="320" w:lineRule="atLeast"/>
        <w:rPr>
          <w:rFonts w:eastAsia="Times New Roman" w:cstheme="minorHAnsi"/>
          <w:b/>
          <w:sz w:val="28"/>
          <w:szCs w:val="28"/>
          <w:lang w:eastAsia="de-DE"/>
        </w:rPr>
      </w:pPr>
    </w:p>
    <w:p w14:paraId="2200BDCD" w14:textId="77777777" w:rsidR="00CE3778" w:rsidRDefault="00CE3778" w:rsidP="00164A49">
      <w:pPr>
        <w:spacing w:after="0" w:line="320" w:lineRule="atLeast"/>
        <w:rPr>
          <w:rFonts w:eastAsia="Times New Roman" w:cstheme="minorHAnsi"/>
          <w:b/>
          <w:sz w:val="28"/>
          <w:szCs w:val="28"/>
        </w:rPr>
      </w:pPr>
      <w:r>
        <w:rPr>
          <w:b/>
          <w:sz w:val="28"/>
        </w:rPr>
        <w:t>Johdanto</w:t>
      </w:r>
    </w:p>
    <w:p w14:paraId="117E1806" w14:textId="77777777" w:rsidR="00CE3778" w:rsidRDefault="00CE3778" w:rsidP="00164A49">
      <w:pPr>
        <w:spacing w:after="0" w:line="320" w:lineRule="atLeast"/>
      </w:pPr>
    </w:p>
    <w:p w14:paraId="2D6C5AA6" w14:textId="77777777" w:rsidR="00164A49" w:rsidRDefault="00164A49" w:rsidP="00164A49">
      <w:pPr>
        <w:spacing w:after="0" w:line="320" w:lineRule="atLeast"/>
        <w:jc w:val="both"/>
        <w:rPr>
          <w:rFonts w:eastAsia="Times New Roman" w:cstheme="minorHAnsi"/>
          <w:sz w:val="24"/>
          <w:szCs w:val="24"/>
        </w:rPr>
      </w:pPr>
      <w:r>
        <w:rPr>
          <w:sz w:val="24"/>
        </w:rPr>
        <w:t>Löydettävyys on yhä tärkeämpää sisältötarjonnalle, erityisesti verkossa. Tarjonnan määrän ja moninaisuuden lisääntyminen vaikeuttaa esimerkiksi kustannusintensiivisen journalismin tarvitsemaa rahoitusta.</w:t>
      </w:r>
    </w:p>
    <w:p w14:paraId="30DE5C2F" w14:textId="77777777" w:rsidR="009D766D" w:rsidRPr="00164A49" w:rsidRDefault="009D766D" w:rsidP="00164A49">
      <w:pPr>
        <w:spacing w:after="0" w:line="320" w:lineRule="atLeast"/>
        <w:jc w:val="both"/>
        <w:rPr>
          <w:rFonts w:eastAsia="Times New Roman" w:cstheme="minorHAnsi"/>
          <w:sz w:val="24"/>
          <w:szCs w:val="24"/>
          <w:lang w:eastAsia="de-DE"/>
        </w:rPr>
      </w:pPr>
    </w:p>
    <w:p w14:paraId="5D8354A8" w14:textId="77777777" w:rsidR="00CE3778" w:rsidRPr="00164A49" w:rsidRDefault="00CE3778" w:rsidP="00164A49">
      <w:pPr>
        <w:spacing w:after="0" w:line="320" w:lineRule="atLeast"/>
        <w:jc w:val="both"/>
        <w:rPr>
          <w:rFonts w:eastAsia="Times New Roman" w:cstheme="minorHAnsi"/>
          <w:sz w:val="24"/>
          <w:szCs w:val="24"/>
        </w:rPr>
      </w:pPr>
      <w:r>
        <w:rPr>
          <w:sz w:val="24"/>
        </w:rPr>
        <w:t xml:space="preserve">Mekanismilla, joka helpottaa tiettyjen sellaisten käyttöliittymiä koskevien tarjousten löytämistä, jotka ovat erityisen merkityksellisiä yleisen mielipiteen muodostumisen kannalta, kuten valtion mediasopimuksessa määrätään, pyritään kahteen keskeiseen sääntelytavoitteeseen. Edunsaajalle koituu suoraa henkilökohtaista hyötyä, mikä vaikuttaa myös yleisen mielipiteen muodostumiseen kokonaisuudessaan. Helpon löydettävyyden tarkoituksena on kannustaa olemassa olevia toimijoita, jotka tarjoavat yleisen mielipiteen muodostumisen kannalta merkityksellistä sisältöä, sekä tehdä tästä sitoutumisesta kiinnostavaa muiden palveluntarjoajien kannalta. </w:t>
      </w:r>
    </w:p>
    <w:p w14:paraId="1253AC37" w14:textId="77777777" w:rsidR="00CE3778" w:rsidRDefault="00CE3778" w:rsidP="00124452">
      <w:pPr>
        <w:spacing w:after="0" w:line="320" w:lineRule="atLeast"/>
        <w:rPr>
          <w:rFonts w:eastAsia="Times New Roman" w:cstheme="minorHAnsi"/>
          <w:b/>
          <w:sz w:val="28"/>
          <w:szCs w:val="28"/>
          <w:lang w:eastAsia="de-DE"/>
        </w:rPr>
      </w:pPr>
    </w:p>
    <w:p w14:paraId="1BC19430" w14:textId="77777777" w:rsidR="00124452" w:rsidRDefault="00124452" w:rsidP="00124452">
      <w:pPr>
        <w:spacing w:after="0" w:line="320" w:lineRule="atLeast"/>
        <w:rPr>
          <w:rFonts w:eastAsia="Times New Roman" w:cstheme="minorHAnsi"/>
          <w:b/>
          <w:sz w:val="24"/>
          <w:szCs w:val="24"/>
          <w:lang w:eastAsia="de-DE"/>
        </w:rPr>
      </w:pPr>
    </w:p>
    <w:p w14:paraId="6C5EC6F5" w14:textId="77777777" w:rsidR="00560C7C" w:rsidRPr="00C03C27" w:rsidRDefault="00E407BC" w:rsidP="008A13E9">
      <w:pPr>
        <w:spacing w:after="0" w:line="320" w:lineRule="atLeast"/>
        <w:jc w:val="center"/>
        <w:rPr>
          <w:rFonts w:eastAsia="Times New Roman" w:cstheme="minorHAnsi"/>
          <w:b/>
          <w:sz w:val="28"/>
          <w:szCs w:val="28"/>
        </w:rPr>
      </w:pPr>
      <w:r>
        <w:rPr>
          <w:b/>
          <w:sz w:val="28"/>
        </w:rPr>
        <w:t xml:space="preserve">1 § </w:t>
      </w:r>
    </w:p>
    <w:p w14:paraId="0B0396D3" w14:textId="77777777" w:rsidR="00E407BC" w:rsidRPr="00E407BC" w:rsidRDefault="00E407BC" w:rsidP="008A13E9">
      <w:pPr>
        <w:spacing w:after="0" w:line="320" w:lineRule="atLeast"/>
        <w:jc w:val="center"/>
        <w:rPr>
          <w:rFonts w:eastAsia="Times New Roman" w:cstheme="minorHAnsi"/>
          <w:b/>
          <w:sz w:val="28"/>
          <w:szCs w:val="28"/>
        </w:rPr>
      </w:pPr>
      <w:r>
        <w:rPr>
          <w:b/>
          <w:sz w:val="28"/>
        </w:rPr>
        <w:t>Tarkoitus</w:t>
      </w:r>
    </w:p>
    <w:p w14:paraId="23BDCCD5" w14:textId="77777777" w:rsidR="00E407BC" w:rsidRPr="00E407BC" w:rsidRDefault="00E407BC" w:rsidP="00F91BBA">
      <w:pPr>
        <w:spacing w:after="0" w:line="320" w:lineRule="atLeast"/>
        <w:jc w:val="both"/>
        <w:rPr>
          <w:rFonts w:eastAsia="Times New Roman" w:cstheme="minorHAnsi"/>
          <w:sz w:val="24"/>
          <w:szCs w:val="24"/>
          <w:lang w:eastAsia="de-DE"/>
        </w:rPr>
      </w:pPr>
    </w:p>
    <w:p w14:paraId="4367D95A" w14:textId="77777777" w:rsidR="00E407BC" w:rsidRDefault="00E407BC" w:rsidP="00F91BBA">
      <w:pPr>
        <w:spacing w:after="0" w:line="320" w:lineRule="atLeast"/>
        <w:jc w:val="both"/>
        <w:rPr>
          <w:rFonts w:eastAsia="Times New Roman" w:cstheme="minorHAnsi"/>
          <w:sz w:val="24"/>
          <w:szCs w:val="24"/>
        </w:rPr>
      </w:pPr>
      <w:r>
        <w:rPr>
          <w:sz w:val="24"/>
        </w:rPr>
        <w:t xml:space="preserve">Valtion mediaviranomaiset määrittelevät tarjoajat, jäljempänä ”tarjoukset”, sellaisina kuin ne on määritelty valtion mediasopimuksen (MStV) 84 §:n 3 momentin 2 ja 4 kohdassa (määritysmenettely) valtion mediasopimuksen 84 § 5 momentin mukaisesti. </w:t>
      </w:r>
    </w:p>
    <w:p w14:paraId="020A2099" w14:textId="77777777" w:rsidR="00301916" w:rsidRDefault="00301916" w:rsidP="00F91BBA">
      <w:pPr>
        <w:spacing w:after="0" w:line="320" w:lineRule="atLeast"/>
        <w:jc w:val="both"/>
        <w:rPr>
          <w:rFonts w:eastAsia="Times New Roman" w:cstheme="minorHAnsi"/>
          <w:sz w:val="24"/>
          <w:szCs w:val="24"/>
          <w:lang w:eastAsia="de-DE"/>
        </w:rPr>
      </w:pPr>
    </w:p>
    <w:p w14:paraId="59914B52" w14:textId="77777777" w:rsidR="00124452" w:rsidRPr="00E407BC" w:rsidRDefault="00124452" w:rsidP="00F91BBA">
      <w:pPr>
        <w:spacing w:after="0" w:line="320" w:lineRule="atLeast"/>
        <w:jc w:val="both"/>
        <w:rPr>
          <w:rFonts w:eastAsia="Times New Roman" w:cstheme="minorHAnsi"/>
          <w:sz w:val="24"/>
          <w:szCs w:val="24"/>
          <w:lang w:eastAsia="de-DE"/>
        </w:rPr>
      </w:pPr>
    </w:p>
    <w:p w14:paraId="36037C68" w14:textId="77777777" w:rsidR="00560C7C" w:rsidRPr="00C03C27" w:rsidRDefault="00E407BC" w:rsidP="008A13E9">
      <w:pPr>
        <w:spacing w:after="0" w:line="320" w:lineRule="atLeast"/>
        <w:jc w:val="center"/>
        <w:rPr>
          <w:rFonts w:eastAsia="Times New Roman" w:cstheme="minorHAnsi"/>
          <w:b/>
          <w:sz w:val="28"/>
          <w:szCs w:val="28"/>
        </w:rPr>
      </w:pPr>
      <w:r>
        <w:rPr>
          <w:b/>
          <w:sz w:val="28"/>
        </w:rPr>
        <w:t xml:space="preserve">2 § </w:t>
      </w:r>
    </w:p>
    <w:p w14:paraId="3EC876AD" w14:textId="77777777" w:rsidR="00E407BC" w:rsidRPr="00C03C27" w:rsidRDefault="00E407BC" w:rsidP="008A13E9">
      <w:pPr>
        <w:spacing w:after="0" w:line="320" w:lineRule="atLeast"/>
        <w:jc w:val="center"/>
        <w:rPr>
          <w:rFonts w:eastAsia="Times New Roman" w:cstheme="minorHAnsi"/>
          <w:b/>
          <w:sz w:val="28"/>
          <w:szCs w:val="28"/>
        </w:rPr>
      </w:pPr>
      <w:r>
        <w:rPr>
          <w:b/>
          <w:sz w:val="28"/>
        </w:rPr>
        <w:t>Kelpoisuus jättää hakemus</w:t>
      </w:r>
    </w:p>
    <w:p w14:paraId="2B7D9CF8" w14:textId="77777777" w:rsidR="00E407BC" w:rsidRPr="00E407BC" w:rsidRDefault="00E407BC" w:rsidP="00F91BBA">
      <w:pPr>
        <w:spacing w:after="0" w:line="320" w:lineRule="atLeast"/>
        <w:jc w:val="both"/>
        <w:rPr>
          <w:rFonts w:eastAsia="Times New Roman" w:cstheme="minorHAnsi"/>
          <w:sz w:val="24"/>
          <w:szCs w:val="24"/>
          <w:lang w:eastAsia="de-DE"/>
        </w:rPr>
      </w:pPr>
    </w:p>
    <w:p w14:paraId="0CFBB2EF" w14:textId="77777777" w:rsidR="00E20C43" w:rsidRDefault="00E20C43" w:rsidP="00F81EB4">
      <w:pPr>
        <w:spacing w:after="0" w:line="320" w:lineRule="atLeast"/>
        <w:jc w:val="both"/>
        <w:rPr>
          <w:rFonts w:eastAsia="Times New Roman" w:cstheme="minorHAnsi"/>
          <w:sz w:val="24"/>
          <w:szCs w:val="24"/>
        </w:rPr>
      </w:pPr>
      <w:r>
        <w:rPr>
          <w:sz w:val="24"/>
        </w:rPr>
        <w:t xml:space="preserve">Seuraavia voidaan soveltaa: </w:t>
      </w:r>
    </w:p>
    <w:p w14:paraId="2F0C3053" w14:textId="77777777" w:rsidR="00E20C43" w:rsidRDefault="00E20C43" w:rsidP="00F81EB4">
      <w:pPr>
        <w:spacing w:after="0" w:line="320" w:lineRule="atLeast"/>
        <w:jc w:val="both"/>
        <w:rPr>
          <w:rFonts w:eastAsia="Times New Roman" w:cstheme="minorHAnsi"/>
          <w:sz w:val="24"/>
          <w:szCs w:val="24"/>
          <w:lang w:eastAsia="de-DE"/>
        </w:rPr>
      </w:pPr>
    </w:p>
    <w:p w14:paraId="01A6AE28" w14:textId="77777777" w:rsidR="00E20C43" w:rsidRDefault="00F36BA7" w:rsidP="00F81EB4">
      <w:pPr>
        <w:pStyle w:val="ListParagraph"/>
        <w:numPr>
          <w:ilvl w:val="0"/>
          <w:numId w:val="4"/>
        </w:numPr>
        <w:spacing w:after="0" w:line="320" w:lineRule="atLeast"/>
        <w:jc w:val="both"/>
        <w:rPr>
          <w:rFonts w:eastAsia="Times New Roman" w:cstheme="minorHAnsi"/>
          <w:sz w:val="24"/>
          <w:szCs w:val="24"/>
        </w:rPr>
      </w:pPr>
      <w:r>
        <w:rPr>
          <w:sz w:val="24"/>
        </w:rPr>
        <w:t>Valtion mediasopimuksen (MStV) 84 §:n 3 momentin 2 kohdan nojalla lähetystarjouksia sellaisten yksityisten palveluntarjoajien taholta, jotka vaikuttavat erityisesti mielipiteiden ja tarjousten moninaisuuteen Saksassa, tai</w:t>
      </w:r>
    </w:p>
    <w:p w14:paraId="7273EB60" w14:textId="77777777" w:rsidR="009D766D" w:rsidRDefault="009D766D" w:rsidP="009D766D">
      <w:pPr>
        <w:pStyle w:val="ListParagraph"/>
        <w:spacing w:after="0" w:line="320" w:lineRule="atLeast"/>
        <w:ind w:left="360"/>
        <w:jc w:val="both"/>
        <w:rPr>
          <w:rFonts w:eastAsia="Times New Roman" w:cstheme="minorHAnsi"/>
          <w:sz w:val="24"/>
          <w:szCs w:val="24"/>
          <w:lang w:eastAsia="de-DE"/>
        </w:rPr>
      </w:pPr>
    </w:p>
    <w:p w14:paraId="79820582" w14:textId="7E8EF4A8" w:rsidR="00D769EE" w:rsidRPr="00072548" w:rsidRDefault="00F36BA7" w:rsidP="00072548">
      <w:pPr>
        <w:pStyle w:val="ListParagraph"/>
        <w:numPr>
          <w:ilvl w:val="0"/>
          <w:numId w:val="4"/>
        </w:numPr>
        <w:spacing w:after="0" w:line="320" w:lineRule="atLeast"/>
        <w:jc w:val="both"/>
        <w:rPr>
          <w:rFonts w:eastAsia="Times New Roman" w:cstheme="minorHAnsi"/>
          <w:sz w:val="24"/>
          <w:szCs w:val="24"/>
        </w:rPr>
      </w:pPr>
      <w:r>
        <w:rPr>
          <w:sz w:val="24"/>
        </w:rPr>
        <w:t>valtion mediasopimuksen (MStV) 84 §:n 4 momentin mukaan yksityisten palveluntarjoajien tarjoamat vastaavat lähetystoiminnan kaltaiset televisiolähetykset tai valtion mediasopimuksen (MStV) 2 §:n 2 momentin 14 kohdan b alakohdan mukaiset tarjoukset, joilla on erityinen vaikutus mielipiteiden ja tarjousten moninaisuuteen Saksassa, tai ohjelmistopohjaiset sovellukset, joita käytetään suoraan niiden ohjaamiseen.</w:t>
      </w:r>
    </w:p>
    <w:p w14:paraId="4CB87D96" w14:textId="77777777" w:rsidR="00124452" w:rsidRPr="00C03C27" w:rsidRDefault="00124452" w:rsidP="00124452">
      <w:pPr>
        <w:spacing w:after="0" w:line="320" w:lineRule="atLeast"/>
        <w:jc w:val="center"/>
        <w:rPr>
          <w:rFonts w:eastAsia="Times New Roman" w:cstheme="minorHAnsi"/>
          <w:b/>
          <w:sz w:val="28"/>
          <w:szCs w:val="28"/>
        </w:rPr>
      </w:pPr>
      <w:r>
        <w:rPr>
          <w:b/>
          <w:sz w:val="28"/>
        </w:rPr>
        <w:lastRenderedPageBreak/>
        <w:t>3 §</w:t>
      </w:r>
    </w:p>
    <w:p w14:paraId="5CB6BB9B" w14:textId="77777777" w:rsidR="00124452" w:rsidRPr="00C03C27" w:rsidRDefault="00124452" w:rsidP="00124452">
      <w:pPr>
        <w:spacing w:after="0" w:line="320" w:lineRule="atLeast"/>
        <w:jc w:val="center"/>
        <w:rPr>
          <w:rFonts w:eastAsia="Times New Roman" w:cstheme="minorHAnsi"/>
          <w:b/>
          <w:sz w:val="28"/>
          <w:szCs w:val="28"/>
        </w:rPr>
      </w:pPr>
      <w:r>
        <w:rPr>
          <w:b/>
          <w:sz w:val="28"/>
        </w:rPr>
        <w:t>Vastuu ja tarjouspyyntö</w:t>
      </w:r>
    </w:p>
    <w:p w14:paraId="69481A86" w14:textId="77777777" w:rsidR="00124452" w:rsidRDefault="00124452" w:rsidP="00124452">
      <w:pPr>
        <w:spacing w:after="0" w:line="320" w:lineRule="atLeast"/>
        <w:jc w:val="both"/>
        <w:rPr>
          <w:rFonts w:eastAsia="Times New Roman" w:cstheme="minorHAnsi"/>
          <w:sz w:val="24"/>
          <w:szCs w:val="24"/>
          <w:lang w:eastAsia="de-DE"/>
        </w:rPr>
      </w:pPr>
    </w:p>
    <w:p w14:paraId="0E2E7221" w14:textId="496D0BE9" w:rsidR="00A42418" w:rsidRDefault="00225CB9" w:rsidP="00A42418">
      <w:pPr>
        <w:spacing w:after="0" w:line="320" w:lineRule="atLeast"/>
        <w:jc w:val="both"/>
        <w:rPr>
          <w:rFonts w:eastAsia="Times New Roman" w:cstheme="minorHAnsi"/>
          <w:sz w:val="24"/>
          <w:szCs w:val="24"/>
        </w:rPr>
      </w:pPr>
      <w:r>
        <w:rPr>
          <w:sz w:val="24"/>
        </w:rPr>
        <w:t>(1) Määritysmenettelyn toteuttaa toimilupa- ja valvontakomissio (ZAK) (valtion mediasopimuksen 105 §:n 1 momentin 9 kohta). Kaikkien valtion mediaviranomaisten yhteinen tarjouspyyntö, jossa otetaan huomioon valiokuntien puheenjohtajakokouksen lausunto, käynnistetään ääni- ja liikkuvan kuvan (video) tarjoamista varten. Tarjouksessa määritellään menettelystä vastaava valtion mediaviranomainen.</w:t>
      </w:r>
    </w:p>
    <w:p w14:paraId="26DD2199" w14:textId="77777777" w:rsidR="00225CB9" w:rsidRDefault="00225CB9" w:rsidP="00124452">
      <w:pPr>
        <w:spacing w:after="0" w:line="320" w:lineRule="atLeast"/>
        <w:jc w:val="both"/>
        <w:rPr>
          <w:rFonts w:eastAsia="Times New Roman" w:cstheme="minorHAnsi"/>
          <w:sz w:val="24"/>
          <w:szCs w:val="24"/>
          <w:lang w:eastAsia="de-DE"/>
        </w:rPr>
      </w:pPr>
    </w:p>
    <w:p w14:paraId="0C5EBA9C" w14:textId="776ECCB2" w:rsidR="00225CB9" w:rsidRDefault="00225CB9" w:rsidP="00225CB9">
      <w:pPr>
        <w:spacing w:after="0" w:line="320" w:lineRule="atLeast"/>
        <w:jc w:val="both"/>
        <w:rPr>
          <w:rFonts w:eastAsia="Times New Roman" w:cstheme="minorHAnsi"/>
          <w:sz w:val="24"/>
          <w:szCs w:val="24"/>
        </w:rPr>
      </w:pPr>
      <w:r>
        <w:rPr>
          <w:sz w:val="24"/>
        </w:rPr>
        <w:t>(2) Tarjouksissa annetaan lisäsäännöksiä menettelystä ja hakemusten jättämistä koskevista olennaisista vaatimuksista.</w:t>
      </w:r>
    </w:p>
    <w:p w14:paraId="2929A5DA" w14:textId="77777777" w:rsidR="00225CB9" w:rsidRDefault="00225CB9" w:rsidP="00124452">
      <w:pPr>
        <w:spacing w:after="0" w:line="320" w:lineRule="atLeast"/>
        <w:jc w:val="both"/>
        <w:rPr>
          <w:rFonts w:eastAsia="Times New Roman" w:cstheme="minorHAnsi"/>
          <w:sz w:val="24"/>
          <w:szCs w:val="24"/>
          <w:lang w:eastAsia="de-DE"/>
        </w:rPr>
      </w:pPr>
    </w:p>
    <w:p w14:paraId="3DCC51FF" w14:textId="70AFCDCF" w:rsidR="00225CB9" w:rsidRDefault="00225CB9" w:rsidP="00124452">
      <w:pPr>
        <w:spacing w:after="0" w:line="320" w:lineRule="atLeast"/>
        <w:jc w:val="both"/>
        <w:rPr>
          <w:rFonts w:eastAsia="Times New Roman" w:cstheme="minorHAnsi"/>
          <w:sz w:val="24"/>
          <w:szCs w:val="24"/>
        </w:rPr>
      </w:pPr>
      <w:r>
        <w:rPr>
          <w:sz w:val="24"/>
        </w:rPr>
        <w:t xml:space="preserve">(3) Kaikki valtion mediaviranomaiset julkaisevat tarjouspyynnöt asianmukaisella tavalla ja verkkosivustolla nimellä ”mediaviranomaiset”. </w:t>
      </w:r>
    </w:p>
    <w:p w14:paraId="62726725" w14:textId="77777777" w:rsidR="00124452" w:rsidRDefault="00124452" w:rsidP="00F91BBA">
      <w:pPr>
        <w:spacing w:after="0" w:line="320" w:lineRule="atLeast"/>
        <w:jc w:val="both"/>
        <w:rPr>
          <w:rFonts w:eastAsia="Times New Roman" w:cstheme="minorHAnsi"/>
          <w:sz w:val="24"/>
          <w:szCs w:val="24"/>
          <w:lang w:eastAsia="de-DE"/>
        </w:rPr>
      </w:pPr>
    </w:p>
    <w:p w14:paraId="59EBE988" w14:textId="77777777" w:rsidR="0095583E" w:rsidRDefault="00225CB9" w:rsidP="00C03C27">
      <w:pPr>
        <w:spacing w:after="0" w:line="320" w:lineRule="atLeast"/>
        <w:rPr>
          <w:rFonts w:eastAsia="Times New Roman" w:cstheme="minorHAnsi"/>
          <w:sz w:val="24"/>
          <w:szCs w:val="24"/>
        </w:rPr>
      </w:pPr>
      <w:r>
        <w:rPr>
          <w:sz w:val="24"/>
        </w:rPr>
        <w:t>(4) Tarjouskilpailun on määrä alkaa syyskuussa 2021.</w:t>
      </w:r>
    </w:p>
    <w:p w14:paraId="4A6AE03F" w14:textId="77777777" w:rsidR="001B036F" w:rsidRDefault="001B036F" w:rsidP="00F91BBA">
      <w:pPr>
        <w:spacing w:after="0" w:line="320" w:lineRule="atLeast"/>
        <w:jc w:val="both"/>
        <w:rPr>
          <w:rFonts w:eastAsia="Times New Roman" w:cstheme="minorHAnsi"/>
          <w:sz w:val="24"/>
          <w:szCs w:val="24"/>
          <w:lang w:eastAsia="de-DE"/>
        </w:rPr>
      </w:pPr>
    </w:p>
    <w:p w14:paraId="0129A290" w14:textId="77777777" w:rsidR="00537FB2" w:rsidRDefault="00537FB2" w:rsidP="00F91BBA">
      <w:pPr>
        <w:spacing w:after="0" w:line="320" w:lineRule="atLeast"/>
        <w:jc w:val="both"/>
        <w:rPr>
          <w:rFonts w:eastAsia="Times New Roman" w:cstheme="minorHAnsi"/>
          <w:sz w:val="24"/>
          <w:szCs w:val="24"/>
          <w:lang w:eastAsia="de-DE"/>
        </w:rPr>
      </w:pPr>
    </w:p>
    <w:p w14:paraId="354E2157" w14:textId="77777777" w:rsidR="00537FB2" w:rsidRPr="000115F0" w:rsidRDefault="004B4D8D" w:rsidP="00537FB2">
      <w:pPr>
        <w:spacing w:after="0" w:line="320" w:lineRule="atLeast"/>
        <w:jc w:val="center"/>
        <w:rPr>
          <w:rFonts w:eastAsia="Times New Roman" w:cstheme="minorHAnsi"/>
          <w:b/>
          <w:sz w:val="28"/>
          <w:szCs w:val="28"/>
        </w:rPr>
      </w:pPr>
      <w:r>
        <w:rPr>
          <w:b/>
          <w:sz w:val="28"/>
        </w:rPr>
        <w:t>4 §</w:t>
      </w:r>
    </w:p>
    <w:p w14:paraId="1161D4D6" w14:textId="77777777" w:rsidR="00537FB2" w:rsidRPr="000115F0" w:rsidRDefault="00537FB2" w:rsidP="00537FB2">
      <w:pPr>
        <w:spacing w:after="0" w:line="320" w:lineRule="atLeast"/>
        <w:jc w:val="center"/>
        <w:rPr>
          <w:rFonts w:eastAsia="Times New Roman" w:cstheme="minorHAnsi"/>
          <w:b/>
          <w:sz w:val="28"/>
          <w:szCs w:val="28"/>
        </w:rPr>
      </w:pPr>
      <w:r>
        <w:rPr>
          <w:b/>
          <w:sz w:val="28"/>
        </w:rPr>
        <w:t>Hakemuksen jättäminen</w:t>
      </w:r>
    </w:p>
    <w:p w14:paraId="712EC6A1" w14:textId="77777777" w:rsidR="00537FB2" w:rsidRDefault="00537FB2" w:rsidP="00F91BBA">
      <w:pPr>
        <w:spacing w:after="0" w:line="320" w:lineRule="atLeast"/>
        <w:jc w:val="both"/>
        <w:rPr>
          <w:rFonts w:eastAsia="Times New Roman" w:cstheme="minorHAnsi"/>
          <w:sz w:val="24"/>
          <w:szCs w:val="24"/>
          <w:lang w:eastAsia="de-DE"/>
        </w:rPr>
      </w:pPr>
    </w:p>
    <w:p w14:paraId="2A870F7B" w14:textId="77777777" w:rsidR="00537FB2" w:rsidRDefault="00537FB2" w:rsidP="00537FB2">
      <w:pPr>
        <w:spacing w:after="0" w:line="320" w:lineRule="atLeast"/>
        <w:jc w:val="both"/>
        <w:rPr>
          <w:rFonts w:eastAsia="Times New Roman" w:cstheme="minorHAnsi"/>
          <w:sz w:val="24"/>
          <w:szCs w:val="24"/>
        </w:rPr>
      </w:pPr>
      <w:r>
        <w:rPr>
          <w:sz w:val="24"/>
        </w:rPr>
        <w:t xml:space="preserve">(1) Hakemukset on toimitettava kirjallisesti asiasta vastaavalle valtion mediaviranomaiselle tarjouspyynnössä asetetussa määräajassa. Hakemuksiin on liitettävä asiakirjat, joiden avulla voidaan tarkastella kunkin tarjouksen tai ohjelmistopohjaisen sovelluksen erilaisuutta, ja niiden on sisällettävä ainakin seuraavat tiedot: </w:t>
      </w:r>
    </w:p>
    <w:p w14:paraId="1A699CA8" w14:textId="77777777" w:rsidR="00F36BA7" w:rsidRDefault="00F36BA7" w:rsidP="00537FB2">
      <w:pPr>
        <w:spacing w:after="0" w:line="320" w:lineRule="atLeast"/>
        <w:jc w:val="both"/>
        <w:rPr>
          <w:rFonts w:eastAsia="Times New Roman" w:cstheme="minorHAnsi"/>
          <w:sz w:val="24"/>
          <w:szCs w:val="24"/>
          <w:lang w:eastAsia="de-DE"/>
        </w:rPr>
      </w:pPr>
    </w:p>
    <w:p w14:paraId="60AB8AA2" w14:textId="77777777" w:rsidR="00F36BA7" w:rsidRDefault="00F36BA7" w:rsidP="00AD53E0">
      <w:pPr>
        <w:pStyle w:val="ListParagraph"/>
        <w:numPr>
          <w:ilvl w:val="0"/>
          <w:numId w:val="6"/>
        </w:numPr>
        <w:spacing w:after="0" w:line="320" w:lineRule="atLeast"/>
        <w:jc w:val="both"/>
        <w:rPr>
          <w:rFonts w:eastAsia="Times New Roman" w:cstheme="minorHAnsi"/>
          <w:sz w:val="24"/>
          <w:szCs w:val="24"/>
        </w:rPr>
      </w:pPr>
      <w:r>
        <w:rPr>
          <w:sz w:val="24"/>
        </w:rPr>
        <w:t>Tosiseikat, joista seuraa, että tarjous on valtion mediasopimuksen 84 §:n 3 momentin mukainen yksityinen yleisradiotarjous tai valtion mediasopimuksen 84 §:n 4 momentin mukainen yksityinen yleisradiotarjous tai 2 §:n 2 momentin 14 kohdan b alakohdan mukainen tarjous tai ohjelmistopohjainen sovellus, jota käytetään sen ohjaamiseen suoraan.</w:t>
      </w:r>
    </w:p>
    <w:p w14:paraId="2FF24C22" w14:textId="77777777" w:rsidR="00F36BA7" w:rsidRDefault="00F36BA7" w:rsidP="00F36BA7">
      <w:pPr>
        <w:pStyle w:val="ListParagraph"/>
        <w:spacing w:after="0" w:line="320" w:lineRule="atLeast"/>
        <w:jc w:val="both"/>
        <w:rPr>
          <w:rFonts w:eastAsia="Times New Roman" w:cstheme="minorHAnsi"/>
          <w:sz w:val="24"/>
          <w:szCs w:val="24"/>
          <w:lang w:eastAsia="de-DE"/>
        </w:rPr>
      </w:pPr>
    </w:p>
    <w:p w14:paraId="7D5F81AD" w14:textId="77777777" w:rsidR="00537FB2" w:rsidRDefault="009D766D" w:rsidP="00537FB2">
      <w:pPr>
        <w:pStyle w:val="ListParagraph"/>
        <w:numPr>
          <w:ilvl w:val="0"/>
          <w:numId w:val="6"/>
        </w:numPr>
        <w:spacing w:after="0" w:line="320" w:lineRule="atLeast"/>
        <w:jc w:val="both"/>
        <w:rPr>
          <w:rFonts w:eastAsia="Times New Roman" w:cstheme="minorHAnsi"/>
          <w:sz w:val="24"/>
          <w:szCs w:val="24"/>
        </w:rPr>
      </w:pPr>
      <w:r>
        <w:rPr>
          <w:sz w:val="24"/>
        </w:rPr>
        <w:t>Kuvaus tarjonnan sisällöstä ja selvitys siitä, miten se edistää erityisesti tarjonnan ja lausuntojen monimuotoisuutta Saksassa.</w:t>
      </w:r>
    </w:p>
    <w:p w14:paraId="53FEB512" w14:textId="77777777" w:rsidR="009D766D" w:rsidRPr="009D766D" w:rsidRDefault="009D766D" w:rsidP="009D766D">
      <w:pPr>
        <w:spacing w:after="0" w:line="320" w:lineRule="atLeast"/>
        <w:jc w:val="both"/>
        <w:rPr>
          <w:rFonts w:eastAsia="Times New Roman" w:cstheme="minorHAnsi"/>
          <w:sz w:val="24"/>
          <w:szCs w:val="24"/>
          <w:lang w:eastAsia="de-DE"/>
        </w:rPr>
      </w:pPr>
    </w:p>
    <w:p w14:paraId="6D754AAE" w14:textId="5CD6AA75" w:rsidR="00D769EE" w:rsidRDefault="00537FB2" w:rsidP="00537FB2">
      <w:pPr>
        <w:pStyle w:val="ListParagraph"/>
        <w:numPr>
          <w:ilvl w:val="0"/>
          <w:numId w:val="6"/>
        </w:numPr>
        <w:spacing w:after="0" w:line="320" w:lineRule="atLeast"/>
        <w:jc w:val="both"/>
        <w:rPr>
          <w:rFonts w:eastAsia="Times New Roman" w:cstheme="minorHAnsi"/>
          <w:sz w:val="24"/>
          <w:szCs w:val="24"/>
        </w:rPr>
      </w:pPr>
      <w:r>
        <w:rPr>
          <w:sz w:val="24"/>
        </w:rPr>
        <w:t>Tiedot perusteista, joita on noudatettava valtion mediasopimuksen 84 §:n 5 momentin ja 7 §:n nojalla määritettäessä.</w:t>
      </w:r>
    </w:p>
    <w:p w14:paraId="47BED891" w14:textId="262654F3" w:rsidR="00F36BA7" w:rsidRPr="00D769EE" w:rsidRDefault="00D769EE" w:rsidP="00D769EE">
      <w:pPr>
        <w:rPr>
          <w:rFonts w:eastAsia="Times New Roman" w:cstheme="minorHAnsi"/>
          <w:sz w:val="24"/>
          <w:szCs w:val="24"/>
        </w:rPr>
      </w:pPr>
      <w:r>
        <w:br w:type="page"/>
      </w:r>
    </w:p>
    <w:p w14:paraId="7F87071E" w14:textId="77777777" w:rsidR="004B4D8D" w:rsidRPr="009D766D" w:rsidRDefault="004B4D8D" w:rsidP="004B4D8D">
      <w:pPr>
        <w:spacing w:after="0" w:line="320" w:lineRule="atLeast"/>
        <w:jc w:val="center"/>
        <w:rPr>
          <w:rFonts w:eastAsia="Times New Roman" w:cstheme="minorHAnsi"/>
          <w:b/>
          <w:sz w:val="28"/>
          <w:szCs w:val="28"/>
        </w:rPr>
      </w:pPr>
      <w:r>
        <w:rPr>
          <w:b/>
          <w:sz w:val="28"/>
        </w:rPr>
        <w:lastRenderedPageBreak/>
        <w:t>5 §</w:t>
      </w:r>
    </w:p>
    <w:p w14:paraId="7A28FEEF" w14:textId="77777777" w:rsidR="004B4D8D" w:rsidRPr="009D766D" w:rsidRDefault="004B4D8D" w:rsidP="004B4D8D">
      <w:pPr>
        <w:spacing w:after="0" w:line="320" w:lineRule="atLeast"/>
        <w:jc w:val="center"/>
        <w:rPr>
          <w:rFonts w:eastAsia="Times New Roman" w:cstheme="minorHAnsi"/>
          <w:b/>
          <w:sz w:val="28"/>
          <w:szCs w:val="28"/>
        </w:rPr>
      </w:pPr>
      <w:r>
        <w:rPr>
          <w:b/>
          <w:sz w:val="28"/>
        </w:rPr>
        <w:t>Menettely</w:t>
      </w:r>
    </w:p>
    <w:p w14:paraId="11C90C8A" w14:textId="77777777" w:rsidR="004B4D8D" w:rsidRPr="009D766D" w:rsidRDefault="004B4D8D" w:rsidP="004B4D8D">
      <w:pPr>
        <w:spacing w:after="0" w:line="320" w:lineRule="atLeast"/>
        <w:jc w:val="both"/>
        <w:rPr>
          <w:rFonts w:eastAsia="Times New Roman" w:cstheme="minorHAnsi"/>
          <w:sz w:val="24"/>
          <w:szCs w:val="24"/>
          <w:lang w:eastAsia="de-DE"/>
        </w:rPr>
      </w:pPr>
    </w:p>
    <w:p w14:paraId="68F2CB65" w14:textId="77777777" w:rsidR="004B4D8D" w:rsidRPr="009D766D" w:rsidRDefault="004B4D8D" w:rsidP="004B4D8D">
      <w:pPr>
        <w:spacing w:after="0" w:line="320" w:lineRule="atLeast"/>
        <w:jc w:val="both"/>
        <w:rPr>
          <w:rFonts w:eastAsia="Times New Roman" w:cstheme="minorHAnsi"/>
          <w:sz w:val="24"/>
          <w:szCs w:val="24"/>
        </w:rPr>
      </w:pPr>
      <w:r>
        <w:rPr>
          <w:sz w:val="24"/>
        </w:rPr>
        <w:t>(1) Asiasta vastaava valtion mediaviranomainen tutkii vastaanotetut hakemukset. Se tarkistaa, täyttyvätkö tarjouksen tai ohjelmistoon perustuvan sovelluksen määrittämisen edellytykset 2, 7 ja 8 §:n nojalla.</w:t>
      </w:r>
    </w:p>
    <w:p w14:paraId="4571C38C" w14:textId="77777777" w:rsidR="004B4D8D" w:rsidRPr="009D766D" w:rsidRDefault="004B4D8D" w:rsidP="004B4D8D">
      <w:pPr>
        <w:spacing w:after="0" w:line="320" w:lineRule="atLeast"/>
        <w:jc w:val="both"/>
        <w:rPr>
          <w:rFonts w:eastAsia="Times New Roman" w:cstheme="minorHAnsi"/>
          <w:sz w:val="24"/>
          <w:szCs w:val="24"/>
          <w:lang w:eastAsia="de-DE"/>
        </w:rPr>
      </w:pPr>
    </w:p>
    <w:p w14:paraId="3867B43E" w14:textId="77777777" w:rsidR="004B4D8D" w:rsidRPr="009D766D" w:rsidRDefault="004B4D8D" w:rsidP="004B4D8D">
      <w:pPr>
        <w:spacing w:after="0" w:line="320" w:lineRule="atLeast"/>
        <w:jc w:val="both"/>
        <w:rPr>
          <w:rFonts w:eastAsia="Times New Roman" w:cstheme="minorHAnsi"/>
          <w:sz w:val="24"/>
          <w:szCs w:val="24"/>
        </w:rPr>
      </w:pPr>
      <w:r>
        <w:rPr>
          <w:sz w:val="24"/>
        </w:rPr>
        <w:t>(2) Lisenssi- ja valvontakomissio (ZAK) päättää lausunnolla, täyttyvätkö ehdot kunkin tarjouksen tai ohjelmistopohjaisen sovelluksen osalta.</w:t>
      </w:r>
    </w:p>
    <w:p w14:paraId="7D7A74F4" w14:textId="77777777" w:rsidR="004B4D8D" w:rsidRPr="009D766D" w:rsidRDefault="004B4D8D" w:rsidP="004B4D8D">
      <w:pPr>
        <w:spacing w:after="0" w:line="320" w:lineRule="atLeast"/>
        <w:jc w:val="both"/>
        <w:rPr>
          <w:rFonts w:eastAsia="Times New Roman" w:cstheme="minorHAnsi"/>
          <w:sz w:val="24"/>
          <w:szCs w:val="24"/>
          <w:lang w:eastAsia="de-DE"/>
        </w:rPr>
      </w:pPr>
    </w:p>
    <w:p w14:paraId="5DE5AAF3" w14:textId="77777777" w:rsidR="004B4D8D" w:rsidRDefault="004B4D8D" w:rsidP="004B4D8D">
      <w:pPr>
        <w:spacing w:after="0" w:line="320" w:lineRule="atLeast"/>
        <w:jc w:val="both"/>
        <w:rPr>
          <w:rFonts w:eastAsia="Times New Roman" w:cstheme="minorHAnsi"/>
          <w:sz w:val="24"/>
          <w:szCs w:val="24"/>
        </w:rPr>
      </w:pPr>
      <w:r>
        <w:rPr>
          <w:sz w:val="24"/>
        </w:rPr>
        <w:t xml:space="preserve">(3) Muodollisen päätöksen tekee vastuussa oleva valtion mediaviranomainen. Sitä sitovat lisenssi- ja valvontakomission (ZAK) päätökset tältä osin. </w:t>
      </w:r>
    </w:p>
    <w:p w14:paraId="4EDC2549" w14:textId="77777777" w:rsidR="007F62B2" w:rsidRDefault="007F62B2" w:rsidP="007F62B2">
      <w:pPr>
        <w:spacing w:after="0" w:line="320" w:lineRule="atLeast"/>
        <w:jc w:val="center"/>
        <w:rPr>
          <w:rFonts w:eastAsia="Times New Roman" w:cstheme="minorHAnsi"/>
          <w:b/>
          <w:sz w:val="28"/>
          <w:szCs w:val="28"/>
          <w:lang w:eastAsia="de-DE"/>
        </w:rPr>
      </w:pPr>
    </w:p>
    <w:p w14:paraId="6E8F48C5" w14:textId="77777777" w:rsidR="009D766D" w:rsidRDefault="009D766D" w:rsidP="007F62B2">
      <w:pPr>
        <w:spacing w:after="0" w:line="320" w:lineRule="atLeast"/>
        <w:jc w:val="center"/>
        <w:rPr>
          <w:rFonts w:eastAsia="Times New Roman" w:cstheme="minorHAnsi"/>
          <w:b/>
          <w:sz w:val="28"/>
          <w:szCs w:val="28"/>
          <w:lang w:eastAsia="de-DE"/>
        </w:rPr>
      </w:pPr>
    </w:p>
    <w:p w14:paraId="09E792F3" w14:textId="77777777" w:rsidR="007F62B2" w:rsidRPr="007F62B2" w:rsidRDefault="007F62B2" w:rsidP="007F62B2">
      <w:pPr>
        <w:spacing w:after="0" w:line="320" w:lineRule="atLeast"/>
        <w:jc w:val="center"/>
        <w:rPr>
          <w:rFonts w:eastAsia="Times New Roman" w:cstheme="minorHAnsi"/>
          <w:b/>
          <w:sz w:val="28"/>
          <w:szCs w:val="28"/>
        </w:rPr>
      </w:pPr>
      <w:r>
        <w:rPr>
          <w:b/>
          <w:sz w:val="28"/>
        </w:rPr>
        <w:t>6 §</w:t>
      </w:r>
    </w:p>
    <w:p w14:paraId="13FD1E9D" w14:textId="77777777" w:rsidR="007F62B2" w:rsidRPr="007F62B2" w:rsidRDefault="007F62B2" w:rsidP="007F62B2">
      <w:pPr>
        <w:spacing w:after="0" w:line="320" w:lineRule="atLeast"/>
        <w:jc w:val="center"/>
        <w:rPr>
          <w:rFonts w:eastAsia="Times New Roman" w:cstheme="minorHAnsi"/>
          <w:b/>
          <w:sz w:val="28"/>
          <w:szCs w:val="28"/>
        </w:rPr>
      </w:pPr>
      <w:r>
        <w:rPr>
          <w:b/>
          <w:sz w:val="28"/>
        </w:rPr>
        <w:t xml:space="preserve">Menettelyn loppuun saattaminen </w:t>
      </w:r>
    </w:p>
    <w:p w14:paraId="708C388F" w14:textId="77777777" w:rsidR="007F62B2" w:rsidRPr="00FC0C8B" w:rsidRDefault="007F62B2" w:rsidP="00FC0C8B">
      <w:pPr>
        <w:spacing w:after="0" w:line="320" w:lineRule="atLeast"/>
        <w:jc w:val="both"/>
        <w:rPr>
          <w:rFonts w:eastAsia="Times New Roman" w:cstheme="minorHAnsi"/>
          <w:sz w:val="24"/>
          <w:szCs w:val="24"/>
          <w:lang w:eastAsia="de-DE"/>
        </w:rPr>
      </w:pPr>
    </w:p>
    <w:p w14:paraId="4E62C9BF" w14:textId="77777777" w:rsidR="007F62B2" w:rsidRPr="00FC0C8B" w:rsidRDefault="007F62B2" w:rsidP="00FC0C8B">
      <w:pPr>
        <w:spacing w:after="0" w:line="320" w:lineRule="atLeast"/>
        <w:jc w:val="both"/>
        <w:rPr>
          <w:rFonts w:eastAsia="Times New Roman" w:cstheme="minorHAnsi"/>
          <w:sz w:val="24"/>
          <w:szCs w:val="24"/>
        </w:rPr>
      </w:pPr>
      <w:r>
        <w:rPr>
          <w:sz w:val="24"/>
        </w:rPr>
        <w:t>Hakemusta koskeva päätös annetaan hakijalle hallinnollisella säädöksellä.</w:t>
      </w:r>
    </w:p>
    <w:p w14:paraId="3EE291B5" w14:textId="77777777" w:rsidR="007F62B2" w:rsidRPr="00FC0C8B" w:rsidRDefault="007F62B2" w:rsidP="00FC0C8B">
      <w:pPr>
        <w:spacing w:after="0" w:line="320" w:lineRule="atLeast"/>
        <w:jc w:val="both"/>
        <w:rPr>
          <w:rFonts w:eastAsia="Times New Roman" w:cstheme="minorHAnsi"/>
          <w:sz w:val="24"/>
          <w:szCs w:val="24"/>
          <w:lang w:eastAsia="de-DE"/>
        </w:rPr>
      </w:pPr>
    </w:p>
    <w:p w14:paraId="14FCA71F" w14:textId="77777777" w:rsidR="007146F9" w:rsidRDefault="007F62B2" w:rsidP="00FC0C8B">
      <w:pPr>
        <w:spacing w:after="0" w:line="320" w:lineRule="atLeast"/>
        <w:jc w:val="both"/>
        <w:rPr>
          <w:rFonts w:eastAsia="Times New Roman" w:cstheme="minorHAnsi"/>
          <w:sz w:val="24"/>
          <w:szCs w:val="24"/>
        </w:rPr>
      </w:pPr>
      <w:r>
        <w:rPr>
          <w:sz w:val="24"/>
        </w:rPr>
        <w:t xml:space="preserve">(2) Tehtyjä määrityksiä sovelletaan kussakin tapauksessa kolmen vuoden ajan hallinnollisessa säädöksessä ilmoitetusta päivästä. </w:t>
      </w:r>
    </w:p>
    <w:p w14:paraId="3BA405FC" w14:textId="77777777" w:rsidR="007146F9" w:rsidRDefault="007146F9" w:rsidP="00FC0C8B">
      <w:pPr>
        <w:spacing w:after="0" w:line="320" w:lineRule="atLeast"/>
        <w:jc w:val="both"/>
        <w:rPr>
          <w:rFonts w:eastAsia="Times New Roman" w:cstheme="minorHAnsi"/>
          <w:sz w:val="24"/>
          <w:szCs w:val="24"/>
          <w:lang w:eastAsia="de-DE"/>
        </w:rPr>
      </w:pPr>
    </w:p>
    <w:p w14:paraId="1E867774" w14:textId="77777777" w:rsidR="007146F9" w:rsidRDefault="007146F9" w:rsidP="00FC0C8B">
      <w:pPr>
        <w:spacing w:after="0" w:line="320" w:lineRule="atLeast"/>
        <w:jc w:val="both"/>
        <w:rPr>
          <w:rFonts w:eastAsia="Times New Roman" w:cstheme="minorHAnsi"/>
          <w:sz w:val="24"/>
          <w:szCs w:val="24"/>
        </w:rPr>
      </w:pPr>
      <w:r>
        <w:rPr>
          <w:sz w:val="24"/>
        </w:rPr>
        <w:t xml:space="preserve">(3) Hakijan on välittömästi ilmoitettava vastuussa olevalle valtion mediaviranomaiselle muutoksista tarjoukseen, joka tapahtuu ennen hakemusta tai sen jälkeen ja jotka ovat olennaisia 7 ja 8 §:n mukaisen määrityksen kannalta. </w:t>
      </w:r>
    </w:p>
    <w:p w14:paraId="27A16DFD" w14:textId="77777777" w:rsidR="007146F9" w:rsidRDefault="007146F9" w:rsidP="00FC0C8B">
      <w:pPr>
        <w:spacing w:after="0" w:line="320" w:lineRule="atLeast"/>
        <w:jc w:val="both"/>
        <w:rPr>
          <w:rFonts w:eastAsia="Times New Roman" w:cstheme="minorHAnsi"/>
          <w:sz w:val="24"/>
          <w:szCs w:val="24"/>
          <w:lang w:eastAsia="de-DE"/>
        </w:rPr>
      </w:pPr>
    </w:p>
    <w:p w14:paraId="77055C5F" w14:textId="77777777" w:rsidR="007F62B2" w:rsidRDefault="007146F9" w:rsidP="00FC0C8B">
      <w:pPr>
        <w:spacing w:after="0" w:line="320" w:lineRule="atLeast"/>
        <w:jc w:val="both"/>
        <w:rPr>
          <w:rFonts w:eastAsia="Times New Roman" w:cstheme="minorHAnsi"/>
          <w:sz w:val="24"/>
          <w:szCs w:val="24"/>
        </w:rPr>
      </w:pPr>
      <w:r>
        <w:rPr>
          <w:sz w:val="24"/>
        </w:rPr>
        <w:t>(4) Vastuussa oleva valtion mediaviranomainen voi kumota 6 §:n 1 momentin mukaisen päätöksen, jos tarjoukseen tehdään myöhemmin olennaisia muutoksia, joiden mukaan tarjous ei enää täytä 7 ja 8 §:n säännöksiä.</w:t>
      </w:r>
    </w:p>
    <w:p w14:paraId="23B5A412" w14:textId="77777777" w:rsidR="007F62B2" w:rsidRDefault="007F62B2" w:rsidP="004B4D8D">
      <w:pPr>
        <w:spacing w:after="0" w:line="320" w:lineRule="atLeast"/>
        <w:jc w:val="both"/>
        <w:rPr>
          <w:rFonts w:eastAsia="Times New Roman" w:cstheme="minorHAnsi"/>
          <w:sz w:val="24"/>
          <w:szCs w:val="24"/>
          <w:lang w:eastAsia="de-DE"/>
        </w:rPr>
      </w:pPr>
    </w:p>
    <w:p w14:paraId="0A640E40" w14:textId="77777777" w:rsidR="0001194D" w:rsidRDefault="0001194D" w:rsidP="00537FB2">
      <w:pPr>
        <w:spacing w:after="0" w:line="320" w:lineRule="atLeast"/>
        <w:jc w:val="both"/>
        <w:rPr>
          <w:rFonts w:eastAsia="Times New Roman" w:cstheme="minorHAnsi"/>
          <w:sz w:val="24"/>
          <w:szCs w:val="24"/>
          <w:lang w:eastAsia="de-DE"/>
        </w:rPr>
      </w:pPr>
    </w:p>
    <w:p w14:paraId="613CD46C" w14:textId="77777777" w:rsidR="006672EC" w:rsidRPr="006672EC" w:rsidRDefault="006672EC" w:rsidP="006672EC">
      <w:pPr>
        <w:spacing w:after="0" w:line="320" w:lineRule="atLeast"/>
        <w:jc w:val="center"/>
        <w:rPr>
          <w:rFonts w:eastAsia="Times New Roman" w:cstheme="minorHAnsi"/>
          <w:b/>
          <w:sz w:val="28"/>
          <w:szCs w:val="28"/>
        </w:rPr>
      </w:pPr>
      <w:r>
        <w:rPr>
          <w:b/>
          <w:sz w:val="28"/>
        </w:rPr>
        <w:t>7 §</w:t>
      </w:r>
    </w:p>
    <w:p w14:paraId="75AE2D97" w14:textId="77777777" w:rsidR="006672EC" w:rsidRPr="006672EC" w:rsidRDefault="006672EC" w:rsidP="006672EC">
      <w:pPr>
        <w:spacing w:after="0" w:line="320" w:lineRule="atLeast"/>
        <w:jc w:val="center"/>
        <w:rPr>
          <w:rFonts w:eastAsia="Times New Roman" w:cstheme="minorHAnsi"/>
          <w:b/>
          <w:sz w:val="28"/>
          <w:szCs w:val="28"/>
        </w:rPr>
      </w:pPr>
      <w:r>
        <w:rPr>
          <w:b/>
          <w:sz w:val="28"/>
        </w:rPr>
        <w:t xml:space="preserve">Määrityskriteerit </w:t>
      </w:r>
      <w:r>
        <w:rPr>
          <w:b/>
          <w:sz w:val="28"/>
        </w:rPr>
        <w:br/>
      </w:r>
    </w:p>
    <w:p w14:paraId="3617EB73" w14:textId="77777777" w:rsidR="004C219B" w:rsidRPr="00956BF6" w:rsidRDefault="006672EC" w:rsidP="00956BF6">
      <w:pPr>
        <w:spacing w:after="0" w:line="320" w:lineRule="atLeast"/>
        <w:jc w:val="both"/>
        <w:rPr>
          <w:rFonts w:eastAsia="Times New Roman" w:cstheme="minorHAnsi"/>
          <w:sz w:val="24"/>
          <w:szCs w:val="24"/>
        </w:rPr>
      </w:pPr>
      <w:r>
        <w:rPr>
          <w:sz w:val="24"/>
        </w:rPr>
        <w:t>Valtion mediasopimuksen 84 §:n 3 momentin 2 ja 4 kohdan mukaisia tarjouksia määritettäessä on otettava huomioon ainoastaan valtion mediasopimuksen 84 §:n 5 momentissa mainitut perusteet.</w:t>
      </w:r>
    </w:p>
    <w:p w14:paraId="4EB05C57" w14:textId="77777777" w:rsidR="004C219B" w:rsidRPr="00956BF6" w:rsidRDefault="004C219B" w:rsidP="00956BF6">
      <w:pPr>
        <w:spacing w:after="0" w:line="320" w:lineRule="atLeast"/>
        <w:jc w:val="both"/>
        <w:rPr>
          <w:rFonts w:eastAsia="Times New Roman" w:cstheme="minorHAnsi"/>
          <w:sz w:val="24"/>
          <w:szCs w:val="24"/>
          <w:lang w:eastAsia="de-DE"/>
        </w:rPr>
      </w:pPr>
    </w:p>
    <w:p w14:paraId="5ED34CF8" w14:textId="77777777" w:rsidR="006672EC" w:rsidRPr="006672EC" w:rsidRDefault="006672EC" w:rsidP="00956BF6">
      <w:pPr>
        <w:spacing w:after="0" w:line="320" w:lineRule="atLeast"/>
        <w:jc w:val="both"/>
        <w:rPr>
          <w:rFonts w:eastAsia="Times New Roman" w:cstheme="minorHAnsi"/>
          <w:sz w:val="24"/>
          <w:szCs w:val="24"/>
        </w:rPr>
      </w:pPr>
      <w:r>
        <w:rPr>
          <w:sz w:val="24"/>
        </w:rPr>
        <w:t>Jollei valtion mediasopimuksessa toisin määrätä,</w:t>
      </w:r>
    </w:p>
    <w:p w14:paraId="6B3CBE5A" w14:textId="77777777" w:rsidR="006672EC" w:rsidRPr="006672EC" w:rsidRDefault="006672EC" w:rsidP="00956BF6">
      <w:pPr>
        <w:spacing w:after="0" w:line="320" w:lineRule="atLeast"/>
        <w:jc w:val="both"/>
        <w:rPr>
          <w:rFonts w:eastAsia="Times New Roman" w:cstheme="minorHAnsi"/>
          <w:sz w:val="24"/>
          <w:szCs w:val="24"/>
          <w:lang w:eastAsia="de-DE"/>
        </w:rPr>
      </w:pPr>
    </w:p>
    <w:p w14:paraId="145F70FE" w14:textId="77777777" w:rsidR="006672EC" w:rsidRDefault="006672EC" w:rsidP="00956BF6">
      <w:pPr>
        <w:pStyle w:val="ListParagraph"/>
        <w:numPr>
          <w:ilvl w:val="0"/>
          <w:numId w:val="9"/>
        </w:numPr>
        <w:spacing w:after="0" w:line="320" w:lineRule="atLeast"/>
        <w:jc w:val="both"/>
        <w:rPr>
          <w:rFonts w:eastAsia="Times New Roman" w:cstheme="minorHAnsi"/>
          <w:sz w:val="24"/>
          <w:szCs w:val="24"/>
        </w:rPr>
      </w:pPr>
      <w:r>
        <w:rPr>
          <w:sz w:val="24"/>
        </w:rPr>
        <w:t xml:space="preserve">poliittisia tai ajankohtaisia tapahtumia koskeva uutisraportointi on toimituksellista ja journalistista sisältöä, joka koko tarjouksen perusteella kuvaa mahdollisimman kattavasti yleisen mielipiteen muodostumisen kannalta merkityksellisten poliittisten ja </w:t>
      </w:r>
      <w:r>
        <w:rPr>
          <w:sz w:val="24"/>
        </w:rPr>
        <w:lastRenderedPageBreak/>
        <w:t>ajankohtaisten yhteiskunnallisten tapahtumien osa-alueita, jotka keskittyvät todellisten tapahtumien kattamiseen;</w:t>
      </w:r>
    </w:p>
    <w:p w14:paraId="2C7E8223" w14:textId="77777777" w:rsidR="009D766D" w:rsidRPr="00956BF6" w:rsidRDefault="009D766D" w:rsidP="009D766D">
      <w:pPr>
        <w:pStyle w:val="ListParagraph"/>
        <w:spacing w:after="0" w:line="320" w:lineRule="atLeast"/>
        <w:jc w:val="both"/>
        <w:rPr>
          <w:rFonts w:eastAsia="Times New Roman" w:cstheme="minorHAnsi"/>
          <w:sz w:val="24"/>
          <w:szCs w:val="24"/>
          <w:lang w:eastAsia="de-DE"/>
        </w:rPr>
      </w:pPr>
    </w:p>
    <w:p w14:paraId="0C534598" w14:textId="77777777" w:rsidR="006672EC" w:rsidRDefault="006672EC" w:rsidP="00956BF6">
      <w:pPr>
        <w:pStyle w:val="ListParagraph"/>
        <w:numPr>
          <w:ilvl w:val="0"/>
          <w:numId w:val="9"/>
        </w:numPr>
        <w:spacing w:after="0" w:line="320" w:lineRule="atLeast"/>
        <w:jc w:val="both"/>
        <w:rPr>
          <w:rFonts w:eastAsia="Times New Roman" w:cstheme="minorHAnsi"/>
          <w:sz w:val="24"/>
          <w:szCs w:val="24"/>
        </w:rPr>
      </w:pPr>
      <w:r>
        <w:rPr>
          <w:sz w:val="24"/>
        </w:rPr>
        <w:t xml:space="preserve">valtion mediasopimuksen 2 §:n 2 momentin 25 kohdassa määritelty alueellinen ja paikallinen tieto on tietoa, jolla on selkeä yhteys kulttuurisesti ja alueellisesti rajattuihin alueisiin, jotka voivat olla myös valtioiden rajat ylittäviä. </w:t>
      </w:r>
    </w:p>
    <w:p w14:paraId="71A199A1" w14:textId="77777777" w:rsidR="007C2419" w:rsidRPr="0050150A" w:rsidRDefault="007C2419" w:rsidP="0050150A">
      <w:pPr>
        <w:spacing w:after="0" w:line="320" w:lineRule="atLeast"/>
        <w:jc w:val="both"/>
        <w:rPr>
          <w:rFonts w:eastAsia="Times New Roman" w:cstheme="minorHAnsi"/>
          <w:sz w:val="24"/>
          <w:szCs w:val="24"/>
          <w:lang w:eastAsia="de-DE"/>
        </w:rPr>
      </w:pPr>
    </w:p>
    <w:p w14:paraId="5F8FA548" w14:textId="77777777" w:rsidR="006672EC" w:rsidRDefault="006672EC" w:rsidP="00956BF6">
      <w:pPr>
        <w:pStyle w:val="ListParagraph"/>
        <w:numPr>
          <w:ilvl w:val="0"/>
          <w:numId w:val="9"/>
        </w:numPr>
        <w:spacing w:after="0" w:line="320" w:lineRule="atLeast"/>
        <w:jc w:val="both"/>
        <w:rPr>
          <w:rFonts w:eastAsia="Times New Roman" w:cstheme="minorHAnsi"/>
          <w:sz w:val="24"/>
          <w:szCs w:val="24"/>
        </w:rPr>
      </w:pPr>
      <w:r>
        <w:rPr>
          <w:sz w:val="24"/>
        </w:rPr>
        <w:t>yrityksen sisäisiä tuotantotarjouksia ovat ne tarjoukset, joiden tuotanto ja jalostus on toteutettu ja rahoitettu kokonaan tai pääasiassa sisällön tuottajan omin tuotantovälinein tai vastaavalla toimittajalla ja toimituksellisella vaikutuksella. Tuotantoja, jotka on tuotettu tuotantoyritykselle sen jälkeen, kun tämä on tilannut ne, pidetään myös yrityksen sisäisiä tuotantoja;</w:t>
      </w:r>
    </w:p>
    <w:p w14:paraId="24C4954C" w14:textId="77777777" w:rsidR="009D766D" w:rsidRPr="00956BF6" w:rsidRDefault="009D766D" w:rsidP="009D766D">
      <w:pPr>
        <w:pStyle w:val="ListParagraph"/>
        <w:spacing w:after="0" w:line="320" w:lineRule="atLeast"/>
        <w:jc w:val="both"/>
        <w:rPr>
          <w:rFonts w:eastAsia="Times New Roman" w:cstheme="minorHAnsi"/>
          <w:sz w:val="24"/>
          <w:szCs w:val="24"/>
          <w:lang w:eastAsia="de-DE"/>
        </w:rPr>
      </w:pPr>
    </w:p>
    <w:p w14:paraId="24A04BCB" w14:textId="77777777" w:rsidR="00B124D7" w:rsidRDefault="00B124D7" w:rsidP="005C1407">
      <w:pPr>
        <w:pStyle w:val="ListParagraph"/>
        <w:numPr>
          <w:ilvl w:val="0"/>
          <w:numId w:val="9"/>
        </w:numPr>
        <w:spacing w:after="0" w:line="320" w:lineRule="atLeast"/>
        <w:jc w:val="both"/>
        <w:rPr>
          <w:rFonts w:eastAsia="Times New Roman" w:cstheme="minorHAnsi"/>
          <w:sz w:val="24"/>
          <w:szCs w:val="24"/>
        </w:rPr>
      </w:pPr>
      <w:r>
        <w:rPr>
          <w:sz w:val="24"/>
        </w:rPr>
        <w:t>Esteettömät tarjoukset ovat sellaisia, jotka ovat vammaisten saatavilla ja käyttökelpoisia heille tavanomaisella tavalla, kunkin tekniikan mukaan ja käyttämällä tarvittavia apuvälineitä ilman erityisiä vaikeuksia ja pohjimmiltaan ilman ulkopuolista apua.</w:t>
      </w:r>
    </w:p>
    <w:p w14:paraId="348873A7" w14:textId="77777777" w:rsidR="009D766D" w:rsidRPr="009D766D" w:rsidRDefault="009D766D" w:rsidP="009D766D">
      <w:pPr>
        <w:spacing w:after="0" w:line="320" w:lineRule="atLeast"/>
        <w:jc w:val="both"/>
        <w:rPr>
          <w:rFonts w:eastAsia="Times New Roman" w:cstheme="minorHAnsi"/>
          <w:sz w:val="24"/>
          <w:szCs w:val="24"/>
          <w:lang w:eastAsia="de-DE"/>
        </w:rPr>
      </w:pPr>
    </w:p>
    <w:p w14:paraId="71C99D64" w14:textId="77777777" w:rsidR="006672EC" w:rsidRDefault="006672EC" w:rsidP="00956BF6">
      <w:pPr>
        <w:pStyle w:val="ListParagraph"/>
        <w:numPr>
          <w:ilvl w:val="0"/>
          <w:numId w:val="9"/>
        </w:numPr>
        <w:spacing w:after="0" w:line="320" w:lineRule="atLeast"/>
        <w:jc w:val="both"/>
        <w:rPr>
          <w:rFonts w:eastAsia="Times New Roman" w:cstheme="minorHAnsi"/>
          <w:sz w:val="24"/>
          <w:szCs w:val="24"/>
        </w:rPr>
      </w:pPr>
      <w:r>
        <w:rPr>
          <w:sz w:val="24"/>
        </w:rPr>
        <w:t>Koulutettuja työntekijöitä ovat ne, jotka ovat suorittaneet koulutuskurssin tai vastaavan kurssin, joka liittyy heidän toimittaja- tai mediatekniseen tehtäväänsä ohjelmatuotannossa tai jotka voivat todistaa vähintään viiden vuoden ammattikokemuksen. Alaisia lisätöitä ei oteta mukaan;</w:t>
      </w:r>
    </w:p>
    <w:p w14:paraId="5EA7E95B" w14:textId="77777777" w:rsidR="009D766D" w:rsidRPr="009D766D" w:rsidRDefault="009D766D" w:rsidP="009D766D">
      <w:pPr>
        <w:spacing w:after="0" w:line="320" w:lineRule="atLeast"/>
        <w:jc w:val="both"/>
        <w:rPr>
          <w:rFonts w:eastAsia="Times New Roman" w:cstheme="minorHAnsi"/>
          <w:sz w:val="24"/>
          <w:szCs w:val="24"/>
          <w:lang w:eastAsia="de-DE"/>
        </w:rPr>
      </w:pPr>
    </w:p>
    <w:p w14:paraId="6AB034C7" w14:textId="77777777" w:rsidR="006672EC" w:rsidRDefault="00A42418" w:rsidP="00956BF6">
      <w:pPr>
        <w:pStyle w:val="ListParagraph"/>
        <w:numPr>
          <w:ilvl w:val="0"/>
          <w:numId w:val="9"/>
        </w:numPr>
        <w:spacing w:after="0" w:line="320" w:lineRule="atLeast"/>
        <w:jc w:val="both"/>
        <w:rPr>
          <w:rFonts w:eastAsia="Times New Roman" w:cstheme="minorHAnsi"/>
          <w:sz w:val="24"/>
          <w:szCs w:val="24"/>
        </w:rPr>
      </w:pPr>
      <w:r>
        <w:rPr>
          <w:sz w:val="24"/>
        </w:rPr>
        <w:t>Eurooppalaiset teokset ovat niitä, sellaisina kuin ne on määritelty valtion mediaviranomaisten eurooppalaisten tuotantojen yhteisten sääntöjen 3 §:n 4 momentissa valtion mediasopimuksen 77 §:n nojalla ja</w:t>
      </w:r>
    </w:p>
    <w:p w14:paraId="04E5A5A4" w14:textId="77777777" w:rsidR="009D766D" w:rsidRPr="009D766D" w:rsidRDefault="009D766D" w:rsidP="009D766D">
      <w:pPr>
        <w:spacing w:after="0" w:line="320" w:lineRule="atLeast"/>
        <w:jc w:val="both"/>
        <w:rPr>
          <w:rFonts w:eastAsia="Times New Roman" w:cstheme="minorHAnsi"/>
          <w:sz w:val="24"/>
          <w:szCs w:val="24"/>
          <w:lang w:eastAsia="de-DE"/>
        </w:rPr>
      </w:pPr>
    </w:p>
    <w:p w14:paraId="791034E7" w14:textId="77777777" w:rsidR="006672EC" w:rsidRDefault="006672EC" w:rsidP="00956BF6">
      <w:pPr>
        <w:pStyle w:val="ListParagraph"/>
        <w:numPr>
          <w:ilvl w:val="0"/>
          <w:numId w:val="9"/>
        </w:numPr>
        <w:spacing w:after="0" w:line="320" w:lineRule="atLeast"/>
        <w:jc w:val="both"/>
        <w:rPr>
          <w:rFonts w:eastAsia="Times New Roman" w:cstheme="minorHAnsi"/>
          <w:sz w:val="24"/>
          <w:szCs w:val="24"/>
        </w:rPr>
      </w:pPr>
      <w:r>
        <w:rPr>
          <w:sz w:val="24"/>
        </w:rPr>
        <w:t>nuorille kohderyhmille suunnatut tarjoukset, jos ne on suunnattu selvästi lapsille tai alle 29-vuotiaille nuorille aikuisille. Seuraavat seikat otetaan huomioon:</w:t>
      </w:r>
    </w:p>
    <w:p w14:paraId="7DCA8830" w14:textId="77777777" w:rsidR="00D95527" w:rsidRDefault="00D95527" w:rsidP="00D95527">
      <w:pPr>
        <w:spacing w:after="0" w:line="320" w:lineRule="atLeast"/>
        <w:jc w:val="both"/>
        <w:rPr>
          <w:rFonts w:eastAsia="Times New Roman" w:cstheme="minorHAnsi"/>
          <w:sz w:val="24"/>
          <w:szCs w:val="24"/>
          <w:lang w:eastAsia="de-DE"/>
        </w:rPr>
      </w:pPr>
    </w:p>
    <w:p w14:paraId="5DD78675" w14:textId="77777777" w:rsidR="006672EC" w:rsidRPr="00D95527" w:rsidRDefault="006672EC" w:rsidP="00D95527">
      <w:pPr>
        <w:pStyle w:val="ListParagraph"/>
        <w:numPr>
          <w:ilvl w:val="0"/>
          <w:numId w:val="12"/>
        </w:numPr>
        <w:spacing w:after="0" w:line="320" w:lineRule="atLeast"/>
        <w:jc w:val="both"/>
        <w:rPr>
          <w:rFonts w:eastAsia="Times New Roman" w:cstheme="minorHAnsi"/>
          <w:sz w:val="24"/>
          <w:szCs w:val="24"/>
        </w:rPr>
      </w:pPr>
      <w:r>
        <w:rPr>
          <w:sz w:val="24"/>
        </w:rPr>
        <w:t xml:space="preserve">Tarjontaa, jota ei saa keskeyttää radio- tai televisiomainonnalla valtion mediasopimuksen 9 §:n 1 momentin nojalla tai, jos lähetyssisältö on samansuuntainen kuin luokiteltava sisältö, ei saa keskeyttää radio- tai televisiomainonnalla valtion mediasopimuksen 9 §:n 1 momentin mukaisesti (lapsille suunnattava tarjonta); </w:t>
      </w:r>
    </w:p>
    <w:p w14:paraId="304E1B6F" w14:textId="77777777" w:rsidR="00D95527" w:rsidRPr="00D95527" w:rsidRDefault="00D95527" w:rsidP="00D95527">
      <w:pPr>
        <w:pStyle w:val="ListParagraph"/>
        <w:spacing w:after="0" w:line="320" w:lineRule="atLeast"/>
        <w:ind w:left="1468"/>
        <w:jc w:val="both"/>
        <w:rPr>
          <w:rFonts w:eastAsia="Times New Roman" w:cstheme="minorHAnsi"/>
          <w:sz w:val="24"/>
          <w:szCs w:val="24"/>
          <w:lang w:eastAsia="de-DE"/>
        </w:rPr>
      </w:pPr>
    </w:p>
    <w:p w14:paraId="3F7F3E80" w14:textId="6C37BB68" w:rsidR="006672EC" w:rsidRPr="000064CB" w:rsidRDefault="006672EC" w:rsidP="009D766D">
      <w:pPr>
        <w:pStyle w:val="ListParagraph"/>
        <w:numPr>
          <w:ilvl w:val="0"/>
          <w:numId w:val="12"/>
        </w:numPr>
        <w:spacing w:after="0" w:line="320" w:lineRule="atLeast"/>
        <w:jc w:val="both"/>
      </w:pPr>
      <w:r>
        <w:rPr>
          <w:sz w:val="24"/>
        </w:rPr>
        <w:t>Tarjonta, joka tapauskohtaisen sisällön, muodon ja lähetysajan yleisen tarkastelun mukaan kohdistetaan selkeästi 14–29-vuotiaiden kohderyhmälle (nuorille ja nuorille aikuisille suunnattava tarjonta), siltä osin kuin se keskittyy valtion mediasopimuksen (MStV) 2 §:n 2 momentin 25 kohdassa määriteltyyn tietoon.</w:t>
      </w:r>
    </w:p>
    <w:p w14:paraId="4F7BC33B" w14:textId="77777777" w:rsidR="000064CB" w:rsidRDefault="000064CB" w:rsidP="000064CB">
      <w:pPr>
        <w:pStyle w:val="ListParagraph"/>
      </w:pPr>
    </w:p>
    <w:p w14:paraId="311D636B" w14:textId="00D4217B" w:rsidR="000064CB" w:rsidRDefault="000064CB" w:rsidP="000064CB">
      <w:pPr>
        <w:spacing w:after="0" w:line="320" w:lineRule="atLeast"/>
        <w:jc w:val="both"/>
      </w:pPr>
    </w:p>
    <w:p w14:paraId="449F9127" w14:textId="77777777" w:rsidR="00AA4B93" w:rsidRPr="006672EC" w:rsidRDefault="00AA4B93" w:rsidP="00AA4B93">
      <w:pPr>
        <w:spacing w:after="0" w:line="320" w:lineRule="atLeast"/>
        <w:jc w:val="center"/>
        <w:rPr>
          <w:rFonts w:eastAsia="Times New Roman" w:cstheme="minorHAnsi"/>
          <w:b/>
          <w:sz w:val="28"/>
          <w:szCs w:val="28"/>
        </w:rPr>
      </w:pPr>
      <w:r>
        <w:rPr>
          <w:b/>
          <w:sz w:val="28"/>
        </w:rPr>
        <w:lastRenderedPageBreak/>
        <w:t>8 §</w:t>
      </w:r>
    </w:p>
    <w:p w14:paraId="389064A1" w14:textId="77777777" w:rsidR="00225CB9" w:rsidRDefault="00AA4B93" w:rsidP="00225CB9">
      <w:pPr>
        <w:spacing w:after="0" w:line="320" w:lineRule="atLeast"/>
        <w:jc w:val="center"/>
        <w:rPr>
          <w:rFonts w:eastAsia="Times New Roman" w:cstheme="minorHAnsi"/>
          <w:b/>
          <w:sz w:val="28"/>
          <w:szCs w:val="28"/>
        </w:rPr>
      </w:pPr>
      <w:r>
        <w:rPr>
          <w:b/>
          <w:sz w:val="28"/>
        </w:rPr>
        <w:t>Määrityksen perusperiaatteet</w:t>
      </w:r>
      <w:r>
        <w:rPr>
          <w:b/>
          <w:sz w:val="28"/>
        </w:rPr>
        <w:br/>
      </w:r>
    </w:p>
    <w:p w14:paraId="167137B4" w14:textId="77777777" w:rsidR="00225CB9" w:rsidRPr="00F81EB4" w:rsidRDefault="00225CB9" w:rsidP="00225CB9">
      <w:pPr>
        <w:spacing w:after="0" w:line="320" w:lineRule="atLeast"/>
        <w:rPr>
          <w:rFonts w:eastAsia="Times New Roman" w:cstheme="minorHAnsi"/>
          <w:b/>
          <w:sz w:val="28"/>
          <w:szCs w:val="28"/>
        </w:rPr>
      </w:pPr>
      <w:r>
        <w:rPr>
          <w:sz w:val="24"/>
        </w:rPr>
        <w:t>Määritys perustuu yleisnäkemykseen, joka perustuu seuraaviin perusperiaatteisiin:</w:t>
      </w:r>
    </w:p>
    <w:p w14:paraId="1072A53F" w14:textId="77777777" w:rsidR="00AA4B93" w:rsidRDefault="00225CB9" w:rsidP="00225CB9">
      <w:pPr>
        <w:pStyle w:val="ListParagraph"/>
        <w:tabs>
          <w:tab w:val="left" w:pos="4165"/>
        </w:tabs>
        <w:spacing w:after="0" w:line="320" w:lineRule="atLeast"/>
        <w:ind w:left="284"/>
        <w:rPr>
          <w:rFonts w:eastAsia="Times New Roman" w:cstheme="minorHAnsi"/>
          <w:sz w:val="24"/>
          <w:szCs w:val="24"/>
        </w:rPr>
      </w:pPr>
      <w:r>
        <w:rPr>
          <w:sz w:val="24"/>
        </w:rPr>
        <w:tab/>
      </w:r>
    </w:p>
    <w:p w14:paraId="193A25D9" w14:textId="77777777" w:rsidR="00AA4B93" w:rsidRDefault="00164A49" w:rsidP="00F81EB4">
      <w:pPr>
        <w:pStyle w:val="ListParagraph"/>
        <w:numPr>
          <w:ilvl w:val="0"/>
          <w:numId w:val="13"/>
        </w:numPr>
        <w:spacing w:after="0" w:line="320" w:lineRule="atLeast"/>
        <w:ind w:left="720"/>
        <w:rPr>
          <w:rFonts w:eastAsia="Times New Roman" w:cstheme="minorHAnsi"/>
          <w:sz w:val="24"/>
          <w:szCs w:val="24"/>
        </w:rPr>
      </w:pPr>
      <w:r>
        <w:rPr>
          <w:sz w:val="24"/>
        </w:rPr>
        <w:t>Tarjonta, joka ei periaatteessa vastaa valtion mediasopimuksessa tunnustettuja journalistisia periaatteita ja muita vaatimuksia, ei vaikuta merkittävästi mielipiteiden ja tarjonnan monimuotoisuuteen.</w:t>
      </w:r>
    </w:p>
    <w:p w14:paraId="66CAC601" w14:textId="77777777" w:rsidR="00AA4B93" w:rsidRDefault="00AA4B93" w:rsidP="00F81EB4">
      <w:pPr>
        <w:pStyle w:val="ListParagraph"/>
        <w:spacing w:after="0" w:line="320" w:lineRule="atLeast"/>
        <w:rPr>
          <w:rFonts w:eastAsia="Times New Roman" w:cstheme="minorHAnsi"/>
          <w:sz w:val="24"/>
          <w:szCs w:val="24"/>
          <w:lang w:eastAsia="de-DE"/>
        </w:rPr>
      </w:pPr>
    </w:p>
    <w:p w14:paraId="0C1AFBD8" w14:textId="77777777" w:rsidR="00AA4B93" w:rsidRDefault="00D95527" w:rsidP="00F81EB4">
      <w:pPr>
        <w:pStyle w:val="ListParagraph"/>
        <w:numPr>
          <w:ilvl w:val="0"/>
          <w:numId w:val="13"/>
        </w:numPr>
        <w:spacing w:after="0" w:line="320" w:lineRule="atLeast"/>
        <w:ind w:left="720"/>
        <w:rPr>
          <w:rFonts w:eastAsia="Times New Roman" w:cstheme="minorHAnsi"/>
          <w:sz w:val="24"/>
          <w:szCs w:val="24"/>
        </w:rPr>
      </w:pPr>
      <w:r>
        <w:rPr>
          <w:sz w:val="24"/>
        </w:rPr>
        <w:t>Jos vastaavat lakisääteiset vaatimukset ovat merkityksellisiä 7 §:ssä vahvistettujen perusteiden kannalta, määrityksessä otetaan huomioon ainoastaan toimenpiteet, jotka ylittävät näiden lakisääteisten hankkeiden toteuttamisen.</w:t>
      </w:r>
    </w:p>
    <w:p w14:paraId="023C3B07" w14:textId="77777777" w:rsidR="00AA4B93" w:rsidRPr="00AA4B93" w:rsidRDefault="00AA4B93" w:rsidP="00F81EB4">
      <w:pPr>
        <w:pStyle w:val="ListParagraph"/>
        <w:ind w:left="1156"/>
        <w:rPr>
          <w:rFonts w:eastAsia="Times New Roman" w:cstheme="minorHAnsi"/>
          <w:sz w:val="24"/>
          <w:szCs w:val="24"/>
          <w:lang w:eastAsia="de-DE"/>
        </w:rPr>
      </w:pPr>
    </w:p>
    <w:p w14:paraId="5BB13FCD" w14:textId="77777777" w:rsidR="00FD5182" w:rsidRPr="00D14EEB" w:rsidRDefault="00D14EEB" w:rsidP="009D766D">
      <w:pPr>
        <w:pStyle w:val="ListParagraph"/>
        <w:numPr>
          <w:ilvl w:val="0"/>
          <w:numId w:val="13"/>
        </w:numPr>
        <w:spacing w:after="0" w:line="320" w:lineRule="atLeast"/>
        <w:ind w:left="720"/>
        <w:rPr>
          <w:rFonts w:eastAsia="Times New Roman" w:cstheme="minorHAnsi"/>
          <w:sz w:val="24"/>
          <w:szCs w:val="24"/>
        </w:rPr>
      </w:pPr>
      <w:r>
        <w:rPr>
          <w:sz w:val="24"/>
        </w:rPr>
        <w:t xml:space="preserve">Määritettäessä vaikutusta mielipiteiden ja tarjouksien monimuotoisuuteen on asetettava etusijalle poliittisten ja ajankohtaisten tapahtumien uutisten aikaosuus, alueellisen ja paikallisen tiedon osuus sekä nuorille kohderyhmille suunnattu tarjonta. </w:t>
      </w:r>
      <w:r>
        <w:rPr>
          <w:sz w:val="24"/>
        </w:rPr>
        <w:br/>
      </w:r>
    </w:p>
    <w:p w14:paraId="39E98786" w14:textId="77777777" w:rsidR="00AA4B93" w:rsidRDefault="00AA4B93" w:rsidP="00F81EB4">
      <w:pPr>
        <w:pStyle w:val="ListParagraph"/>
        <w:numPr>
          <w:ilvl w:val="0"/>
          <w:numId w:val="13"/>
        </w:numPr>
        <w:spacing w:after="0" w:line="320" w:lineRule="atLeast"/>
        <w:ind w:left="720"/>
        <w:rPr>
          <w:rFonts w:eastAsia="Times New Roman" w:cstheme="minorHAnsi"/>
          <w:sz w:val="24"/>
          <w:szCs w:val="24"/>
        </w:rPr>
      </w:pPr>
      <w:r>
        <w:rPr>
          <w:sz w:val="24"/>
        </w:rPr>
        <w:t>Valtion mediasopimuksen 84 §:n 3 momentin 1 kohdassa määritellyn lähetystarjonnan osalta on otettava huomioon lähetysten sääntöjenmukaisuus, ohjelmien kesto ja ajankohta sekä ohjelmien kesto ja ajankohta 7 §:n 1, 2, 4 ja 7 momenttien mukaisissa perusteissa.</w:t>
      </w:r>
    </w:p>
    <w:p w14:paraId="4F00E74F" w14:textId="77777777" w:rsidR="00AA4B93" w:rsidRDefault="00AA4B93" w:rsidP="00F81EB4">
      <w:pPr>
        <w:pStyle w:val="ListParagraph"/>
        <w:spacing w:after="0" w:line="320" w:lineRule="atLeast"/>
        <w:rPr>
          <w:rFonts w:eastAsia="Times New Roman" w:cstheme="minorHAnsi"/>
          <w:sz w:val="24"/>
          <w:szCs w:val="24"/>
          <w:lang w:eastAsia="de-DE"/>
        </w:rPr>
      </w:pPr>
    </w:p>
    <w:p w14:paraId="70B6B469" w14:textId="77777777" w:rsidR="00AA4B93" w:rsidRDefault="00AA4B93" w:rsidP="00F81EB4">
      <w:pPr>
        <w:pStyle w:val="ListParagraph"/>
        <w:numPr>
          <w:ilvl w:val="0"/>
          <w:numId w:val="13"/>
        </w:numPr>
        <w:spacing w:after="0" w:line="320" w:lineRule="atLeast"/>
        <w:ind w:left="720"/>
        <w:rPr>
          <w:rFonts w:eastAsia="Times New Roman" w:cstheme="minorHAnsi"/>
          <w:sz w:val="24"/>
          <w:szCs w:val="24"/>
        </w:rPr>
      </w:pPr>
      <w:r>
        <w:rPr>
          <w:sz w:val="24"/>
        </w:rPr>
        <w:t>Valtion mediasopimuksen 84 §:n 4 momentissa määriteltyjen televisiomainontaa sisältävän tarjonnan osalta on otettava huomioon 7 §:n 1, 2, 4 ja 7 momenttien mukaisten perusteiden osalta säännölliset päivitykset, aika tai muu soveltamisala sekä televisiomainontaa sisältävän tarjonnan sijoittaminen ja saavutettavuus.</w:t>
      </w:r>
    </w:p>
    <w:p w14:paraId="2C3423DF" w14:textId="77777777" w:rsidR="00AA4B93" w:rsidRDefault="00AA4B93" w:rsidP="00F81EB4">
      <w:pPr>
        <w:pStyle w:val="ListParagraph"/>
        <w:spacing w:after="0" w:line="320" w:lineRule="atLeast"/>
        <w:rPr>
          <w:rFonts w:eastAsia="Times New Roman" w:cstheme="minorHAnsi"/>
          <w:sz w:val="24"/>
          <w:szCs w:val="24"/>
          <w:lang w:eastAsia="de-DE"/>
        </w:rPr>
      </w:pPr>
    </w:p>
    <w:p w14:paraId="6750E213" w14:textId="77777777" w:rsidR="007A7DA2" w:rsidRDefault="00D95527" w:rsidP="009D766D">
      <w:pPr>
        <w:pStyle w:val="ListParagraph"/>
        <w:numPr>
          <w:ilvl w:val="0"/>
          <w:numId w:val="13"/>
        </w:numPr>
        <w:spacing w:after="0" w:line="320" w:lineRule="atLeast"/>
        <w:ind w:left="720"/>
        <w:rPr>
          <w:rFonts w:eastAsia="Times New Roman" w:cstheme="minorHAnsi"/>
          <w:sz w:val="24"/>
          <w:szCs w:val="24"/>
        </w:rPr>
      </w:pPr>
      <w:r>
        <w:rPr>
          <w:sz w:val="24"/>
        </w:rPr>
        <w:t>Määritettäessä 7 §:n 5 momentissa määritellyn koulutetun henkilöstön suuremman osuuden määrittämistä, mikä vaikuttaa myönteisesti mielipiteiden ja tarjousten moninaisuuteen, olisi otettava huomioon ainoastaan koulutetun henkilöstön suhde harjoittelijaan vähintään kolmesta yhteen.</w:t>
      </w:r>
    </w:p>
    <w:p w14:paraId="24FDD85B" w14:textId="77777777" w:rsidR="00370B9E" w:rsidRDefault="00370B9E">
      <w:pPr>
        <w:rPr>
          <w:rFonts w:eastAsia="Times New Roman" w:cstheme="minorHAnsi"/>
          <w:sz w:val="24"/>
          <w:szCs w:val="24"/>
          <w:lang w:eastAsia="de-DE"/>
        </w:rPr>
      </w:pPr>
    </w:p>
    <w:p w14:paraId="7EE53ABD" w14:textId="77777777" w:rsidR="00370B9E" w:rsidRPr="000663C3" w:rsidRDefault="00370B9E" w:rsidP="00370B9E">
      <w:pPr>
        <w:spacing w:after="0" w:line="320" w:lineRule="atLeast"/>
        <w:jc w:val="center"/>
        <w:rPr>
          <w:rFonts w:ascii="Verdana" w:eastAsia="Times New Roman" w:hAnsi="Verdana" w:cs="Times New Roman"/>
          <w:b/>
          <w:sz w:val="20"/>
          <w:szCs w:val="20"/>
          <w:lang w:eastAsia="de-DE"/>
        </w:rPr>
      </w:pPr>
    </w:p>
    <w:p w14:paraId="3B0B4E16" w14:textId="77777777" w:rsidR="00370B9E" w:rsidRPr="002C7BC4" w:rsidRDefault="00370B9E" w:rsidP="00370B9E">
      <w:pPr>
        <w:spacing w:after="0" w:line="320" w:lineRule="atLeast"/>
        <w:jc w:val="center"/>
        <w:rPr>
          <w:rFonts w:eastAsia="Times New Roman" w:cstheme="minorHAnsi"/>
          <w:b/>
          <w:sz w:val="28"/>
          <w:szCs w:val="28"/>
        </w:rPr>
      </w:pPr>
      <w:r>
        <w:rPr>
          <w:b/>
          <w:sz w:val="28"/>
        </w:rPr>
        <w:t>9 §</w:t>
      </w:r>
    </w:p>
    <w:p w14:paraId="3BBF6B59" w14:textId="77777777" w:rsidR="00370B9E" w:rsidRPr="002C7BC4" w:rsidRDefault="00373314" w:rsidP="00370B9E">
      <w:pPr>
        <w:spacing w:after="0" w:line="320" w:lineRule="atLeast"/>
        <w:jc w:val="center"/>
        <w:rPr>
          <w:rFonts w:eastAsia="Times New Roman" w:cstheme="minorHAnsi"/>
          <w:b/>
          <w:sz w:val="28"/>
          <w:szCs w:val="28"/>
        </w:rPr>
      </w:pPr>
      <w:r>
        <w:rPr>
          <w:b/>
          <w:sz w:val="28"/>
        </w:rPr>
        <w:t>Täytäntöönpano</w:t>
      </w:r>
    </w:p>
    <w:p w14:paraId="39860881" w14:textId="77777777" w:rsidR="00370B9E" w:rsidRPr="00B26619" w:rsidRDefault="00370B9E" w:rsidP="00370B9E">
      <w:pPr>
        <w:spacing w:after="0" w:line="320" w:lineRule="atLeast"/>
        <w:jc w:val="both"/>
        <w:rPr>
          <w:rFonts w:eastAsia="Times New Roman" w:cstheme="minorHAnsi"/>
          <w:sz w:val="24"/>
          <w:szCs w:val="24"/>
          <w:lang w:eastAsia="de-DE"/>
        </w:rPr>
      </w:pPr>
    </w:p>
    <w:p w14:paraId="6601082A" w14:textId="1D798F15" w:rsidR="00BD0CDA" w:rsidRPr="00373314" w:rsidRDefault="00BD0CDA" w:rsidP="00BD0CDA">
      <w:pPr>
        <w:spacing w:after="0" w:line="320" w:lineRule="atLeast"/>
        <w:jc w:val="both"/>
        <w:rPr>
          <w:rFonts w:ascii="Calibri" w:hAnsi="Calibri" w:cs="Calibri"/>
          <w:sz w:val="24"/>
          <w:szCs w:val="24"/>
        </w:rPr>
      </w:pPr>
      <w:r>
        <w:rPr>
          <w:rFonts w:ascii="Calibri" w:hAnsi="Calibri"/>
          <w:sz w:val="24"/>
        </w:rPr>
        <w:t>(1) Kun määritysmenettely on saatu päätökseen, valtion mediaviranomaiset julkaisevat internetsivustolla luettelon liikkuvasta kuvasta (video) ja luettelon äänitarjonnasta, jonka kattonimellä ”mediaviranomaiset” käyttäjärajapintojen tarjoajat voivat panna täytäntöön.</w:t>
      </w:r>
    </w:p>
    <w:p w14:paraId="50A32227" w14:textId="77777777" w:rsidR="00BD0CDA" w:rsidRPr="00373314" w:rsidRDefault="00BD0CDA" w:rsidP="00BD0CDA">
      <w:pPr>
        <w:spacing w:after="0" w:line="320" w:lineRule="atLeast"/>
        <w:jc w:val="both"/>
        <w:rPr>
          <w:rFonts w:ascii="Calibri" w:hAnsi="Calibri" w:cs="Calibri"/>
          <w:sz w:val="24"/>
          <w:szCs w:val="24"/>
        </w:rPr>
      </w:pPr>
    </w:p>
    <w:p w14:paraId="1D62056A" w14:textId="77777777" w:rsidR="00BF4691" w:rsidRDefault="00BF4691" w:rsidP="00BF4691">
      <w:pPr>
        <w:spacing w:after="0" w:line="320" w:lineRule="atLeast"/>
        <w:jc w:val="both"/>
        <w:rPr>
          <w:rFonts w:ascii="Calibri" w:hAnsi="Calibri" w:cs="Calibri"/>
          <w:sz w:val="24"/>
          <w:szCs w:val="24"/>
        </w:rPr>
      </w:pPr>
      <w:r>
        <w:rPr>
          <w:rFonts w:ascii="Calibri" w:hAnsi="Calibri"/>
          <w:sz w:val="24"/>
        </w:rPr>
        <w:t>(2) Käyttäjän on pystyttävä helposti ja pysyvästi tunnistamaan käyttöliittymissä tarjousten lajittelu ja järjestely, jotka valtion mediaviranomaiset ovat määritelleet.</w:t>
      </w:r>
    </w:p>
    <w:p w14:paraId="547685C7" w14:textId="77777777" w:rsidR="00373314" w:rsidRDefault="00373314" w:rsidP="00BD0CDA">
      <w:pPr>
        <w:spacing w:after="0" w:line="320" w:lineRule="atLeast"/>
        <w:jc w:val="both"/>
        <w:rPr>
          <w:rFonts w:ascii="Calibri" w:hAnsi="Calibri" w:cs="Calibri"/>
          <w:sz w:val="24"/>
          <w:szCs w:val="24"/>
        </w:rPr>
      </w:pPr>
    </w:p>
    <w:p w14:paraId="61F70E10" w14:textId="6962D927" w:rsidR="00BD1E12" w:rsidRPr="00373314" w:rsidRDefault="00BD0CDA" w:rsidP="00BD0CDA">
      <w:pPr>
        <w:spacing w:after="0" w:line="320" w:lineRule="atLeast"/>
        <w:jc w:val="both"/>
        <w:rPr>
          <w:rFonts w:ascii="Calibri" w:hAnsi="Calibri" w:cs="Calibri"/>
          <w:sz w:val="24"/>
          <w:szCs w:val="24"/>
        </w:rPr>
      </w:pPr>
      <w:r>
        <w:rPr>
          <w:rFonts w:ascii="Calibri" w:hAnsi="Calibri"/>
          <w:sz w:val="24"/>
        </w:rPr>
        <w:t xml:space="preserve">(3) Lisenssi- ja valvontakomission (ZAK) nimeämien luetteloiden järjestys vastuullisen valtion mediaviranomaisen hallintoelimeksi perustuu 7 ja 8 §:n nojalla tehtyyn kokonaisnäkemykseen. Jos ja siltä osin kuin käyttöliittymän tarjoaja näyttää sekvenssin tarjousten lajittelussa ja järjestelyssä, perustana on käytettävä 1 kohdan mukaisesti julkaistuja luetteloita. </w:t>
      </w:r>
    </w:p>
    <w:p w14:paraId="5DE375CB" w14:textId="77777777" w:rsidR="00BD1E12" w:rsidRPr="00373314" w:rsidRDefault="00BD1E12" w:rsidP="00BD0CDA">
      <w:pPr>
        <w:spacing w:after="0" w:line="320" w:lineRule="atLeast"/>
        <w:jc w:val="both"/>
        <w:rPr>
          <w:rFonts w:ascii="Calibri" w:hAnsi="Calibri" w:cs="Calibri"/>
          <w:sz w:val="24"/>
          <w:szCs w:val="24"/>
        </w:rPr>
      </w:pPr>
    </w:p>
    <w:p w14:paraId="7A2AE1DB" w14:textId="77777777" w:rsidR="00370B9E" w:rsidRPr="00373314" w:rsidRDefault="00BD0CDA" w:rsidP="00BD0CDA">
      <w:pPr>
        <w:spacing w:after="0" w:line="320" w:lineRule="atLeast"/>
        <w:jc w:val="both"/>
        <w:rPr>
          <w:rFonts w:ascii="Calibri" w:hAnsi="Calibri" w:cs="Calibri"/>
          <w:sz w:val="24"/>
          <w:szCs w:val="24"/>
        </w:rPr>
      </w:pPr>
      <w:r>
        <w:rPr>
          <w:rFonts w:ascii="Calibri" w:hAnsi="Calibri"/>
          <w:sz w:val="24"/>
        </w:rPr>
        <w:t>(4) Vastuussa olevan valtion mediaviranomaisen tehtävänä on tehdä sopimus lakisääteisten maksurahoitteisten ohjelmien ja niihin liittyvien telemediatarjousten tarjoajien kanssa esitysjärjestyksestä.</w:t>
      </w:r>
    </w:p>
    <w:p w14:paraId="5A278B17" w14:textId="77777777" w:rsidR="000D2934" w:rsidRDefault="000D2934">
      <w:pPr>
        <w:rPr>
          <w:rFonts w:eastAsia="Times New Roman" w:cstheme="minorHAnsi"/>
          <w:b/>
          <w:sz w:val="28"/>
          <w:szCs w:val="28"/>
          <w:u w:val="single"/>
          <w:lang w:eastAsia="de-DE"/>
        </w:rPr>
      </w:pPr>
    </w:p>
    <w:p w14:paraId="3A0FC700" w14:textId="77777777" w:rsidR="00E30CC3" w:rsidRDefault="00E30CC3" w:rsidP="00701D71">
      <w:pPr>
        <w:spacing w:after="0" w:line="320" w:lineRule="atLeast"/>
        <w:jc w:val="center"/>
        <w:rPr>
          <w:rFonts w:eastAsia="Times New Roman" w:cstheme="minorHAnsi"/>
          <w:b/>
          <w:sz w:val="28"/>
          <w:szCs w:val="28"/>
          <w:lang w:eastAsia="de-DE"/>
        </w:rPr>
      </w:pPr>
    </w:p>
    <w:p w14:paraId="0A521615" w14:textId="77777777" w:rsidR="00701D71" w:rsidRPr="002C7BC4" w:rsidRDefault="00701D71" w:rsidP="00701D71">
      <w:pPr>
        <w:spacing w:after="0" w:line="320" w:lineRule="atLeast"/>
        <w:jc w:val="center"/>
        <w:rPr>
          <w:rFonts w:eastAsia="Times New Roman" w:cstheme="minorHAnsi"/>
          <w:b/>
          <w:sz w:val="28"/>
          <w:szCs w:val="28"/>
        </w:rPr>
      </w:pPr>
      <w:r>
        <w:rPr>
          <w:b/>
          <w:sz w:val="28"/>
        </w:rPr>
        <w:t>10 §</w:t>
      </w:r>
    </w:p>
    <w:p w14:paraId="0A25D742" w14:textId="77777777" w:rsidR="00701D71" w:rsidRPr="002C7BC4" w:rsidRDefault="00701D71" w:rsidP="00701D71">
      <w:pPr>
        <w:spacing w:after="0" w:line="320" w:lineRule="atLeast"/>
        <w:jc w:val="center"/>
        <w:rPr>
          <w:rFonts w:eastAsia="Times New Roman" w:cstheme="minorHAnsi"/>
          <w:b/>
          <w:sz w:val="28"/>
          <w:szCs w:val="28"/>
        </w:rPr>
      </w:pPr>
      <w:r>
        <w:rPr>
          <w:b/>
          <w:sz w:val="28"/>
        </w:rPr>
        <w:t>Voimaantulo</w:t>
      </w:r>
    </w:p>
    <w:p w14:paraId="68BFB838" w14:textId="77777777" w:rsidR="00701D71" w:rsidRDefault="00701D71" w:rsidP="001F58C3">
      <w:pPr>
        <w:spacing w:after="0" w:line="320" w:lineRule="atLeast"/>
        <w:jc w:val="center"/>
        <w:rPr>
          <w:rFonts w:eastAsia="Times New Roman" w:cstheme="minorHAnsi"/>
          <w:b/>
          <w:sz w:val="24"/>
          <w:szCs w:val="24"/>
          <w:lang w:eastAsia="de-DE"/>
        </w:rPr>
      </w:pPr>
    </w:p>
    <w:p w14:paraId="1E0B33DB" w14:textId="44C5C1FA" w:rsidR="00701D71" w:rsidRPr="00701D71" w:rsidRDefault="00701D71" w:rsidP="00701D71">
      <w:pPr>
        <w:spacing w:after="0" w:line="320" w:lineRule="atLeast"/>
        <w:jc w:val="both"/>
        <w:rPr>
          <w:rFonts w:eastAsia="Times New Roman" w:cstheme="minorHAnsi"/>
          <w:sz w:val="24"/>
          <w:szCs w:val="24"/>
        </w:rPr>
      </w:pPr>
      <w:r>
        <w:rPr>
          <w:sz w:val="24"/>
        </w:rPr>
        <w:t>Tämä säädös tulee voimaan 1 päivänä huhtikuuta 2019. Jos kaikki valtion mediaviranomaiset eivät ole antaneet ja julkistaneet vastaavia sääntöjä 31 päivään elokuuta 2021 mennessä, tästä ohjesäännöstä tulee merkityksetön. Valtion mediaviranomaisten (DLM) johtajien konferenssin puheenjohtaja julkaisee verkkosivustolla ”tiedotusvälineviranomaiset” -nimisen kattonimellä, ovatko kaikki valtion mediaviranomaiset antaneet ja julkistaneet vastaavat säännöt virkkeen 2 kuluessa.</w:t>
      </w:r>
      <w:r w:rsidR="000464CE">
        <w:rPr>
          <w:rStyle w:val="FootnoteReference"/>
          <w:rFonts w:eastAsia="Calibri" w:cstheme="minorHAnsi"/>
        </w:rPr>
        <w:footnoteReference w:id="1"/>
      </w:r>
      <w:r>
        <w:rPr>
          <w:sz w:val="24"/>
        </w:rPr>
        <w:t xml:space="preserve">  </w:t>
      </w:r>
    </w:p>
    <w:sectPr w:rsidR="00701D71" w:rsidRPr="00701D71">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E04820" w14:textId="77777777" w:rsidR="00996D3B" w:rsidRDefault="00996D3B" w:rsidP="001D484A">
      <w:pPr>
        <w:spacing w:after="0" w:line="240" w:lineRule="auto"/>
      </w:pPr>
      <w:r>
        <w:separator/>
      </w:r>
    </w:p>
  </w:endnote>
  <w:endnote w:type="continuationSeparator" w:id="0">
    <w:p w14:paraId="4C618655" w14:textId="77777777" w:rsidR="00996D3B" w:rsidRDefault="00996D3B" w:rsidP="001D4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4623777"/>
      <w:docPartObj>
        <w:docPartGallery w:val="Page Numbers (Bottom of Page)"/>
        <w:docPartUnique/>
      </w:docPartObj>
    </w:sdtPr>
    <w:sdtEndPr/>
    <w:sdtContent>
      <w:p w14:paraId="45379FFA" w14:textId="60C4D08E" w:rsidR="00AA4B93" w:rsidRDefault="00AA4B93">
        <w:pPr>
          <w:pStyle w:val="Footer"/>
          <w:jc w:val="right"/>
        </w:pPr>
        <w:r>
          <w:fldChar w:fldCharType="begin"/>
        </w:r>
        <w:r>
          <w:instrText>PAGE   \* MERGEFORMAT</w:instrText>
        </w:r>
        <w:r>
          <w:fldChar w:fldCharType="separate"/>
        </w:r>
        <w:r w:rsidR="000464CE">
          <w:t>6</w:t>
        </w:r>
        <w:r>
          <w:fldChar w:fldCharType="end"/>
        </w:r>
      </w:p>
    </w:sdtContent>
  </w:sdt>
  <w:p w14:paraId="02010CD8" w14:textId="77777777" w:rsidR="00AA4B93" w:rsidRDefault="00AA4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48C8CA" w14:textId="77777777" w:rsidR="00996D3B" w:rsidRDefault="00996D3B" w:rsidP="001D484A">
      <w:pPr>
        <w:spacing w:after="0" w:line="240" w:lineRule="auto"/>
      </w:pPr>
      <w:r>
        <w:separator/>
      </w:r>
    </w:p>
  </w:footnote>
  <w:footnote w:type="continuationSeparator" w:id="0">
    <w:p w14:paraId="062C6720" w14:textId="77777777" w:rsidR="00996D3B" w:rsidRDefault="00996D3B" w:rsidP="001D484A">
      <w:pPr>
        <w:spacing w:after="0" w:line="240" w:lineRule="auto"/>
      </w:pPr>
      <w:r>
        <w:continuationSeparator/>
      </w:r>
    </w:p>
  </w:footnote>
  <w:footnote w:id="1">
    <w:p w14:paraId="7AC26A74" w14:textId="77777777" w:rsidR="000464CE" w:rsidRDefault="000464CE" w:rsidP="000464CE">
      <w:pPr>
        <w:pStyle w:val="FootnoteText"/>
      </w:pPr>
      <w:r>
        <w:rPr>
          <w:rStyle w:val="FootnoteReference"/>
        </w:rPr>
        <w:footnoteRef/>
      </w:r>
      <w:r>
        <w:t xml:space="preserve"> Ilmoitettu teknisiä määräyksiä ja tietoyhteiskunnan palveluja koskevia määräyksiä koskevien tietojen toimittamisessa noudatettavasta menettelystä 9.9.2015 annetun Euroopan parlamentin ja neuvoston direktiivin (EU) 2015/1535 mukaisesti</w:t>
      </w:r>
      <w:r>
        <w:rPr>
          <w:rFonts w:asciiTheme="minorHAnsi" w:hAnsiTheme="minorHAnsi"/>
        </w:rPr>
        <w:t xml:space="preserve"> (OJ L 241, 17.9.2015, s.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C3D25"/>
    <w:multiLevelType w:val="hybridMultilevel"/>
    <w:tmpl w:val="3C52601E"/>
    <w:lvl w:ilvl="0" w:tplc="0407000F">
      <w:start w:val="1"/>
      <w:numFmt w:val="decimal"/>
      <w:lvlText w:val="%1."/>
      <w:lvlJc w:val="left"/>
      <w:pPr>
        <w:ind w:left="1070" w:hanging="360"/>
      </w:pPr>
      <w:rPr>
        <w:rFonts w:hint="default"/>
      </w:r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1" w15:restartNumberingAfterBreak="0">
    <w:nsid w:val="0FB123FD"/>
    <w:multiLevelType w:val="hybridMultilevel"/>
    <w:tmpl w:val="D996F9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4553237"/>
    <w:multiLevelType w:val="hybridMultilevel"/>
    <w:tmpl w:val="8E420D0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6DF2A8C"/>
    <w:multiLevelType w:val="hybridMultilevel"/>
    <w:tmpl w:val="CB0E8C2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F5A66C3"/>
    <w:multiLevelType w:val="hybridMultilevel"/>
    <w:tmpl w:val="8D068B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B736CF"/>
    <w:multiLevelType w:val="hybridMultilevel"/>
    <w:tmpl w:val="DEA2AB8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61E08F4"/>
    <w:multiLevelType w:val="hybridMultilevel"/>
    <w:tmpl w:val="FE7EBEB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9094E7D"/>
    <w:multiLevelType w:val="hybridMultilevel"/>
    <w:tmpl w:val="B59A5C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C565EF4"/>
    <w:multiLevelType w:val="hybridMultilevel"/>
    <w:tmpl w:val="0BBEF8FE"/>
    <w:lvl w:ilvl="0" w:tplc="04070001">
      <w:start w:val="1"/>
      <w:numFmt w:val="bullet"/>
      <w:lvlText w:val=""/>
      <w:lvlJc w:val="left"/>
      <w:pPr>
        <w:ind w:left="774" w:hanging="360"/>
      </w:pPr>
      <w:rPr>
        <w:rFonts w:ascii="Symbol" w:hAnsi="Symbol" w:hint="default"/>
      </w:rPr>
    </w:lvl>
    <w:lvl w:ilvl="1" w:tplc="04070003" w:tentative="1">
      <w:start w:val="1"/>
      <w:numFmt w:val="bullet"/>
      <w:lvlText w:val="o"/>
      <w:lvlJc w:val="left"/>
      <w:pPr>
        <w:ind w:left="1494" w:hanging="360"/>
      </w:pPr>
      <w:rPr>
        <w:rFonts w:ascii="Courier New" w:hAnsi="Courier New" w:cs="Courier New" w:hint="default"/>
      </w:rPr>
    </w:lvl>
    <w:lvl w:ilvl="2" w:tplc="04070005" w:tentative="1">
      <w:start w:val="1"/>
      <w:numFmt w:val="bullet"/>
      <w:lvlText w:val=""/>
      <w:lvlJc w:val="left"/>
      <w:pPr>
        <w:ind w:left="2214" w:hanging="360"/>
      </w:pPr>
      <w:rPr>
        <w:rFonts w:ascii="Wingdings" w:hAnsi="Wingdings" w:hint="default"/>
      </w:rPr>
    </w:lvl>
    <w:lvl w:ilvl="3" w:tplc="04070001" w:tentative="1">
      <w:start w:val="1"/>
      <w:numFmt w:val="bullet"/>
      <w:lvlText w:val=""/>
      <w:lvlJc w:val="left"/>
      <w:pPr>
        <w:ind w:left="2934" w:hanging="360"/>
      </w:pPr>
      <w:rPr>
        <w:rFonts w:ascii="Symbol" w:hAnsi="Symbol" w:hint="default"/>
      </w:rPr>
    </w:lvl>
    <w:lvl w:ilvl="4" w:tplc="04070003" w:tentative="1">
      <w:start w:val="1"/>
      <w:numFmt w:val="bullet"/>
      <w:lvlText w:val="o"/>
      <w:lvlJc w:val="left"/>
      <w:pPr>
        <w:ind w:left="3654" w:hanging="360"/>
      </w:pPr>
      <w:rPr>
        <w:rFonts w:ascii="Courier New" w:hAnsi="Courier New" w:cs="Courier New" w:hint="default"/>
      </w:rPr>
    </w:lvl>
    <w:lvl w:ilvl="5" w:tplc="04070005" w:tentative="1">
      <w:start w:val="1"/>
      <w:numFmt w:val="bullet"/>
      <w:lvlText w:val=""/>
      <w:lvlJc w:val="left"/>
      <w:pPr>
        <w:ind w:left="4374" w:hanging="360"/>
      </w:pPr>
      <w:rPr>
        <w:rFonts w:ascii="Wingdings" w:hAnsi="Wingdings" w:hint="default"/>
      </w:rPr>
    </w:lvl>
    <w:lvl w:ilvl="6" w:tplc="04070001" w:tentative="1">
      <w:start w:val="1"/>
      <w:numFmt w:val="bullet"/>
      <w:lvlText w:val=""/>
      <w:lvlJc w:val="left"/>
      <w:pPr>
        <w:ind w:left="5094" w:hanging="360"/>
      </w:pPr>
      <w:rPr>
        <w:rFonts w:ascii="Symbol" w:hAnsi="Symbol" w:hint="default"/>
      </w:rPr>
    </w:lvl>
    <w:lvl w:ilvl="7" w:tplc="04070003" w:tentative="1">
      <w:start w:val="1"/>
      <w:numFmt w:val="bullet"/>
      <w:lvlText w:val="o"/>
      <w:lvlJc w:val="left"/>
      <w:pPr>
        <w:ind w:left="5814" w:hanging="360"/>
      </w:pPr>
      <w:rPr>
        <w:rFonts w:ascii="Courier New" w:hAnsi="Courier New" w:cs="Courier New" w:hint="default"/>
      </w:rPr>
    </w:lvl>
    <w:lvl w:ilvl="8" w:tplc="04070005" w:tentative="1">
      <w:start w:val="1"/>
      <w:numFmt w:val="bullet"/>
      <w:lvlText w:val=""/>
      <w:lvlJc w:val="left"/>
      <w:pPr>
        <w:ind w:left="6534" w:hanging="360"/>
      </w:pPr>
      <w:rPr>
        <w:rFonts w:ascii="Wingdings" w:hAnsi="Wingdings" w:hint="default"/>
      </w:rPr>
    </w:lvl>
  </w:abstractNum>
  <w:abstractNum w:abstractNumId="9" w15:restartNumberingAfterBreak="0">
    <w:nsid w:val="3DBF16D1"/>
    <w:multiLevelType w:val="hybridMultilevel"/>
    <w:tmpl w:val="A5E4A5A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FF71CE8"/>
    <w:multiLevelType w:val="hybridMultilevel"/>
    <w:tmpl w:val="3EACC7B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FFA1DA4"/>
    <w:multiLevelType w:val="hybridMultilevel"/>
    <w:tmpl w:val="962203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2213D33"/>
    <w:multiLevelType w:val="hybridMultilevel"/>
    <w:tmpl w:val="3926B7A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C616750"/>
    <w:multiLevelType w:val="hybridMultilevel"/>
    <w:tmpl w:val="6554CCA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DC96265"/>
    <w:multiLevelType w:val="hybridMultilevel"/>
    <w:tmpl w:val="BC6C22B2"/>
    <w:lvl w:ilvl="0" w:tplc="C9CC360C">
      <w:start w:val="1"/>
      <w:numFmt w:val="lowerLetter"/>
      <w:lvlText w:val="(%1)"/>
      <w:lvlJc w:val="left"/>
      <w:pPr>
        <w:ind w:left="1468" w:hanging="7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5" w15:restartNumberingAfterBreak="0">
    <w:nsid w:val="596C5C48"/>
    <w:multiLevelType w:val="hybridMultilevel"/>
    <w:tmpl w:val="05F035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2CE5198"/>
    <w:multiLevelType w:val="hybridMultilevel"/>
    <w:tmpl w:val="4CE0C6B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7A26EFD"/>
    <w:multiLevelType w:val="hybridMultilevel"/>
    <w:tmpl w:val="A2EA834C"/>
    <w:lvl w:ilvl="0" w:tplc="3E84DD34">
      <w:start w:val="1"/>
      <w:numFmt w:val="bullet"/>
      <w:lvlText w:val=""/>
      <w:lvlJc w:val="left"/>
      <w:pPr>
        <w:ind w:left="1080" w:hanging="360"/>
      </w:pPr>
      <w:rPr>
        <w:rFonts w:ascii="Wingdings" w:eastAsia="Calibri" w:hAnsi="Wingdings" w:cs="Calibri"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num w:numId="1">
    <w:abstractNumId w:val="7"/>
  </w:num>
  <w:num w:numId="2">
    <w:abstractNumId w:val="8"/>
  </w:num>
  <w:num w:numId="3">
    <w:abstractNumId w:val="11"/>
  </w:num>
  <w:num w:numId="4">
    <w:abstractNumId w:val="13"/>
  </w:num>
  <w:num w:numId="5">
    <w:abstractNumId w:val="5"/>
  </w:num>
  <w:num w:numId="6">
    <w:abstractNumId w:val="1"/>
  </w:num>
  <w:num w:numId="7">
    <w:abstractNumId w:val="12"/>
  </w:num>
  <w:num w:numId="8">
    <w:abstractNumId w:val="10"/>
  </w:num>
  <w:num w:numId="9">
    <w:abstractNumId w:val="3"/>
  </w:num>
  <w:num w:numId="10">
    <w:abstractNumId w:val="6"/>
  </w:num>
  <w:num w:numId="11">
    <w:abstractNumId w:val="4"/>
  </w:num>
  <w:num w:numId="12">
    <w:abstractNumId w:val="14"/>
  </w:num>
  <w:num w:numId="13">
    <w:abstractNumId w:val="0"/>
  </w:num>
  <w:num w:numId="14">
    <w:abstractNumId w:val="17"/>
  </w:num>
  <w:num w:numId="15">
    <w:abstractNumId w:val="2"/>
  </w:num>
  <w:num w:numId="16">
    <w:abstractNumId w:val="16"/>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7BC"/>
    <w:rsid w:val="000032DD"/>
    <w:rsid w:val="000064CB"/>
    <w:rsid w:val="000115F0"/>
    <w:rsid w:val="0001194D"/>
    <w:rsid w:val="00013261"/>
    <w:rsid w:val="0003101E"/>
    <w:rsid w:val="00037C5A"/>
    <w:rsid w:val="000464CE"/>
    <w:rsid w:val="00054978"/>
    <w:rsid w:val="000663C3"/>
    <w:rsid w:val="00067D79"/>
    <w:rsid w:val="00072548"/>
    <w:rsid w:val="000868B3"/>
    <w:rsid w:val="000A061C"/>
    <w:rsid w:val="000B207B"/>
    <w:rsid w:val="000C42A7"/>
    <w:rsid w:val="000C685E"/>
    <w:rsid w:val="000C720D"/>
    <w:rsid w:val="000D2934"/>
    <w:rsid w:val="000F173F"/>
    <w:rsid w:val="001041FB"/>
    <w:rsid w:val="00124452"/>
    <w:rsid w:val="00127AEC"/>
    <w:rsid w:val="00136A0D"/>
    <w:rsid w:val="001532C1"/>
    <w:rsid w:val="00153F2F"/>
    <w:rsid w:val="00164A49"/>
    <w:rsid w:val="00182BFA"/>
    <w:rsid w:val="00183169"/>
    <w:rsid w:val="0018318F"/>
    <w:rsid w:val="001835AF"/>
    <w:rsid w:val="001B036F"/>
    <w:rsid w:val="001D484A"/>
    <w:rsid w:val="001E5FFE"/>
    <w:rsid w:val="001F0CCE"/>
    <w:rsid w:val="001F58C3"/>
    <w:rsid w:val="001F6A76"/>
    <w:rsid w:val="002007EC"/>
    <w:rsid w:val="0021674B"/>
    <w:rsid w:val="0021723B"/>
    <w:rsid w:val="00220AC9"/>
    <w:rsid w:val="00225CB9"/>
    <w:rsid w:val="00230C4B"/>
    <w:rsid w:val="00250EC5"/>
    <w:rsid w:val="00270262"/>
    <w:rsid w:val="002709EF"/>
    <w:rsid w:val="00274CAF"/>
    <w:rsid w:val="0027771D"/>
    <w:rsid w:val="00282708"/>
    <w:rsid w:val="002A3743"/>
    <w:rsid w:val="002C7BC4"/>
    <w:rsid w:val="002D0476"/>
    <w:rsid w:val="002E2854"/>
    <w:rsid w:val="002E57B1"/>
    <w:rsid w:val="002F73C6"/>
    <w:rsid w:val="00301916"/>
    <w:rsid w:val="00370B9E"/>
    <w:rsid w:val="00373314"/>
    <w:rsid w:val="00381450"/>
    <w:rsid w:val="00393404"/>
    <w:rsid w:val="003B4C24"/>
    <w:rsid w:val="003F31B3"/>
    <w:rsid w:val="00416F29"/>
    <w:rsid w:val="00424F1A"/>
    <w:rsid w:val="004425A8"/>
    <w:rsid w:val="004545BF"/>
    <w:rsid w:val="00465886"/>
    <w:rsid w:val="00472791"/>
    <w:rsid w:val="00477B8F"/>
    <w:rsid w:val="00482340"/>
    <w:rsid w:val="004919E2"/>
    <w:rsid w:val="004B4D8D"/>
    <w:rsid w:val="004C219B"/>
    <w:rsid w:val="004F1DC1"/>
    <w:rsid w:val="004F6A31"/>
    <w:rsid w:val="0050150A"/>
    <w:rsid w:val="005020AE"/>
    <w:rsid w:val="005219F8"/>
    <w:rsid w:val="00537F08"/>
    <w:rsid w:val="00537FB2"/>
    <w:rsid w:val="0054222E"/>
    <w:rsid w:val="00546FB9"/>
    <w:rsid w:val="00560C7C"/>
    <w:rsid w:val="005666A9"/>
    <w:rsid w:val="005700F4"/>
    <w:rsid w:val="00591CAB"/>
    <w:rsid w:val="005B768A"/>
    <w:rsid w:val="005C07B7"/>
    <w:rsid w:val="005C1407"/>
    <w:rsid w:val="005C179E"/>
    <w:rsid w:val="005D131C"/>
    <w:rsid w:val="005D3623"/>
    <w:rsid w:val="005E34EB"/>
    <w:rsid w:val="005E6E51"/>
    <w:rsid w:val="00612BF0"/>
    <w:rsid w:val="00612D2D"/>
    <w:rsid w:val="00625CBC"/>
    <w:rsid w:val="0064609D"/>
    <w:rsid w:val="00665EC3"/>
    <w:rsid w:val="006672EC"/>
    <w:rsid w:val="00681344"/>
    <w:rsid w:val="00681C35"/>
    <w:rsid w:val="006830D1"/>
    <w:rsid w:val="006B13C8"/>
    <w:rsid w:val="006C19EC"/>
    <w:rsid w:val="006D0727"/>
    <w:rsid w:val="006E5784"/>
    <w:rsid w:val="00701D71"/>
    <w:rsid w:val="0071358E"/>
    <w:rsid w:val="007146F9"/>
    <w:rsid w:val="0073115B"/>
    <w:rsid w:val="00737BD3"/>
    <w:rsid w:val="00744038"/>
    <w:rsid w:val="0076089E"/>
    <w:rsid w:val="00767050"/>
    <w:rsid w:val="00771C16"/>
    <w:rsid w:val="0077452B"/>
    <w:rsid w:val="0079430A"/>
    <w:rsid w:val="007A56A0"/>
    <w:rsid w:val="007A7AB9"/>
    <w:rsid w:val="007A7DA2"/>
    <w:rsid w:val="007C2419"/>
    <w:rsid w:val="007D2632"/>
    <w:rsid w:val="007F62B2"/>
    <w:rsid w:val="008122B0"/>
    <w:rsid w:val="00817EC0"/>
    <w:rsid w:val="00821AF0"/>
    <w:rsid w:val="00822470"/>
    <w:rsid w:val="008378E3"/>
    <w:rsid w:val="008A13E9"/>
    <w:rsid w:val="008B277B"/>
    <w:rsid w:val="008D1567"/>
    <w:rsid w:val="008D2E3F"/>
    <w:rsid w:val="008D2F24"/>
    <w:rsid w:val="008D31C2"/>
    <w:rsid w:val="008F276F"/>
    <w:rsid w:val="008F602E"/>
    <w:rsid w:val="008F7751"/>
    <w:rsid w:val="0090457B"/>
    <w:rsid w:val="009104B6"/>
    <w:rsid w:val="00915F82"/>
    <w:rsid w:val="009266F2"/>
    <w:rsid w:val="00931F42"/>
    <w:rsid w:val="0093532C"/>
    <w:rsid w:val="00950F48"/>
    <w:rsid w:val="0095583E"/>
    <w:rsid w:val="00956BF6"/>
    <w:rsid w:val="00981C56"/>
    <w:rsid w:val="00996D3B"/>
    <w:rsid w:val="009B6748"/>
    <w:rsid w:val="009D1DDC"/>
    <w:rsid w:val="009D5BA8"/>
    <w:rsid w:val="009D766D"/>
    <w:rsid w:val="009E37B9"/>
    <w:rsid w:val="009E565D"/>
    <w:rsid w:val="009F0A52"/>
    <w:rsid w:val="00A10DF9"/>
    <w:rsid w:val="00A2144C"/>
    <w:rsid w:val="00A219ED"/>
    <w:rsid w:val="00A27CC0"/>
    <w:rsid w:val="00A31150"/>
    <w:rsid w:val="00A42418"/>
    <w:rsid w:val="00A656FA"/>
    <w:rsid w:val="00A77BBA"/>
    <w:rsid w:val="00AA4B93"/>
    <w:rsid w:val="00AC0FD6"/>
    <w:rsid w:val="00AC0FF3"/>
    <w:rsid w:val="00AD53E0"/>
    <w:rsid w:val="00AF2822"/>
    <w:rsid w:val="00AF60B4"/>
    <w:rsid w:val="00B03274"/>
    <w:rsid w:val="00B11381"/>
    <w:rsid w:val="00B124D7"/>
    <w:rsid w:val="00B17513"/>
    <w:rsid w:val="00B24DEA"/>
    <w:rsid w:val="00B26619"/>
    <w:rsid w:val="00B669BA"/>
    <w:rsid w:val="00B736A7"/>
    <w:rsid w:val="00B82613"/>
    <w:rsid w:val="00B8563F"/>
    <w:rsid w:val="00BC306E"/>
    <w:rsid w:val="00BC3887"/>
    <w:rsid w:val="00BC72F5"/>
    <w:rsid w:val="00BD0CDA"/>
    <w:rsid w:val="00BD1E12"/>
    <w:rsid w:val="00BD6728"/>
    <w:rsid w:val="00BE2B40"/>
    <w:rsid w:val="00BF023F"/>
    <w:rsid w:val="00BF4691"/>
    <w:rsid w:val="00C03C27"/>
    <w:rsid w:val="00C040C9"/>
    <w:rsid w:val="00C13CF9"/>
    <w:rsid w:val="00C21B77"/>
    <w:rsid w:val="00C46A39"/>
    <w:rsid w:val="00C62E73"/>
    <w:rsid w:val="00C70EC0"/>
    <w:rsid w:val="00C87777"/>
    <w:rsid w:val="00CE3778"/>
    <w:rsid w:val="00CF6DBA"/>
    <w:rsid w:val="00D121FC"/>
    <w:rsid w:val="00D14EEB"/>
    <w:rsid w:val="00D175BD"/>
    <w:rsid w:val="00D363CB"/>
    <w:rsid w:val="00D51335"/>
    <w:rsid w:val="00D55BCA"/>
    <w:rsid w:val="00D769EE"/>
    <w:rsid w:val="00D864D5"/>
    <w:rsid w:val="00D909FE"/>
    <w:rsid w:val="00D95527"/>
    <w:rsid w:val="00DA0853"/>
    <w:rsid w:val="00DC5338"/>
    <w:rsid w:val="00DD56B1"/>
    <w:rsid w:val="00DE6554"/>
    <w:rsid w:val="00E051D4"/>
    <w:rsid w:val="00E10192"/>
    <w:rsid w:val="00E20C43"/>
    <w:rsid w:val="00E24440"/>
    <w:rsid w:val="00E30CC3"/>
    <w:rsid w:val="00E407BC"/>
    <w:rsid w:val="00E45AD5"/>
    <w:rsid w:val="00E54B09"/>
    <w:rsid w:val="00E80DAE"/>
    <w:rsid w:val="00E90A3C"/>
    <w:rsid w:val="00EA0BEA"/>
    <w:rsid w:val="00EA314A"/>
    <w:rsid w:val="00EE1CE0"/>
    <w:rsid w:val="00EE4979"/>
    <w:rsid w:val="00EE6BF4"/>
    <w:rsid w:val="00F21E4B"/>
    <w:rsid w:val="00F36BA7"/>
    <w:rsid w:val="00F54EBD"/>
    <w:rsid w:val="00F65566"/>
    <w:rsid w:val="00F7057B"/>
    <w:rsid w:val="00F81EB4"/>
    <w:rsid w:val="00F91BBA"/>
    <w:rsid w:val="00F94327"/>
    <w:rsid w:val="00FB3EAC"/>
    <w:rsid w:val="00FC0C8B"/>
    <w:rsid w:val="00FC378D"/>
    <w:rsid w:val="00FD51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F4F25"/>
  <w15:chartTrackingRefBased/>
  <w15:docId w15:val="{2074EB3F-4E46-451F-932C-D60A7720F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07BC"/>
    <w:pPr>
      <w:ind w:left="720"/>
      <w:contextualSpacing/>
    </w:pPr>
  </w:style>
  <w:style w:type="character" w:styleId="CommentReference">
    <w:name w:val="annotation reference"/>
    <w:basedOn w:val="DefaultParagraphFont"/>
    <w:uiPriority w:val="99"/>
    <w:semiHidden/>
    <w:unhideWhenUsed/>
    <w:rsid w:val="00537FB2"/>
    <w:rPr>
      <w:sz w:val="16"/>
      <w:szCs w:val="16"/>
    </w:rPr>
  </w:style>
  <w:style w:type="paragraph" w:styleId="CommentText">
    <w:name w:val="annotation text"/>
    <w:basedOn w:val="Normal"/>
    <w:link w:val="CommentTextChar"/>
    <w:uiPriority w:val="99"/>
    <w:unhideWhenUsed/>
    <w:rsid w:val="00537FB2"/>
    <w:pPr>
      <w:spacing w:after="0" w:line="240" w:lineRule="auto"/>
    </w:pPr>
    <w:rPr>
      <w:rFonts w:ascii="Verdana" w:eastAsia="Times New Roman" w:hAnsi="Verdana" w:cs="Times New Roman"/>
      <w:sz w:val="20"/>
      <w:szCs w:val="20"/>
      <w:lang w:eastAsia="de-DE"/>
    </w:rPr>
  </w:style>
  <w:style w:type="character" w:customStyle="1" w:styleId="CommentTextChar">
    <w:name w:val="Comment Text Char"/>
    <w:basedOn w:val="DefaultParagraphFont"/>
    <w:link w:val="CommentText"/>
    <w:uiPriority w:val="99"/>
    <w:rsid w:val="00537FB2"/>
    <w:rPr>
      <w:rFonts w:ascii="Verdana" w:eastAsia="Times New Roman" w:hAnsi="Verdana" w:cs="Times New Roman"/>
      <w:sz w:val="20"/>
      <w:szCs w:val="20"/>
      <w:lang w:eastAsia="de-DE"/>
    </w:rPr>
  </w:style>
  <w:style w:type="paragraph" w:styleId="BalloonText">
    <w:name w:val="Balloon Text"/>
    <w:basedOn w:val="Normal"/>
    <w:link w:val="BalloonTextChar"/>
    <w:uiPriority w:val="99"/>
    <w:semiHidden/>
    <w:unhideWhenUsed/>
    <w:rsid w:val="00537F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FB2"/>
    <w:rPr>
      <w:rFonts w:ascii="Segoe UI" w:hAnsi="Segoe UI" w:cs="Segoe UI"/>
      <w:sz w:val="18"/>
      <w:szCs w:val="18"/>
    </w:rPr>
  </w:style>
  <w:style w:type="paragraph" w:styleId="Header">
    <w:name w:val="header"/>
    <w:basedOn w:val="Normal"/>
    <w:link w:val="HeaderChar"/>
    <w:uiPriority w:val="99"/>
    <w:unhideWhenUsed/>
    <w:rsid w:val="001D484A"/>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484A"/>
  </w:style>
  <w:style w:type="paragraph" w:styleId="Footer">
    <w:name w:val="footer"/>
    <w:basedOn w:val="Normal"/>
    <w:link w:val="FooterChar"/>
    <w:uiPriority w:val="99"/>
    <w:unhideWhenUsed/>
    <w:rsid w:val="001D484A"/>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484A"/>
  </w:style>
  <w:style w:type="paragraph" w:styleId="CommentSubject">
    <w:name w:val="annotation subject"/>
    <w:basedOn w:val="CommentText"/>
    <w:next w:val="CommentText"/>
    <w:link w:val="CommentSubjectChar"/>
    <w:uiPriority w:val="99"/>
    <w:semiHidden/>
    <w:unhideWhenUsed/>
    <w:rsid w:val="00D909FE"/>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D909FE"/>
    <w:rPr>
      <w:rFonts w:ascii="Verdana" w:eastAsia="Times New Roman" w:hAnsi="Verdana" w:cs="Times New Roman"/>
      <w:b/>
      <w:bCs/>
      <w:sz w:val="20"/>
      <w:szCs w:val="20"/>
      <w:lang w:eastAsia="de-DE"/>
    </w:rPr>
  </w:style>
  <w:style w:type="paragraph" w:styleId="Revision">
    <w:name w:val="Revision"/>
    <w:hidden/>
    <w:uiPriority w:val="99"/>
    <w:semiHidden/>
    <w:rsid w:val="00D363CB"/>
    <w:pPr>
      <w:spacing w:after="0" w:line="240" w:lineRule="auto"/>
    </w:pPr>
  </w:style>
  <w:style w:type="character" w:customStyle="1" w:styleId="highlight">
    <w:name w:val="highlight"/>
    <w:basedOn w:val="DefaultParagraphFont"/>
    <w:rsid w:val="00FC378D"/>
  </w:style>
  <w:style w:type="paragraph" w:customStyle="1" w:styleId="Default">
    <w:name w:val="Default"/>
    <w:rsid w:val="00FC378D"/>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rsid w:val="000464CE"/>
    <w:pPr>
      <w:spacing w:after="0" w:line="240" w:lineRule="auto"/>
    </w:pPr>
    <w:rPr>
      <w:rFonts w:ascii="Times New Roman" w:eastAsia="Times New Roman" w:hAnsi="Times New Roman" w:cs="Times New Roman"/>
      <w:sz w:val="20"/>
      <w:szCs w:val="20"/>
      <w:lang w:eastAsia="de-DE"/>
    </w:rPr>
  </w:style>
  <w:style w:type="character" w:customStyle="1" w:styleId="FootnoteTextChar">
    <w:name w:val="Footnote Text Char"/>
    <w:basedOn w:val="DefaultParagraphFont"/>
    <w:link w:val="FootnoteText"/>
    <w:rsid w:val="000464CE"/>
    <w:rPr>
      <w:rFonts w:ascii="Times New Roman" w:eastAsia="Times New Roman" w:hAnsi="Times New Roman" w:cs="Times New Roman"/>
      <w:sz w:val="20"/>
      <w:szCs w:val="20"/>
      <w:lang w:eastAsia="de-DE"/>
    </w:rPr>
  </w:style>
  <w:style w:type="character" w:styleId="FootnoteReference">
    <w:name w:val="footnote reference"/>
    <w:basedOn w:val="DefaultParagraphFont"/>
    <w:rsid w:val="000464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872470">
      <w:bodyDiv w:val="1"/>
      <w:marLeft w:val="0"/>
      <w:marRight w:val="0"/>
      <w:marTop w:val="0"/>
      <w:marBottom w:val="0"/>
      <w:divBdr>
        <w:top w:val="none" w:sz="0" w:space="0" w:color="auto"/>
        <w:left w:val="none" w:sz="0" w:space="0" w:color="auto"/>
        <w:bottom w:val="none" w:sz="0" w:space="0" w:color="auto"/>
        <w:right w:val="none" w:sz="0" w:space="0" w:color="auto"/>
      </w:divBdr>
    </w:div>
    <w:div w:id="116265336">
      <w:bodyDiv w:val="1"/>
      <w:marLeft w:val="0"/>
      <w:marRight w:val="0"/>
      <w:marTop w:val="0"/>
      <w:marBottom w:val="0"/>
      <w:divBdr>
        <w:top w:val="none" w:sz="0" w:space="0" w:color="auto"/>
        <w:left w:val="none" w:sz="0" w:space="0" w:color="auto"/>
        <w:bottom w:val="none" w:sz="0" w:space="0" w:color="auto"/>
        <w:right w:val="none" w:sz="0" w:space="0" w:color="auto"/>
      </w:divBdr>
    </w:div>
    <w:div w:id="266355256">
      <w:bodyDiv w:val="1"/>
      <w:marLeft w:val="0"/>
      <w:marRight w:val="0"/>
      <w:marTop w:val="0"/>
      <w:marBottom w:val="0"/>
      <w:divBdr>
        <w:top w:val="none" w:sz="0" w:space="0" w:color="auto"/>
        <w:left w:val="none" w:sz="0" w:space="0" w:color="auto"/>
        <w:bottom w:val="none" w:sz="0" w:space="0" w:color="auto"/>
        <w:right w:val="none" w:sz="0" w:space="0" w:color="auto"/>
      </w:divBdr>
    </w:div>
    <w:div w:id="1725252825">
      <w:bodyDiv w:val="1"/>
      <w:marLeft w:val="0"/>
      <w:marRight w:val="0"/>
      <w:marTop w:val="0"/>
      <w:marBottom w:val="0"/>
      <w:divBdr>
        <w:top w:val="none" w:sz="0" w:space="0" w:color="auto"/>
        <w:left w:val="none" w:sz="0" w:space="0" w:color="auto"/>
        <w:bottom w:val="none" w:sz="0" w:space="0" w:color="auto"/>
        <w:right w:val="none" w:sz="0" w:space="0" w:color="auto"/>
      </w:divBdr>
    </w:div>
    <w:div w:id="207365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02766-8010-482E-9ECD-1A43510CC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1619</Words>
  <Characters>9231</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10829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Foersterling,Matthias Dr.</dc:creator>
  <cp:keywords/>
  <dc:description/>
  <cp:lastModifiedBy>Dimitris Dimitriadis</cp:lastModifiedBy>
  <cp:revision>6</cp:revision>
  <cp:lastPrinted>2021-01-25T10:29:00Z</cp:lastPrinted>
  <dcterms:created xsi:type="dcterms:W3CDTF">2021-04-01T05:34:00Z</dcterms:created>
  <dcterms:modified xsi:type="dcterms:W3CDTF">2021-04-13T16:00:00Z</dcterms:modified>
</cp:coreProperties>
</file>