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2F48F" w14:textId="77777777" w:rsidR="006C19EC" w:rsidRDefault="00FC378D" w:rsidP="002A3743">
      <w:pPr>
        <w:spacing w:after="0" w:line="320" w:lineRule="atLeast"/>
        <w:jc w:val="center"/>
        <w:rPr>
          <w:b/>
          <w:sz w:val="28"/>
        </w:rPr>
      </w:pPr>
      <w:r>
        <w:rPr>
          <w:b/>
          <w:sz w:val="28"/>
        </w:rPr>
        <w:t>Statut għall-implimentazzjoni tar-regolamenti skont § 84(8) tat-Trattat dwar il-Midja tal-Istat (MStV) biex tiġi ffaċilitata s-sejba ta’ offerti privati</w:t>
      </w:r>
    </w:p>
    <w:p w14:paraId="562CFE12" w14:textId="77777777" w:rsidR="00FC378D" w:rsidRPr="00FC378D" w:rsidRDefault="00FC378D" w:rsidP="002A3743">
      <w:pPr>
        <w:spacing w:after="0" w:line="320" w:lineRule="atLeast"/>
        <w:jc w:val="center"/>
        <w:rPr>
          <w:b/>
          <w:sz w:val="28"/>
        </w:rPr>
      </w:pPr>
      <w:r>
        <w:rPr>
          <w:b/>
          <w:sz w:val="28"/>
        </w:rPr>
        <w:t>(Statut tal-Valur Pubbliku)</w:t>
      </w:r>
    </w:p>
    <w:p w14:paraId="171BD681" w14:textId="77777777" w:rsidR="00FC378D" w:rsidRDefault="00FC378D" w:rsidP="00164A49">
      <w:pPr>
        <w:spacing w:after="0" w:line="320" w:lineRule="atLeast"/>
        <w:rPr>
          <w:rFonts w:eastAsia="Times New Roman" w:cstheme="minorHAnsi"/>
          <w:b/>
          <w:sz w:val="28"/>
          <w:szCs w:val="28"/>
          <w:lang w:eastAsia="de-DE"/>
        </w:rPr>
      </w:pPr>
    </w:p>
    <w:p w14:paraId="2200BDCD" w14:textId="77777777" w:rsidR="00CE3778" w:rsidRDefault="00CE3778" w:rsidP="00164A49">
      <w:pPr>
        <w:spacing w:after="0" w:line="320" w:lineRule="atLeast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Preambolu</w:t>
      </w:r>
    </w:p>
    <w:p w14:paraId="117E1806" w14:textId="77777777" w:rsidR="00CE3778" w:rsidRDefault="00CE3778" w:rsidP="00164A49">
      <w:pPr>
        <w:spacing w:after="0" w:line="320" w:lineRule="atLeast"/>
      </w:pPr>
    </w:p>
    <w:p w14:paraId="2D6C5AA6" w14:textId="77777777" w:rsidR="00164A49" w:rsidRDefault="00164A49" w:rsidP="00164A49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Ir-rintraċċabbiltà qed issir dejjem aktar importanti għall-offerti tal-kontenut – speċjalment online. Il-kwantità u l-varjetà dejjem jiżdiedu ta’ offerti qed jagħmluha dejjem aktar diffiċli għall-offerti ġurnalistiċi li jiswew ħafna, pereżempju, biex tiġi ġġenerata l-attenzjoni meħtieġa għall-finanzjament mill-ġdid.</w:t>
      </w:r>
    </w:p>
    <w:p w14:paraId="30DE5C2F" w14:textId="77777777" w:rsidR="009D766D" w:rsidRPr="00164A49" w:rsidRDefault="009D766D" w:rsidP="00164A49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D8354A8" w14:textId="77777777" w:rsidR="00CE3778" w:rsidRPr="00164A49" w:rsidRDefault="00CE3778" w:rsidP="00164A49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Il-mekkaniżmu li jiffaċilita r-rintraċċabbiltà ta’ ċerti offerti fuq l-interfaċċi għall-utenti li huma partikolarment rilevanti għall-formazzjoni tal-opinjoni pubblika, kif previst fit-Trattat dwar il-Midja tal-Istat, isegwi żewġ għanijiet regolatorji ewlenin. Hemm benefiċċju individwali dirett għall-benefiċjarju, li jaffettwa wkoll il-formazzjoni tal-opinjoni pubblika b’mod ġenerali. Ir-rintraċċabbiltà faċli hija maħsuba biex tħeġġeġ lill-atturi eżistenti li joffru kontenut rilevanti għall-formazzjoni tal-opinjoni pubblika kif ukoll biex jagħmlu dan l-impenn interessanti għal fornituri oħra. </w:t>
      </w:r>
    </w:p>
    <w:p w14:paraId="1253AC37" w14:textId="77777777" w:rsidR="00CE3778" w:rsidRDefault="00CE3778" w:rsidP="00124452">
      <w:pPr>
        <w:spacing w:after="0" w:line="320" w:lineRule="atLeast"/>
        <w:rPr>
          <w:rFonts w:eastAsia="Times New Roman" w:cstheme="minorHAnsi"/>
          <w:b/>
          <w:sz w:val="28"/>
          <w:szCs w:val="28"/>
          <w:lang w:eastAsia="de-DE"/>
        </w:rPr>
      </w:pPr>
    </w:p>
    <w:p w14:paraId="1BC19430" w14:textId="77777777" w:rsidR="00124452" w:rsidRDefault="00124452" w:rsidP="00124452">
      <w:pPr>
        <w:spacing w:after="0" w:line="320" w:lineRule="atLeast"/>
        <w:rPr>
          <w:rFonts w:eastAsia="Times New Roman" w:cstheme="minorHAnsi"/>
          <w:b/>
          <w:sz w:val="24"/>
          <w:szCs w:val="24"/>
          <w:lang w:eastAsia="de-DE"/>
        </w:rPr>
      </w:pPr>
    </w:p>
    <w:p w14:paraId="6C5EC6F5" w14:textId="77777777" w:rsidR="00560C7C" w:rsidRPr="00C03C27" w:rsidRDefault="00E407BC" w:rsidP="008A13E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 xml:space="preserve">§ 1 </w:t>
      </w:r>
    </w:p>
    <w:p w14:paraId="0B0396D3" w14:textId="77777777" w:rsidR="00E407BC" w:rsidRPr="00E407BC" w:rsidRDefault="00E407BC" w:rsidP="008A13E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Għan</w:t>
      </w:r>
    </w:p>
    <w:p w14:paraId="23BDCCD5" w14:textId="77777777" w:rsidR="00E407BC" w:rsidRPr="00E407BC" w:rsidRDefault="00E407BC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4367D95A" w14:textId="77777777" w:rsidR="00E407BC" w:rsidRDefault="00E407BC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L-awtoritajiet tal-midja tal-istat jiddeterminaw il-fornituri tal-offerti (minn hawn ’il quddiem imsejħa “offerti”) kif definiti f’§ 84(3)(2) u (4) tat-Trattat dwar il-Midja tal-Istat (MStV) (proċedura ta’ determinazzjoni) skont l-Artikolu 84(5) tat-Trattat dwar il-Midja tal-Istat (MStV). </w:t>
      </w:r>
    </w:p>
    <w:p w14:paraId="020A2099" w14:textId="77777777" w:rsidR="00301916" w:rsidRDefault="00301916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9914B52" w14:textId="77777777" w:rsidR="00124452" w:rsidRPr="00E407BC" w:rsidRDefault="00124452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6037C68" w14:textId="77777777" w:rsidR="00560C7C" w:rsidRPr="00C03C27" w:rsidRDefault="00E407BC" w:rsidP="008A13E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 xml:space="preserve">§ 2 </w:t>
      </w:r>
    </w:p>
    <w:p w14:paraId="3EC876AD" w14:textId="77777777" w:rsidR="00E407BC" w:rsidRPr="00C03C27" w:rsidRDefault="00E407BC" w:rsidP="008A13E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Eliġibbiltà għall-preżentata ta’ applikazzjoni</w:t>
      </w:r>
    </w:p>
    <w:p w14:paraId="2B7D9CF8" w14:textId="77777777" w:rsidR="00E407BC" w:rsidRPr="00E407BC" w:rsidRDefault="00E407BC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CFBB2EF" w14:textId="77777777" w:rsidR="00E20C43" w:rsidRDefault="00E20C43" w:rsidP="00F81EB4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Dawn li ġejjin huma eliġibbli biex japplikaw: </w:t>
      </w:r>
    </w:p>
    <w:p w14:paraId="2F0C3053" w14:textId="77777777" w:rsidR="00E20C43" w:rsidRDefault="00E20C43" w:rsidP="00F81EB4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1A6AE28" w14:textId="77777777" w:rsidR="00E20C43" w:rsidRDefault="00F36BA7" w:rsidP="00F81EB4">
      <w:pPr>
        <w:pStyle w:val="ListParagraph"/>
        <w:numPr>
          <w:ilvl w:val="0"/>
          <w:numId w:val="4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Skont § 84(3)(2) tat-Trattat dwar il-Midja tal-Istat (MStV), l-offerti tax-xandir minn fornituri privati li jagħmlu kontribuzzjoni partikolari għad-diversità tal-opinjonijiet u l-offerti fil-Ġermanja,</w:t>
      </w:r>
      <w:r>
        <w:rPr>
          <w:sz w:val="24"/>
        </w:rPr>
        <w:br/>
        <w:t>jew</w:t>
      </w:r>
    </w:p>
    <w:p w14:paraId="7273EB60" w14:textId="77777777" w:rsidR="009D766D" w:rsidRDefault="009D766D" w:rsidP="009D766D">
      <w:pPr>
        <w:pStyle w:val="ListParagraph"/>
        <w:spacing w:after="0" w:line="320" w:lineRule="atLeast"/>
        <w:ind w:left="360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7C05529D" w14:textId="77777777" w:rsidR="005C3243" w:rsidRPr="005C3243" w:rsidRDefault="00F36BA7" w:rsidP="005C3243">
      <w:pPr>
        <w:pStyle w:val="ListParagraph"/>
        <w:numPr>
          <w:ilvl w:val="0"/>
          <w:numId w:val="4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skont § 84(4) tat-Trattat dwar il-Midja tal-Istat (MStV), offerti mingħand fornituri privati ta’ telemidja komparabbli simili għax-xandir jew offerti skont § 2(2)(14)(b) tat-Trattat dwar il-Midja tal-Istat (MStV) li jagħtu kontribut speċjali għad-diversità tal-opinjonijiet u l-offerti </w:t>
      </w:r>
      <w:r>
        <w:rPr>
          <w:sz w:val="24"/>
        </w:rPr>
        <w:lastRenderedPageBreak/>
        <w:t>fil-Ġermanja, jew applikazzjonijiet ibbażati fuq softwer li jintużaw biex jikkontrollawhom direttament</w:t>
      </w:r>
      <w:r w:rsidR="005C3243" w:rsidRPr="005C3243">
        <w:rPr>
          <w:sz w:val="24"/>
        </w:rPr>
        <w:t>.</w:t>
      </w:r>
    </w:p>
    <w:p w14:paraId="733F5701" w14:textId="77777777" w:rsidR="005C3243" w:rsidRPr="005C3243" w:rsidRDefault="005C3243" w:rsidP="005C3243">
      <w:pPr>
        <w:pStyle w:val="ListParagraph"/>
        <w:rPr>
          <w:b/>
          <w:sz w:val="28"/>
        </w:rPr>
      </w:pPr>
    </w:p>
    <w:p w14:paraId="4CB87D96" w14:textId="066F6F16" w:rsidR="00124452" w:rsidRPr="005C3243" w:rsidRDefault="00124452" w:rsidP="005C3243">
      <w:pPr>
        <w:pStyle w:val="ListParagraph"/>
        <w:spacing w:after="0" w:line="320" w:lineRule="atLeast"/>
        <w:ind w:left="3900" w:firstLine="348"/>
        <w:jc w:val="both"/>
        <w:rPr>
          <w:rFonts w:eastAsia="Times New Roman" w:cstheme="minorHAnsi"/>
          <w:sz w:val="24"/>
          <w:szCs w:val="24"/>
        </w:rPr>
      </w:pPr>
      <w:r w:rsidRPr="005C3243">
        <w:rPr>
          <w:b/>
          <w:sz w:val="28"/>
        </w:rPr>
        <w:t>§ 3</w:t>
      </w:r>
    </w:p>
    <w:p w14:paraId="5CB6BB9B" w14:textId="77777777" w:rsidR="00124452" w:rsidRPr="00C03C27" w:rsidRDefault="00124452" w:rsidP="0012445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Responsabbiltà u sejħa għall-offerti</w:t>
      </w:r>
    </w:p>
    <w:p w14:paraId="69481A86" w14:textId="77777777" w:rsidR="00124452" w:rsidRDefault="00124452" w:rsidP="0012445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E2E7221" w14:textId="496D0BE9" w:rsidR="00A42418" w:rsidRDefault="00225CB9" w:rsidP="00A42418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(1) Il-proċedura ta’ determinazzjoni titmexxa mill-Kummissjoni għal-Liċenzjar u s-Superviżjoni (ZAK) (§ 105(1)(9) tat-Trattat dwar il-Midja tal-Istat). Titnieda sejħa konġunta għall-offerti mill-awtoritajiet kollha tal-midja tal-istat, li tqis l-opinjoni tal-Konferenza tal-Presidenti tal-Kumitati (GVK), għall-offerti tal-oqsma tal-awdjo u l-immaġni i jiċċaqilqu (vidjo). L-awtorità tal-midja tal-istat responsabbli għall-proċedura hija ddeterminata fl-offerti.</w:t>
      </w:r>
    </w:p>
    <w:p w14:paraId="26DD2199" w14:textId="77777777" w:rsidR="00225CB9" w:rsidRDefault="00225CB9" w:rsidP="0012445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C5EBA9C" w14:textId="776ECCB2" w:rsidR="00225CB9" w:rsidRDefault="00225CB9" w:rsidP="00225CB9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(2) Regolamenti addizzjonali dwar il-proċedura u r-rekwiżiti essenzjali għat-tressiq tal-applikazzjonijiet huma stipulati fl-offerti.</w:t>
      </w:r>
    </w:p>
    <w:p w14:paraId="2929A5DA" w14:textId="77777777" w:rsidR="00225CB9" w:rsidRDefault="00225CB9" w:rsidP="0012445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DCC51FF" w14:textId="70AFCDCF" w:rsidR="00225CB9" w:rsidRDefault="00225CB9" w:rsidP="00124452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(3) Is-sejħiet għall-offerti huma ppubblikati mill-awtoritajiet kollha tal-midja tal-istat b’mod xieraq u fuq is-sit web taħt id-deżinjazzjoni ġenerali “l-awtoritajiet tal-midja”. </w:t>
      </w:r>
    </w:p>
    <w:p w14:paraId="62726725" w14:textId="77777777" w:rsidR="00124452" w:rsidRDefault="00124452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9EBE988" w14:textId="77777777" w:rsidR="0095583E" w:rsidRDefault="00225CB9" w:rsidP="00C03C27">
      <w:pPr>
        <w:spacing w:after="0" w:line="320" w:lineRule="atLeast"/>
        <w:rPr>
          <w:rFonts w:eastAsia="Times New Roman" w:cstheme="minorHAnsi"/>
          <w:sz w:val="24"/>
          <w:szCs w:val="24"/>
        </w:rPr>
      </w:pPr>
      <w:r>
        <w:rPr>
          <w:sz w:val="24"/>
        </w:rPr>
        <w:t>(4) Il-proċess tal-offerti huwa skedat li jibda f’Settembru 2021.</w:t>
      </w:r>
    </w:p>
    <w:p w14:paraId="4A6AE03F" w14:textId="77777777" w:rsidR="001B036F" w:rsidRDefault="001B036F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129A290" w14:textId="77777777" w:rsidR="00537FB2" w:rsidRDefault="00537FB2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54E2157" w14:textId="77777777" w:rsidR="00537FB2" w:rsidRPr="000115F0" w:rsidRDefault="004B4D8D" w:rsidP="00537F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§ 4</w:t>
      </w:r>
    </w:p>
    <w:p w14:paraId="1161D4D6" w14:textId="77777777" w:rsidR="00537FB2" w:rsidRPr="000115F0" w:rsidRDefault="00537FB2" w:rsidP="00537F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Sottomissjoni ta’ applikazzjoni</w:t>
      </w:r>
    </w:p>
    <w:p w14:paraId="712EC6A1" w14:textId="77777777" w:rsidR="00537FB2" w:rsidRDefault="00537FB2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2A870F7B" w14:textId="77777777" w:rsidR="00537FB2" w:rsidRDefault="00537FB2" w:rsidP="00537FB2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(1) L-applikazzjonijiet għandhom jiġu sottomessi bil-miktub lill-awtorità responsabbli tal-midja tal-istat fi żmien l-iskadenza stabbilita fis-sejħa għall-offerti rispettiva. L-applikazzjonijiet għandhom ikunu akkumpanjati minn dokumenti li jippermettu reviżjoni tal-kontribut għad-diversità tal-opinjoni u l-offerti tal-offerta rispettiva jew l-applikazzjoni bbażata fuq is-softwer u għandu jkun fihom mill-inqas l-informazzjoni li ġejja: </w:t>
      </w:r>
    </w:p>
    <w:p w14:paraId="1A699CA8" w14:textId="77777777" w:rsidR="00F36BA7" w:rsidRDefault="00F36BA7" w:rsidP="00537FB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0AB8AA2" w14:textId="77777777" w:rsidR="00F36BA7" w:rsidRDefault="00F36BA7" w:rsidP="00AD53E0">
      <w:pPr>
        <w:pStyle w:val="ListParagraph"/>
        <w:numPr>
          <w:ilvl w:val="0"/>
          <w:numId w:val="6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Fatti li minnhom jirriżulta li l-offerta hija offerta ta’ xandir privat skont § 84(3) tat-Trattat dwar il-Midja tal-Istat jew offerta privata komparabbli ta’ telemidja simili għax-xandir skont § 84(4) tat-Trattat dwar il-Midja tal-Istat jew offerta skont § 2(2)(14)(b) jew applikazzjoni bbażata fuq softwer li tintuża biex tiġi kkontrollata direttament.</w:t>
      </w:r>
    </w:p>
    <w:p w14:paraId="2FF24C22" w14:textId="77777777" w:rsidR="00F36BA7" w:rsidRDefault="00F36BA7" w:rsidP="00F36BA7">
      <w:pPr>
        <w:pStyle w:val="ListParagraph"/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7D5F81AD" w14:textId="77777777" w:rsidR="00537FB2" w:rsidRDefault="009D766D" w:rsidP="00537FB2">
      <w:pPr>
        <w:pStyle w:val="ListParagraph"/>
        <w:numPr>
          <w:ilvl w:val="0"/>
          <w:numId w:val="6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Deskrizzjoni tal-kontenut tal-offerta u spjegazzjoni dwar kif din tagħti kontribut speċjali għad-diversità tal-offerti u l-opinjonijiet fil-Ġermanja.</w:t>
      </w:r>
    </w:p>
    <w:p w14:paraId="53FEB512" w14:textId="77777777" w:rsidR="009D766D" w:rsidRPr="009D766D" w:rsidRDefault="009D766D" w:rsidP="009D766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D754AAE" w14:textId="5CD6AA75" w:rsidR="00D769EE" w:rsidRDefault="00537FB2" w:rsidP="00537FB2">
      <w:pPr>
        <w:pStyle w:val="ListParagraph"/>
        <w:numPr>
          <w:ilvl w:val="0"/>
          <w:numId w:val="6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Informazzjoni dwar il-kriterji li għandhom jiġu osservati fid-determinazzjoni skont § 84(5) tat-Trattat dwar il-Midja tal-Istat (MStV) u § 7.</w:t>
      </w:r>
    </w:p>
    <w:p w14:paraId="47BED891" w14:textId="262654F3" w:rsidR="00F36BA7" w:rsidRPr="00D769EE" w:rsidRDefault="00D769EE" w:rsidP="00D769EE">
      <w:pPr>
        <w:rPr>
          <w:rFonts w:eastAsia="Times New Roman" w:cstheme="minorHAnsi"/>
          <w:sz w:val="24"/>
          <w:szCs w:val="24"/>
        </w:rPr>
      </w:pPr>
      <w:r>
        <w:br w:type="page"/>
      </w:r>
    </w:p>
    <w:p w14:paraId="7F87071E" w14:textId="77777777" w:rsidR="004B4D8D" w:rsidRPr="009D766D" w:rsidRDefault="004B4D8D" w:rsidP="004B4D8D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lastRenderedPageBreak/>
        <w:t>§ 5</w:t>
      </w:r>
    </w:p>
    <w:p w14:paraId="7A28FEEF" w14:textId="77777777" w:rsidR="004B4D8D" w:rsidRPr="009D766D" w:rsidRDefault="004B4D8D" w:rsidP="004B4D8D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Proċedura</w:t>
      </w:r>
    </w:p>
    <w:p w14:paraId="11C90C8A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8F2CB65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(1) L-awtorità responsabbli tal-midja tal-istat teżamina l-applikazzjonijiet li tirċievi. Hija tiċċekkja jekk il-kundizzjonijiet għad-determinazzjoni tal-offerta rispettiva jew l-applikazzjoni bbażata fuq is-softwer rispettiva humiex sodisfatti skont §§ 2, 7 u 8.</w:t>
      </w:r>
    </w:p>
    <w:p w14:paraId="4571C38C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867B43E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(2) Il-Kummissjoni għal-Liċenzjar u s-Superviżjoni (ZAK) tiddetermina permezz ta’ riżoluzzjoni jekk il-kundizzjonijiet ikunux sodisfatti għal kull offerta jew għall-applikazzjoni rispettiva bbażata fuq is-softwer.</w:t>
      </w:r>
    </w:p>
    <w:p w14:paraId="7D7A74F4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DE5AAF3" w14:textId="77777777" w:rsidR="004B4D8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(3) Id-determinazzjoni formali ssir mill-awtorità responsabbli tal-midja tal-istat. Hija marbuta bid-deċiżjonijiet tal-Kummissjoni għal-Liċenzjar u s-Superviżjoni (ZAK) f’dan ir-rigward. </w:t>
      </w:r>
    </w:p>
    <w:p w14:paraId="4EDC2549" w14:textId="77777777" w:rsidR="007F62B2" w:rsidRDefault="007F62B2" w:rsidP="007F62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  <w:lang w:eastAsia="de-DE"/>
        </w:rPr>
      </w:pPr>
    </w:p>
    <w:p w14:paraId="6E8F48C5" w14:textId="77777777" w:rsidR="009D766D" w:rsidRDefault="009D766D" w:rsidP="007F62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  <w:lang w:eastAsia="de-DE"/>
        </w:rPr>
      </w:pPr>
    </w:p>
    <w:p w14:paraId="09E792F3" w14:textId="77777777" w:rsidR="007F62B2" w:rsidRPr="007F62B2" w:rsidRDefault="007F62B2" w:rsidP="007F62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§ 6</w:t>
      </w:r>
    </w:p>
    <w:p w14:paraId="13FD1E9D" w14:textId="77777777" w:rsidR="007F62B2" w:rsidRPr="007F62B2" w:rsidRDefault="007F62B2" w:rsidP="007F62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 xml:space="preserve">Tlestija tal-proċedura </w:t>
      </w:r>
    </w:p>
    <w:p w14:paraId="708C388F" w14:textId="77777777" w:rsidR="007F62B2" w:rsidRPr="00FC0C8B" w:rsidRDefault="007F62B2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4E62C9BF" w14:textId="77777777" w:rsidR="007F62B2" w:rsidRPr="00FC0C8B" w:rsidRDefault="007F62B2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(1) Id-deċiżjoni dwar l-applikazzjoni għandha tingħata lill-applikant permezz ta’ att amministrattiv.</w:t>
      </w:r>
    </w:p>
    <w:p w14:paraId="3EE291B5" w14:textId="77777777" w:rsidR="007F62B2" w:rsidRPr="00FC0C8B" w:rsidRDefault="007F62B2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14FCA71F" w14:textId="77777777" w:rsidR="007146F9" w:rsidRDefault="007F62B2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(2) Id-determinazzjonijiet li jsiru japplikaw f’kull każ għal perjodu ta’ tliet snin mid-data mħabbra fl-att amministrattiv. </w:t>
      </w:r>
    </w:p>
    <w:p w14:paraId="3BA405FC" w14:textId="77777777" w:rsidR="007146F9" w:rsidRDefault="007146F9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1E867774" w14:textId="77777777" w:rsidR="007146F9" w:rsidRDefault="007146F9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(3) L-applikant għandu jinnotifika minnufih lill-awtorità tal-midja tal-istat responsabbli dwar bidliet fl-offerta li jseħħu qabel jew wara d-deċiżjoni dwar l-applikazzjoni u li huma essenzjali għad-determinazzjoni skont §§ 7 u 8. </w:t>
      </w:r>
    </w:p>
    <w:p w14:paraId="27A16DFD" w14:textId="77777777" w:rsidR="007146F9" w:rsidRDefault="007146F9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77055C5F" w14:textId="77777777" w:rsidR="007F62B2" w:rsidRDefault="007146F9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(4) Id-deċiżjoni skont § 6(1) tista’ tiġi revokata mill-awtorità tal-midja tal-istat responsabbli jekk wara jseħħu bidliet materjali fl-offerta, li skonthom l-offerta ma tibqax tissodisfa §§ 7 u 8.</w:t>
      </w:r>
    </w:p>
    <w:p w14:paraId="23B5A412" w14:textId="77777777" w:rsidR="007F62B2" w:rsidRDefault="007F62B2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A640E40" w14:textId="77777777" w:rsidR="0001194D" w:rsidRDefault="0001194D" w:rsidP="00537FB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13CD46C" w14:textId="77777777" w:rsidR="006672EC" w:rsidRPr="006672EC" w:rsidRDefault="006672EC" w:rsidP="006672EC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§ 7</w:t>
      </w:r>
    </w:p>
    <w:p w14:paraId="75AE2D97" w14:textId="77777777" w:rsidR="006672EC" w:rsidRPr="006672EC" w:rsidRDefault="006672EC" w:rsidP="006672EC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 xml:space="preserve">Kriterji ta’ determinazzjoni </w:t>
      </w:r>
      <w:r>
        <w:rPr>
          <w:b/>
          <w:sz w:val="28"/>
        </w:rPr>
        <w:br/>
      </w:r>
    </w:p>
    <w:p w14:paraId="3617EB73" w14:textId="77777777" w:rsidR="004C219B" w:rsidRPr="00956BF6" w:rsidRDefault="006672EC" w:rsidP="00956BF6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Meta jiġu ddeterminati l-offerti skont § 84(3)(2) u (4) tat-Trattat dwar il-Midja tal-Istat, għandhom jiġu kkunsidrati biss il-kriterji msemmija f’§ 84(5) tat-Trattat dwar il-Midja tal-Istat.</w:t>
      </w:r>
    </w:p>
    <w:p w14:paraId="4EB05C57" w14:textId="77777777" w:rsidR="004C219B" w:rsidRPr="00956BF6" w:rsidRDefault="004C219B" w:rsidP="00956BF6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ED34CF8" w14:textId="77777777" w:rsidR="006672EC" w:rsidRPr="006672EC" w:rsidRDefault="006672EC" w:rsidP="00956BF6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Sakemm mhux definit mod ieħor fit-Trattat dwar il-Midja tal-Istat,</w:t>
      </w:r>
    </w:p>
    <w:p w14:paraId="6B3CBE5A" w14:textId="77777777" w:rsidR="006672EC" w:rsidRPr="006672EC" w:rsidRDefault="006672EC" w:rsidP="00956BF6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145F70FE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ir-rappurtar tal-aħbarijiet dwar avvenimenti politiċi jew kontemporanji huwa l-offerta ta’ kontenut ġurnalistiku u editorjali li, abbażi tal-offerta kollha, juri kemm jista’ jkun </w:t>
      </w:r>
      <w:r>
        <w:rPr>
          <w:sz w:val="24"/>
        </w:rPr>
        <w:lastRenderedPageBreak/>
        <w:t>possibbli sezzjoni trasversali tas-sottooqsma ta’ avvenimenti soċjali politiċi u kontemporanji rilevanti għall-formazzjoni tal-opinjoni pubblika u li l-enfasi tagħhom tkun fuq il-kopertura ta’ avvenimenti reali;</w:t>
      </w:r>
    </w:p>
    <w:p w14:paraId="2C7E8223" w14:textId="77777777" w:rsidR="009D766D" w:rsidRPr="00956BF6" w:rsidRDefault="009D766D" w:rsidP="009D766D">
      <w:pPr>
        <w:pStyle w:val="ListParagraph"/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C534598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informazzjoni reġjonali u lokali kif definita f’§ 2(2)(25) tat-Trattat dwar il-Midja tal-Istat (MStV) hija informazzjoni li għandha konnessjoni ċara ma’ oqsma relatati kulturalment u delimitati ġeografikament, li jistgħu jkunu wkoll transnazzjonali; </w:t>
      </w:r>
    </w:p>
    <w:p w14:paraId="71A199A1" w14:textId="77777777" w:rsidR="007C2419" w:rsidRPr="0050150A" w:rsidRDefault="007C2419" w:rsidP="0050150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F8FA548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l-offerti tal-produzzjoni interna huma dawk li l-produzzjoni u l-ipproċessar tagħhom jitwettqu u jiġu ffinanzjati kompletament jew prinċipalment mill-fornitur responsabbli għall-kontenut bil-mezzi ta’ produzzjoni tagħhom stess jew huma prodotti bl-influwenza ġurnalistika u editorjali korrispondenti. Produzzjonijiet li huma prodotti għal kumpanija ta’ produzzjoni wara li din tal-aħħar tkun ikkummissjonathom jitqiesu wkoll bħala produzzjonijiet interni;</w:t>
      </w:r>
    </w:p>
    <w:p w14:paraId="24C4954C" w14:textId="77777777" w:rsidR="009D766D" w:rsidRPr="00956BF6" w:rsidRDefault="009D766D" w:rsidP="009D766D">
      <w:pPr>
        <w:pStyle w:val="ListParagraph"/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24A04BCB" w14:textId="77777777" w:rsidR="00B124D7" w:rsidRDefault="00B124D7" w:rsidP="005C1407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Offerti mingħajr ostakli huma dawk li huma aċċessibbli u li jistgħu jintużaw għall-persuni b’diżabilità fil-mod li ġeneralment ikun komuni għalihom, skont l-ogħla livell ta’ żvilupp tekniku rispettiv u billi jintużaw l-għajnuniet neċessarji mingħajr diffikultà partikolari u bażikament mingħajr assistenza minn barra;</w:t>
      </w:r>
    </w:p>
    <w:p w14:paraId="348873A7" w14:textId="77777777" w:rsidR="009D766D" w:rsidRPr="009D766D" w:rsidRDefault="009D766D" w:rsidP="009D766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71C99D64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Impjegati mħarrġa huma dawk li jkunu lestew kors ta’ taħriġ professjonali jew kors ta’ studju korrispondenti rilevanti għall-kompitu ġurnalistiku jew tal-midja tekniku tagħhom fil-produzzjoni tal-programm jew li jistgħu jipprovdu prova ta’ mhux inqas minn ħames snin ta’ esperjenza professjonali. Xogħol awżiljari subordinat m’għandux jiġi inkluż;</w:t>
      </w:r>
    </w:p>
    <w:p w14:paraId="5EA7E95B" w14:textId="77777777" w:rsidR="009D766D" w:rsidRPr="009D766D" w:rsidRDefault="009D766D" w:rsidP="009D766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AB034C7" w14:textId="77777777" w:rsidR="006672EC" w:rsidRDefault="00A42418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Ix-xogħlijiet Ewropej huma dawk definiti f’§ 3(4) tal-istatuti konġunti tal-awtoritajiet tal-midja tal-istat dwar il-produzzjonijiet Ewropej skont § 77 tat-Trattat dwar il-Midja tal-Istat u</w:t>
      </w:r>
    </w:p>
    <w:p w14:paraId="04E5A5A4" w14:textId="77777777" w:rsidR="009D766D" w:rsidRPr="009D766D" w:rsidRDefault="009D766D" w:rsidP="009D766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791034E7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offerti mmirati lejn gruppi ta’ żgħażagħ fil-mira jekk dawn ikunu mmirati b’mod ċar lejn tfal jew adulti żgħażagħ sal-età ta’ 29 sena. Dan li ġej għandu jitqies:</w:t>
      </w:r>
    </w:p>
    <w:p w14:paraId="7DCA8830" w14:textId="77777777" w:rsidR="00D95527" w:rsidRDefault="00D95527" w:rsidP="00D95527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DD78675" w14:textId="77777777" w:rsidR="006672EC" w:rsidRPr="00D95527" w:rsidRDefault="006672EC" w:rsidP="00D95527">
      <w:pPr>
        <w:pStyle w:val="ListParagraph"/>
        <w:numPr>
          <w:ilvl w:val="0"/>
          <w:numId w:val="12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Offerti li ma jistgħux jiġu interrotti minn reklamar bir-radju jew telebejgħ skont § 9(1) tat-Trattat dwar il-Midja tal-Istat jew, fil-każ ta’ kontenut imxandar li huwa simili fl-orjentazzjoni tal-kontenut li għandu jiġi kklassifikat, ma jistgħux jiġu interrotti minn reklamar bir-radju jew telebejgħ skont l-Artikolu 9(1) tat-Trattat dwar il-Midja tal-Istat (offerti għat-tfal); </w:t>
      </w:r>
    </w:p>
    <w:p w14:paraId="304E1B6F" w14:textId="77777777" w:rsidR="00D95527" w:rsidRPr="00D95527" w:rsidRDefault="00D95527" w:rsidP="00D95527">
      <w:pPr>
        <w:pStyle w:val="ListParagraph"/>
        <w:spacing w:after="0" w:line="320" w:lineRule="atLeast"/>
        <w:ind w:left="1468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F7F3E80" w14:textId="6C37BB68" w:rsidR="006672EC" w:rsidRPr="000064CB" w:rsidRDefault="006672EC" w:rsidP="009D766D">
      <w:pPr>
        <w:pStyle w:val="ListParagraph"/>
        <w:numPr>
          <w:ilvl w:val="0"/>
          <w:numId w:val="12"/>
        </w:numPr>
        <w:spacing w:after="0" w:line="320" w:lineRule="atLeast"/>
        <w:jc w:val="both"/>
      </w:pPr>
      <w:r>
        <w:rPr>
          <w:sz w:val="24"/>
        </w:rPr>
        <w:t>Offerti li, skont kunsiderazzjoni ġenerali każ b’każ tal-kontenut, il-forma u l-ħin tax-xandir, huma mmirati b’mod ċar lejn grupp fil-mira ta’ bejn 14 u 29 sena (offerti għall-adoloxxenti u adulti żgħażagħ), sa fejn jiffukaw fuq informazzjoni kif definita § 2(2)(25) tat-Trattat dwar il-Midja tal-Istat (MStV).</w:t>
      </w:r>
    </w:p>
    <w:p w14:paraId="4F7BC33B" w14:textId="77777777" w:rsidR="000064CB" w:rsidRDefault="000064CB" w:rsidP="000064CB">
      <w:pPr>
        <w:pStyle w:val="ListParagraph"/>
      </w:pPr>
    </w:p>
    <w:p w14:paraId="449F9127" w14:textId="77777777" w:rsidR="00AA4B93" w:rsidRPr="006672EC" w:rsidRDefault="00AA4B93" w:rsidP="00AA4B93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lastRenderedPageBreak/>
        <w:t>§ 8</w:t>
      </w:r>
    </w:p>
    <w:p w14:paraId="389064A1" w14:textId="77777777" w:rsidR="00225CB9" w:rsidRDefault="00AA4B93" w:rsidP="00225CB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Prinċipji bażiċi ta’ determinazzjoni</w:t>
      </w:r>
      <w:r>
        <w:rPr>
          <w:b/>
          <w:sz w:val="28"/>
        </w:rPr>
        <w:br/>
      </w:r>
    </w:p>
    <w:p w14:paraId="167137B4" w14:textId="77777777" w:rsidR="00225CB9" w:rsidRPr="00F81EB4" w:rsidRDefault="00225CB9" w:rsidP="00225CB9">
      <w:pPr>
        <w:spacing w:after="0" w:line="320" w:lineRule="atLeast"/>
        <w:rPr>
          <w:rFonts w:eastAsia="Times New Roman" w:cstheme="minorHAnsi"/>
          <w:b/>
          <w:sz w:val="28"/>
          <w:szCs w:val="28"/>
        </w:rPr>
      </w:pPr>
      <w:r>
        <w:rPr>
          <w:sz w:val="24"/>
        </w:rPr>
        <w:t>Id-determinazzjoni ssir b’perspettiva ġenerali bbażata fuq il-prinċipji bażiċi li ġejjin:</w:t>
      </w:r>
    </w:p>
    <w:p w14:paraId="1072A53F" w14:textId="77777777" w:rsidR="00AA4B93" w:rsidRDefault="00225CB9" w:rsidP="00225CB9">
      <w:pPr>
        <w:pStyle w:val="ListParagraph"/>
        <w:tabs>
          <w:tab w:val="left" w:pos="4165"/>
        </w:tabs>
        <w:spacing w:after="0" w:line="320" w:lineRule="atLeast"/>
        <w:ind w:left="284"/>
        <w:rPr>
          <w:rFonts w:eastAsia="Times New Roman" w:cstheme="minorHAnsi"/>
          <w:sz w:val="24"/>
          <w:szCs w:val="24"/>
        </w:rPr>
      </w:pPr>
      <w:r>
        <w:rPr>
          <w:sz w:val="24"/>
        </w:rPr>
        <w:tab/>
      </w:r>
    </w:p>
    <w:p w14:paraId="193A25D9" w14:textId="77777777" w:rsidR="00AA4B93" w:rsidRDefault="00164A49" w:rsidP="00F81EB4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Offerti, li bażikament ma jikkonformawx mal-prinċipji ġurnalistiċi rikonoxxuti u rekwiżiti oħra tat-Trattat dwar il-Midja tal-Istat, mhumiex adattati biex jagħtu kontribut notevoli għad-diversità tal-opinjonijiet u l-offerti.</w:t>
      </w:r>
    </w:p>
    <w:p w14:paraId="66CAC601" w14:textId="77777777" w:rsidR="00AA4B93" w:rsidRDefault="00AA4B93" w:rsidP="00F81EB4">
      <w:pPr>
        <w:pStyle w:val="ListParagraph"/>
        <w:spacing w:after="0" w:line="320" w:lineRule="atLeast"/>
        <w:rPr>
          <w:rFonts w:eastAsia="Times New Roman" w:cstheme="minorHAnsi"/>
          <w:sz w:val="24"/>
          <w:szCs w:val="24"/>
          <w:lang w:eastAsia="de-DE"/>
        </w:rPr>
      </w:pPr>
    </w:p>
    <w:p w14:paraId="0C1AFBD8" w14:textId="77777777" w:rsidR="00AA4B93" w:rsidRDefault="00D95527" w:rsidP="00F81EB4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Sakemm il-ħtiġijiet statutorji korrispondenti jkunu rilevanti għall-kriterji stabbiliti f’§ 7, huma biss il-miżuri li jmorru lil hinn mit-twettiq ta’ dawn il-proġetti statutorji li għandhom jitqiesu fid-determinazzjoni.</w:t>
      </w:r>
    </w:p>
    <w:p w14:paraId="023C3B07" w14:textId="77777777" w:rsidR="00AA4B93" w:rsidRPr="00AA4B93" w:rsidRDefault="00AA4B93" w:rsidP="00F81EB4">
      <w:pPr>
        <w:pStyle w:val="ListParagraph"/>
        <w:ind w:left="1156"/>
        <w:rPr>
          <w:rFonts w:eastAsia="Times New Roman" w:cstheme="minorHAnsi"/>
          <w:sz w:val="24"/>
          <w:szCs w:val="24"/>
          <w:lang w:eastAsia="de-DE"/>
        </w:rPr>
      </w:pPr>
    </w:p>
    <w:p w14:paraId="5BB13FCD" w14:textId="77777777" w:rsidR="00FD5182" w:rsidRPr="00D14EEB" w:rsidRDefault="00D14EEB" w:rsidP="009D766D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Fid-determinazzjoni ta’ kontribut speċjali għad-diversità tal-opinjonijiet u l-offerti, għandha tingħata preferenza għall-qsim tal-ħin tal-kopertura tal-aħbarijiet ta’ avvenimenti politiċi u kontemporanji u l-qsim tal-ħin tal-informazzjoni reġjonali u lokali kif ukoll is-sehem ta’ offerti għal gruppi żgħażagħ fil-mira. </w:t>
      </w:r>
      <w:r>
        <w:rPr>
          <w:sz w:val="24"/>
        </w:rPr>
        <w:br/>
      </w:r>
    </w:p>
    <w:p w14:paraId="39E98786" w14:textId="77777777" w:rsidR="00AA4B93" w:rsidRDefault="00AA4B93" w:rsidP="00F81EB4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Fil-każ ta’ offerti ta’ xandir kif definiti § 84(3)(1) tat-Trattat dwar il-Midja tal-Istat, ir-regolarità tax-xandira, it-tul u l-ħin tal-ipprogrammar tal-programmi rilevanti għandhom jitqiesu fir-rigward tal-kriterji skont § 7(1), (2), (4) u (7).</w:t>
      </w:r>
    </w:p>
    <w:p w14:paraId="4F00E74F" w14:textId="77777777" w:rsidR="00AA4B93" w:rsidRDefault="00AA4B93" w:rsidP="00F81EB4">
      <w:pPr>
        <w:pStyle w:val="ListParagraph"/>
        <w:spacing w:after="0" w:line="320" w:lineRule="atLeast"/>
        <w:rPr>
          <w:rFonts w:eastAsia="Times New Roman" w:cstheme="minorHAnsi"/>
          <w:sz w:val="24"/>
          <w:szCs w:val="24"/>
          <w:lang w:eastAsia="de-DE"/>
        </w:rPr>
      </w:pPr>
    </w:p>
    <w:p w14:paraId="70B6B469" w14:textId="77777777" w:rsidR="00AA4B93" w:rsidRDefault="00AA4B93" w:rsidP="00F81EB4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Fil-każ ta’ offerti tat-telemidja kif definiti f’§ 84(4) tat-Trattat dwar il-Midja tal-Istat, l-aġġornament perjodiku, iż-żmien jew kamp ta’ applikazzjoni ieħor kif ukoll it-tqegħid u l-aċċessibbiltà fl-offerta tat-telemidja għandhom jitqiesu fir-rigward tal-kriterji skont § 7(1), (2), (4) u (7).</w:t>
      </w:r>
    </w:p>
    <w:p w14:paraId="2C3423DF" w14:textId="77777777" w:rsidR="00AA4B93" w:rsidRDefault="00AA4B93" w:rsidP="00F81EB4">
      <w:pPr>
        <w:pStyle w:val="ListParagraph"/>
        <w:spacing w:after="0" w:line="320" w:lineRule="atLeast"/>
        <w:rPr>
          <w:rFonts w:eastAsia="Times New Roman" w:cstheme="minorHAnsi"/>
          <w:sz w:val="24"/>
          <w:szCs w:val="24"/>
          <w:lang w:eastAsia="de-DE"/>
        </w:rPr>
      </w:pPr>
    </w:p>
    <w:p w14:paraId="6750E213" w14:textId="77777777" w:rsidR="007A7DA2" w:rsidRDefault="00D95527" w:rsidP="009D766D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Bħala parti mid-determinazzjoni ta’ proporzjon ogħla ta’ persunal imħarreġ kif definit f’§ 7(5), li għandu effett pożittiv fuq il-grad partikolari ta’ kontribuzzjoni għad-diversità tal-opinjonijiet u l-offerti, għandhom jitqiesu biss il-proporzjonijiet ta’ persunal imħarreġ mal-persunal li għadu qed jiġi mħarreġ ta’ mill-inqas tlieta għal kull wieħed.</w:t>
      </w:r>
    </w:p>
    <w:p w14:paraId="24FDD85B" w14:textId="77777777" w:rsidR="00370B9E" w:rsidRDefault="00370B9E">
      <w:pPr>
        <w:rPr>
          <w:rFonts w:eastAsia="Times New Roman" w:cstheme="minorHAnsi"/>
          <w:sz w:val="24"/>
          <w:szCs w:val="24"/>
          <w:lang w:eastAsia="de-DE"/>
        </w:rPr>
      </w:pPr>
    </w:p>
    <w:p w14:paraId="7EE53ABD" w14:textId="77777777" w:rsidR="00370B9E" w:rsidRPr="000663C3" w:rsidRDefault="00370B9E" w:rsidP="00370B9E">
      <w:pPr>
        <w:spacing w:after="0" w:line="320" w:lineRule="atLeast"/>
        <w:jc w:val="center"/>
        <w:rPr>
          <w:rFonts w:ascii="Verdana" w:eastAsia="Times New Roman" w:hAnsi="Verdana" w:cs="Times New Roman"/>
          <w:b/>
          <w:sz w:val="20"/>
          <w:szCs w:val="20"/>
          <w:lang w:eastAsia="de-DE"/>
        </w:rPr>
      </w:pPr>
    </w:p>
    <w:p w14:paraId="3B0B4E16" w14:textId="77777777" w:rsidR="00370B9E" w:rsidRPr="002C7BC4" w:rsidRDefault="00370B9E" w:rsidP="00370B9E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§ 9</w:t>
      </w:r>
    </w:p>
    <w:p w14:paraId="3BBF6B59" w14:textId="77777777" w:rsidR="00370B9E" w:rsidRPr="002C7BC4" w:rsidRDefault="00373314" w:rsidP="00370B9E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Implimentazzjoni</w:t>
      </w:r>
    </w:p>
    <w:p w14:paraId="39860881" w14:textId="77777777" w:rsidR="00370B9E" w:rsidRPr="00B26619" w:rsidRDefault="00370B9E" w:rsidP="00370B9E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601082A" w14:textId="1D798F15" w:rsidR="00BD0CDA" w:rsidRPr="00373314" w:rsidRDefault="00BD0CDA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(1) Ladarba l-proċedura ta’ determinazzjoni tkun tlestiet, l-awtoritajiet tal-midja tal-istat se jippubblikaw lista tal-offerti ta’ immaġni li jiċċaqilqu (vidjo) u lista għall-offerti ta’ awdjo fuq is-sit web taħt id-deżinjazzjoni ġenerali “l-awtoritajiet tal-midja” għall-implimentazzjoni mill-fornituri tal-interfaċċi għall-utenti.</w:t>
      </w:r>
    </w:p>
    <w:p w14:paraId="50A32227" w14:textId="77777777" w:rsidR="00BD0CDA" w:rsidRPr="00373314" w:rsidRDefault="00BD0CDA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1D62056A" w14:textId="77777777" w:rsidR="00BF4691" w:rsidRDefault="00BF4691" w:rsidP="00BF4691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lastRenderedPageBreak/>
        <w:t>(2) Għandu jkun faċilment u permanentement possibbli għall-utent li jidentifika l-għażla u l-arranġament tal-offerti, li ġew determinati mill-awtoritajiet responsabbli tal-midja tal-istat, fl-interfaċċji tal-utent.</w:t>
      </w:r>
    </w:p>
    <w:p w14:paraId="547685C7" w14:textId="77777777" w:rsidR="00373314" w:rsidRDefault="00373314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61F70E10" w14:textId="6962D927" w:rsidR="00BD1E12" w:rsidRPr="00373314" w:rsidRDefault="00BD0CDA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(3) L-ordni tal-listi stabbilita mill-Kummissjoni għal-Liċenzjar u s-Superviżjoni (ZAK) bħala l-korp tat-tmexxija tal-awtorità responsabbli tal-midja tal-istat tirriżulta mill-opinjoni ġenerali mwettqa skont §§ 7 u 8. Jekk u sal-estent li l-fornitur ta’ interfaċċja tal-utent juri sekwenza fl-issortjar u l-arranġament tal-offerti, il-listi ppubblikati skont il-Paragrafu 1 għandhom jintużaw bħala bażi. </w:t>
      </w:r>
    </w:p>
    <w:p w14:paraId="5DE375CB" w14:textId="77777777" w:rsidR="00BD1E12" w:rsidRPr="00373314" w:rsidRDefault="00BD1E12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7A2AE1DB" w14:textId="77777777" w:rsidR="00370B9E" w:rsidRPr="00373314" w:rsidRDefault="00BD0CDA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(4) L-awtorità responsabbli tal-midja tal-istat għandha l-kompitu li taħdem lejn ftehim mal-fornituri tal-programmi ffinanzjati mill-kontribuzzjonijiet statutorji u l-offerti assoċjati tat-telemidja fir-rigward tal-ordni ta’ preżentazzjoni.</w:t>
      </w:r>
    </w:p>
    <w:p w14:paraId="5A278B17" w14:textId="77777777" w:rsidR="000D2934" w:rsidRDefault="000D2934">
      <w:pPr>
        <w:rPr>
          <w:rFonts w:eastAsia="Times New Roman" w:cstheme="minorHAnsi"/>
          <w:b/>
          <w:sz w:val="28"/>
          <w:szCs w:val="28"/>
          <w:u w:val="single"/>
          <w:lang w:eastAsia="de-DE"/>
        </w:rPr>
      </w:pPr>
    </w:p>
    <w:p w14:paraId="3A0FC700" w14:textId="77777777" w:rsidR="00E30CC3" w:rsidRDefault="00E30CC3" w:rsidP="00701D71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  <w:lang w:eastAsia="de-DE"/>
        </w:rPr>
      </w:pPr>
    </w:p>
    <w:p w14:paraId="0A521615" w14:textId="77777777" w:rsidR="00701D71" w:rsidRPr="002C7BC4" w:rsidRDefault="00701D71" w:rsidP="00701D71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§ 10</w:t>
      </w:r>
    </w:p>
    <w:p w14:paraId="0A25D742" w14:textId="77777777" w:rsidR="00701D71" w:rsidRPr="002C7BC4" w:rsidRDefault="00701D71" w:rsidP="00701D71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Dħul fis-seħħ</w:t>
      </w:r>
    </w:p>
    <w:p w14:paraId="68BFB838" w14:textId="77777777" w:rsidR="00701D71" w:rsidRDefault="00701D71" w:rsidP="001F58C3">
      <w:pPr>
        <w:spacing w:after="0" w:line="320" w:lineRule="atLeast"/>
        <w:jc w:val="center"/>
        <w:rPr>
          <w:rFonts w:eastAsia="Times New Roman" w:cstheme="minorHAnsi"/>
          <w:b/>
          <w:sz w:val="24"/>
          <w:szCs w:val="24"/>
          <w:lang w:eastAsia="de-DE"/>
        </w:rPr>
      </w:pPr>
    </w:p>
    <w:p w14:paraId="1E0B33DB" w14:textId="44C5C1FA" w:rsidR="00701D71" w:rsidRPr="00701D71" w:rsidRDefault="00701D71" w:rsidP="00701D71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Dan l-istatut għandu jidħol fis-seħħ fl-1 ta’ Settembru 2021. Jekk l-istatuti korrispondenti ma jkunux inħarġu u ġew ippubblikati mill-awtoritajiet kollha tal-midja tal-istat sal-31 ta’ Awwissu 2021, dan l-istatut se jsir irrilevanti. Il-president tal-Konferenza tad-Diretturi tal-Awtoritajiet tal-Midja tal-Istat (DLM) jippubblika fuq is-sit web taħt id-deżinjazzjoni ġenerali “l-awtoritajiet tal-midja” jekk l-awtoritajiet kollha tal-midja tal-istat ħarġux u ppubblikawx statuti korrispondenti fil-perjodu tas-sentenza 2.</w:t>
      </w:r>
      <w:r w:rsidR="000464CE">
        <w:rPr>
          <w:rStyle w:val="FootnoteReference"/>
          <w:rFonts w:eastAsia="Calibri" w:cstheme="minorHAnsi"/>
        </w:rPr>
        <w:footnoteReference w:id="1"/>
      </w:r>
      <w:r>
        <w:rPr>
          <w:sz w:val="24"/>
        </w:rPr>
        <w:t xml:space="preserve">  </w:t>
      </w:r>
    </w:p>
    <w:sectPr w:rsidR="00701D71" w:rsidRPr="00701D7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E49A3" w14:textId="77777777" w:rsidR="00AF0E23" w:rsidRDefault="00AF0E23" w:rsidP="001D484A">
      <w:pPr>
        <w:spacing w:after="0" w:line="240" w:lineRule="auto"/>
      </w:pPr>
      <w:r>
        <w:separator/>
      </w:r>
    </w:p>
  </w:endnote>
  <w:endnote w:type="continuationSeparator" w:id="0">
    <w:p w14:paraId="318B8017" w14:textId="77777777" w:rsidR="00AF0E23" w:rsidRDefault="00AF0E23" w:rsidP="001D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4623777"/>
      <w:docPartObj>
        <w:docPartGallery w:val="Page Numbers (Bottom of Page)"/>
        <w:docPartUnique/>
      </w:docPartObj>
    </w:sdtPr>
    <w:sdtEndPr/>
    <w:sdtContent>
      <w:p w14:paraId="45379FFA" w14:textId="60C4D08E" w:rsidR="00AA4B93" w:rsidRDefault="00AA4B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4CE">
          <w:t>6</w:t>
        </w:r>
        <w:r>
          <w:fldChar w:fldCharType="end"/>
        </w:r>
      </w:p>
    </w:sdtContent>
  </w:sdt>
  <w:p w14:paraId="02010CD8" w14:textId="77777777" w:rsidR="00AA4B93" w:rsidRDefault="00AA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41AB1" w14:textId="77777777" w:rsidR="00AF0E23" w:rsidRDefault="00AF0E23" w:rsidP="001D484A">
      <w:pPr>
        <w:spacing w:after="0" w:line="240" w:lineRule="auto"/>
      </w:pPr>
      <w:r>
        <w:separator/>
      </w:r>
    </w:p>
  </w:footnote>
  <w:footnote w:type="continuationSeparator" w:id="0">
    <w:p w14:paraId="3D98DBDA" w14:textId="77777777" w:rsidR="00AF0E23" w:rsidRDefault="00AF0E23" w:rsidP="001D484A">
      <w:pPr>
        <w:spacing w:after="0" w:line="240" w:lineRule="auto"/>
      </w:pPr>
      <w:r>
        <w:continuationSeparator/>
      </w:r>
    </w:p>
  </w:footnote>
  <w:footnote w:id="1">
    <w:p w14:paraId="7AC26A74" w14:textId="77777777" w:rsidR="000464CE" w:rsidRDefault="000464CE" w:rsidP="000464CE">
      <w:pPr>
        <w:pStyle w:val="FootnoteText"/>
      </w:pPr>
      <w:r>
        <w:rPr>
          <w:rStyle w:val="FootnoteReference"/>
        </w:rPr>
        <w:footnoteRef/>
      </w:r>
      <w:r>
        <w:t xml:space="preserve"> Notifikat skont id-Direttiva (UE) 2015/1535 tal-Parlament Ewropew u tal-Kunsill tad-9 ta’ Settembru 2015 li tistabbilixxi proċedura għall-għoti ta’ informazzjoni fil-qasam tar-regolamenti tekniċi u tar-regoli dwar is-servizzi tas-Soċjetà tal-Informatika (ĠU L 241, 17.9.2015, p. 1)</w:t>
      </w:r>
      <w:r>
        <w:rPr>
          <w:rFonts w:asciiTheme="minorHAnsi" w:hAnsi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D25"/>
    <w:multiLevelType w:val="hybridMultilevel"/>
    <w:tmpl w:val="3C52601E"/>
    <w:lvl w:ilvl="0" w:tplc="040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B123FD"/>
    <w:multiLevelType w:val="hybridMultilevel"/>
    <w:tmpl w:val="D996F9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3237"/>
    <w:multiLevelType w:val="hybridMultilevel"/>
    <w:tmpl w:val="8E420D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A8C"/>
    <w:multiLevelType w:val="hybridMultilevel"/>
    <w:tmpl w:val="CB0E8C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A66C3"/>
    <w:multiLevelType w:val="hybridMultilevel"/>
    <w:tmpl w:val="8D068B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6CF"/>
    <w:multiLevelType w:val="hybridMultilevel"/>
    <w:tmpl w:val="DEA2AB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08F4"/>
    <w:multiLevelType w:val="hybridMultilevel"/>
    <w:tmpl w:val="FE7EBE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94E7D"/>
    <w:multiLevelType w:val="hybridMultilevel"/>
    <w:tmpl w:val="B59A5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5EF4"/>
    <w:multiLevelType w:val="hybridMultilevel"/>
    <w:tmpl w:val="0BBEF8FE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3DBF16D1"/>
    <w:multiLevelType w:val="hybridMultilevel"/>
    <w:tmpl w:val="A5E4A5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71CE8"/>
    <w:multiLevelType w:val="hybridMultilevel"/>
    <w:tmpl w:val="3EACC7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1DA4"/>
    <w:multiLevelType w:val="hybridMultilevel"/>
    <w:tmpl w:val="962203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13D33"/>
    <w:multiLevelType w:val="hybridMultilevel"/>
    <w:tmpl w:val="3926B7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16750"/>
    <w:multiLevelType w:val="hybridMultilevel"/>
    <w:tmpl w:val="6554CC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96265"/>
    <w:multiLevelType w:val="hybridMultilevel"/>
    <w:tmpl w:val="BC6C22B2"/>
    <w:lvl w:ilvl="0" w:tplc="C9CC360C">
      <w:start w:val="1"/>
      <w:numFmt w:val="lowerLetter"/>
      <w:lvlText w:val="(%1)"/>
      <w:lvlJc w:val="left"/>
      <w:pPr>
        <w:ind w:left="1468" w:hanging="7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6C5C48"/>
    <w:multiLevelType w:val="hybridMultilevel"/>
    <w:tmpl w:val="05F035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E5198"/>
    <w:multiLevelType w:val="hybridMultilevel"/>
    <w:tmpl w:val="4CE0C6B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26EFD"/>
    <w:multiLevelType w:val="hybridMultilevel"/>
    <w:tmpl w:val="A2EA834C"/>
    <w:lvl w:ilvl="0" w:tplc="3E84DD34">
      <w:start w:val="1"/>
      <w:numFmt w:val="bullet"/>
      <w:lvlText w:val="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14"/>
  </w:num>
  <w:num w:numId="13">
    <w:abstractNumId w:val="0"/>
  </w:num>
  <w:num w:numId="14">
    <w:abstractNumId w:val="17"/>
  </w:num>
  <w:num w:numId="15">
    <w:abstractNumId w:val="2"/>
  </w:num>
  <w:num w:numId="16">
    <w:abstractNumId w:val="1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BC"/>
    <w:rsid w:val="000032DD"/>
    <w:rsid w:val="000064CB"/>
    <w:rsid w:val="000115F0"/>
    <w:rsid w:val="0001194D"/>
    <w:rsid w:val="00013261"/>
    <w:rsid w:val="0003101E"/>
    <w:rsid w:val="00037C5A"/>
    <w:rsid w:val="000464CE"/>
    <w:rsid w:val="00054978"/>
    <w:rsid w:val="000663C3"/>
    <w:rsid w:val="00067D79"/>
    <w:rsid w:val="000868B3"/>
    <w:rsid w:val="000A061C"/>
    <w:rsid w:val="000B207B"/>
    <w:rsid w:val="000C42A7"/>
    <w:rsid w:val="000C685E"/>
    <w:rsid w:val="000C720D"/>
    <w:rsid w:val="000D2934"/>
    <w:rsid w:val="000F173F"/>
    <w:rsid w:val="001041FB"/>
    <w:rsid w:val="00124452"/>
    <w:rsid w:val="00127AEC"/>
    <w:rsid w:val="00136A0D"/>
    <w:rsid w:val="001532C1"/>
    <w:rsid w:val="00153F2F"/>
    <w:rsid w:val="00164A49"/>
    <w:rsid w:val="00182BFA"/>
    <w:rsid w:val="00183169"/>
    <w:rsid w:val="0018318F"/>
    <w:rsid w:val="001835AF"/>
    <w:rsid w:val="001B036F"/>
    <w:rsid w:val="001D484A"/>
    <w:rsid w:val="001E5FFE"/>
    <w:rsid w:val="001F0CCE"/>
    <w:rsid w:val="001F58C3"/>
    <w:rsid w:val="001F6A76"/>
    <w:rsid w:val="002007EC"/>
    <w:rsid w:val="0021674B"/>
    <w:rsid w:val="0021723B"/>
    <w:rsid w:val="00220AC9"/>
    <w:rsid w:val="00225CB9"/>
    <w:rsid w:val="00230C4B"/>
    <w:rsid w:val="00250EC5"/>
    <w:rsid w:val="00270262"/>
    <w:rsid w:val="002709EF"/>
    <w:rsid w:val="00274CAF"/>
    <w:rsid w:val="0027771D"/>
    <w:rsid w:val="00282708"/>
    <w:rsid w:val="002A3743"/>
    <w:rsid w:val="002C7BC4"/>
    <w:rsid w:val="002D0476"/>
    <w:rsid w:val="002E2854"/>
    <w:rsid w:val="002E57B1"/>
    <w:rsid w:val="002F73C6"/>
    <w:rsid w:val="00301916"/>
    <w:rsid w:val="00370B9E"/>
    <w:rsid w:val="00373314"/>
    <w:rsid w:val="00381450"/>
    <w:rsid w:val="00393404"/>
    <w:rsid w:val="003B4C24"/>
    <w:rsid w:val="003F31B3"/>
    <w:rsid w:val="00416F29"/>
    <w:rsid w:val="00424F1A"/>
    <w:rsid w:val="004545BF"/>
    <w:rsid w:val="00465886"/>
    <w:rsid w:val="00472791"/>
    <w:rsid w:val="00477B8F"/>
    <w:rsid w:val="00482340"/>
    <w:rsid w:val="004919E2"/>
    <w:rsid w:val="004B4D8D"/>
    <w:rsid w:val="004C219B"/>
    <w:rsid w:val="004F1DC1"/>
    <w:rsid w:val="004F6A31"/>
    <w:rsid w:val="0050150A"/>
    <w:rsid w:val="005020AE"/>
    <w:rsid w:val="005219F8"/>
    <w:rsid w:val="00537F08"/>
    <w:rsid w:val="00537FB2"/>
    <w:rsid w:val="0054222E"/>
    <w:rsid w:val="00546FB9"/>
    <w:rsid w:val="00560C7C"/>
    <w:rsid w:val="005666A9"/>
    <w:rsid w:val="005700F4"/>
    <w:rsid w:val="00591CAB"/>
    <w:rsid w:val="005B768A"/>
    <w:rsid w:val="005C07B7"/>
    <w:rsid w:val="005C1407"/>
    <w:rsid w:val="005C179E"/>
    <w:rsid w:val="005C3243"/>
    <w:rsid w:val="005D131C"/>
    <w:rsid w:val="005D3623"/>
    <w:rsid w:val="005E34EB"/>
    <w:rsid w:val="005E6E51"/>
    <w:rsid w:val="00612BF0"/>
    <w:rsid w:val="00612D2D"/>
    <w:rsid w:val="00625CBC"/>
    <w:rsid w:val="0064609D"/>
    <w:rsid w:val="00665EC3"/>
    <w:rsid w:val="006672EC"/>
    <w:rsid w:val="00681344"/>
    <w:rsid w:val="00681C35"/>
    <w:rsid w:val="006830D1"/>
    <w:rsid w:val="006B13C8"/>
    <w:rsid w:val="006C19EC"/>
    <w:rsid w:val="006D0727"/>
    <w:rsid w:val="006E5784"/>
    <w:rsid w:val="00701D71"/>
    <w:rsid w:val="0071358E"/>
    <w:rsid w:val="007146F9"/>
    <w:rsid w:val="0073115B"/>
    <w:rsid w:val="00737BD3"/>
    <w:rsid w:val="00744038"/>
    <w:rsid w:val="0076089E"/>
    <w:rsid w:val="00767050"/>
    <w:rsid w:val="00771C16"/>
    <w:rsid w:val="0077452B"/>
    <w:rsid w:val="0079430A"/>
    <w:rsid w:val="007A56A0"/>
    <w:rsid w:val="007A7AB9"/>
    <w:rsid w:val="007A7DA2"/>
    <w:rsid w:val="007C2419"/>
    <w:rsid w:val="007D2632"/>
    <w:rsid w:val="007F62B2"/>
    <w:rsid w:val="008122B0"/>
    <w:rsid w:val="00817EC0"/>
    <w:rsid w:val="00821AF0"/>
    <w:rsid w:val="00822470"/>
    <w:rsid w:val="008378E3"/>
    <w:rsid w:val="008A13E9"/>
    <w:rsid w:val="008B277B"/>
    <w:rsid w:val="008D1567"/>
    <w:rsid w:val="008D2E3F"/>
    <w:rsid w:val="008D2F24"/>
    <w:rsid w:val="008D31C2"/>
    <w:rsid w:val="008F276F"/>
    <w:rsid w:val="008F602E"/>
    <w:rsid w:val="008F7751"/>
    <w:rsid w:val="0090457B"/>
    <w:rsid w:val="009104B6"/>
    <w:rsid w:val="00915F82"/>
    <w:rsid w:val="009266F2"/>
    <w:rsid w:val="00931F42"/>
    <w:rsid w:val="0093532C"/>
    <w:rsid w:val="00950F48"/>
    <w:rsid w:val="0095583E"/>
    <w:rsid w:val="00956BF6"/>
    <w:rsid w:val="00981C56"/>
    <w:rsid w:val="009B6748"/>
    <w:rsid w:val="009D1DDC"/>
    <w:rsid w:val="009D5BA8"/>
    <w:rsid w:val="009D766D"/>
    <w:rsid w:val="009E37B9"/>
    <w:rsid w:val="009E565D"/>
    <w:rsid w:val="009F0A52"/>
    <w:rsid w:val="00A10DF9"/>
    <w:rsid w:val="00A2144C"/>
    <w:rsid w:val="00A219ED"/>
    <w:rsid w:val="00A27CC0"/>
    <w:rsid w:val="00A31150"/>
    <w:rsid w:val="00A42418"/>
    <w:rsid w:val="00A656FA"/>
    <w:rsid w:val="00A77BBA"/>
    <w:rsid w:val="00AA4B93"/>
    <w:rsid w:val="00AC0FD6"/>
    <w:rsid w:val="00AC0FF3"/>
    <w:rsid w:val="00AD53E0"/>
    <w:rsid w:val="00AF0E23"/>
    <w:rsid w:val="00AF2822"/>
    <w:rsid w:val="00AF60B4"/>
    <w:rsid w:val="00B03274"/>
    <w:rsid w:val="00B11381"/>
    <w:rsid w:val="00B124D7"/>
    <w:rsid w:val="00B17513"/>
    <w:rsid w:val="00B21A4F"/>
    <w:rsid w:val="00B24DEA"/>
    <w:rsid w:val="00B26619"/>
    <w:rsid w:val="00B669BA"/>
    <w:rsid w:val="00B736A7"/>
    <w:rsid w:val="00B82613"/>
    <w:rsid w:val="00B8563F"/>
    <w:rsid w:val="00BC306E"/>
    <w:rsid w:val="00BC3887"/>
    <w:rsid w:val="00BC72F5"/>
    <w:rsid w:val="00BD0CDA"/>
    <w:rsid w:val="00BD1E12"/>
    <w:rsid w:val="00BD6728"/>
    <w:rsid w:val="00BE2B40"/>
    <w:rsid w:val="00BE427F"/>
    <w:rsid w:val="00BF4691"/>
    <w:rsid w:val="00C03C27"/>
    <w:rsid w:val="00C040C9"/>
    <w:rsid w:val="00C13CF9"/>
    <w:rsid w:val="00C21B77"/>
    <w:rsid w:val="00C46A39"/>
    <w:rsid w:val="00C62E73"/>
    <w:rsid w:val="00C70EC0"/>
    <w:rsid w:val="00C87777"/>
    <w:rsid w:val="00CE3778"/>
    <w:rsid w:val="00CF6DBA"/>
    <w:rsid w:val="00D121FC"/>
    <w:rsid w:val="00D14EEB"/>
    <w:rsid w:val="00D175BD"/>
    <w:rsid w:val="00D363CB"/>
    <w:rsid w:val="00D51335"/>
    <w:rsid w:val="00D55BCA"/>
    <w:rsid w:val="00D769EE"/>
    <w:rsid w:val="00D864D5"/>
    <w:rsid w:val="00D909FE"/>
    <w:rsid w:val="00D95527"/>
    <w:rsid w:val="00DA0853"/>
    <w:rsid w:val="00DC5338"/>
    <w:rsid w:val="00DD56B1"/>
    <w:rsid w:val="00DE6554"/>
    <w:rsid w:val="00E051D4"/>
    <w:rsid w:val="00E10192"/>
    <w:rsid w:val="00E20C43"/>
    <w:rsid w:val="00E24440"/>
    <w:rsid w:val="00E30CC3"/>
    <w:rsid w:val="00E407BC"/>
    <w:rsid w:val="00E45AD5"/>
    <w:rsid w:val="00E54B09"/>
    <w:rsid w:val="00E80DAE"/>
    <w:rsid w:val="00E90A3C"/>
    <w:rsid w:val="00EA0BEA"/>
    <w:rsid w:val="00EA314A"/>
    <w:rsid w:val="00EE1CE0"/>
    <w:rsid w:val="00EE4979"/>
    <w:rsid w:val="00EE6BF4"/>
    <w:rsid w:val="00F21E4B"/>
    <w:rsid w:val="00F36BA7"/>
    <w:rsid w:val="00F54EBD"/>
    <w:rsid w:val="00F65566"/>
    <w:rsid w:val="00F7057B"/>
    <w:rsid w:val="00F81EB4"/>
    <w:rsid w:val="00F91BBA"/>
    <w:rsid w:val="00F94327"/>
    <w:rsid w:val="00FB3EAC"/>
    <w:rsid w:val="00FC0C8B"/>
    <w:rsid w:val="00FC378D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4F25"/>
  <w15:chartTrackingRefBased/>
  <w15:docId w15:val="{2074EB3F-4E46-451F-932C-D60A7720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7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FB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FB2"/>
    <w:rPr>
      <w:rFonts w:ascii="Verdana" w:eastAsia="Times New Roman" w:hAnsi="Verdana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4A"/>
  </w:style>
  <w:style w:type="paragraph" w:styleId="Footer">
    <w:name w:val="footer"/>
    <w:basedOn w:val="Normal"/>
    <w:link w:val="FooterChar"/>
    <w:uiPriority w:val="99"/>
    <w:unhideWhenUsed/>
    <w:rsid w:val="001D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9F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FE"/>
    <w:rPr>
      <w:rFonts w:ascii="Verdana" w:eastAsia="Times New Roman" w:hAnsi="Verdana" w:cs="Times New Roman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D363CB"/>
    <w:pPr>
      <w:spacing w:after="0" w:line="240" w:lineRule="auto"/>
    </w:pPr>
  </w:style>
  <w:style w:type="character" w:customStyle="1" w:styleId="highlight">
    <w:name w:val="highlight"/>
    <w:basedOn w:val="DefaultParagraphFont"/>
    <w:rsid w:val="00FC378D"/>
  </w:style>
  <w:style w:type="paragraph" w:customStyle="1" w:styleId="Default">
    <w:name w:val="Default"/>
    <w:rsid w:val="00FC3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046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rsid w:val="000464C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rsid w:val="00046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2766-8010-482E-9ECD-1A43510C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Foersterling,Matthias Dr.</dc:creator>
  <cp:keywords/>
  <dc:description/>
  <cp:lastModifiedBy>Dimitris Dimitriadis</cp:lastModifiedBy>
  <cp:revision>6</cp:revision>
  <cp:lastPrinted>2021-01-25T10:29:00Z</cp:lastPrinted>
  <dcterms:created xsi:type="dcterms:W3CDTF">2021-04-01T05:34:00Z</dcterms:created>
  <dcterms:modified xsi:type="dcterms:W3CDTF">2021-04-13T16:02:00Z</dcterms:modified>
</cp:coreProperties>
</file>